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ffc9d9a579d4ccfb17b9cf0991bdb67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合同摘要：大型商业综合体智慧化系统升级与运维服务合同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3281ff34bc04fc29521f2d50e04b409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合同编号：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TECH-2026-0908-001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75ed148bdb648f785401cdcebf5d479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签订日期：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2026年9月8日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270510149d14ca9b11226568b26dd81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签订地点：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河北省廊坊市</w:t>
      </w:r>
      <w:bookmarkEnd w:id="100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200d0492adef43278268aae40aff7abe" w:id="1005"/>
      <w:r>
        <w:rPr>
          <w:rFonts w:ascii="黑体" w:hAnsi="黑体" w:cs="黑体" w:eastAsia="黑体"/>
          <w:sz w:val="36"/>
          <w:spacing w:val="0"/>
          <w:b w:val="on"/>
          <w:i w:val="off"/>
        </w:rPr>
        <w:t>一、 合同主体与背景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f8f1b0134284635bf539d386f8dfa67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本合同由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廊坊未来城商业管理有限公司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（以下简称“甲方”）与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智云科技（北京）有限公司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（以下简称“乙方”）共同签署。</w:t>
      </w:r>
      <w:bookmarkEnd w:id="10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f9abdf948a7439d8091ceafba9f4720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鉴于甲方名下运营的“未来城购物中心”现有安防、能耗管理及客流分析系统老化，无法满足数字化转型需求，甲方决定引入乙方提供的“AIoT智慧商业综合管理平台”进行整体升级。双方本着平等互利、诚实信用的原则，经友好协商，达成如下协议。</w:t>
      </w:r>
      <w:bookmarkEnd w:id="1007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16dc0363d04240b5ba93e8d673451f78" w:id="1008"/>
      <w:r>
        <w:rPr>
          <w:rFonts w:ascii="黑体" w:hAnsi="黑体" w:cs="黑体" w:eastAsia="黑体"/>
          <w:sz w:val="36"/>
          <w:spacing w:val="0"/>
          <w:b w:val="on"/>
          <w:i w:val="off"/>
        </w:rPr>
        <w:t>二、 服务内容与范围</w:t>
      </w:r>
      <w:bookmarkEnd w:id="100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314281a5f5b49458dc538dc33251d09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乙方将为甲方提供软硬件一体化的智慧化升级服务，具体包括：</w:t>
      </w:r>
      <w:bookmarkEnd w:id="1009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硬件部署与改造：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包括全场高清AI摄像头（共计450台）、智能水电表（共计1200只）、环境传感器及边缘计算服务器的采购、安装与调试。</w:t>
      </w:r>
      <w:bookmarkEnd w:id="1010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软件平台搭建：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部署“智云商业大脑”SaaS平台，包含客流热力图分析、会员精准营销模块、能耗自动调控系统及安防预警中心。</w:t>
      </w:r>
      <w:bookmarkEnd w:id="1011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系统集成：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将新系统与甲方现有的ERP系统、CRM会员系统及消防报警系统进行API接口打通，实现数据互联互通。</w:t>
      </w:r>
      <w:bookmarkEnd w:id="1012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运维服务：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提供为期3年的系统驻场运维及远程技术支持。</w:t>
      </w:r>
      <w:bookmarkEnd w:id="101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817d259a61be438b9c80a0d2d67f3802" w:id="1014"/>
      <w:r>
        <w:rPr>
          <w:rFonts w:ascii="黑体" w:hAnsi="黑体" w:cs="黑体" w:eastAsia="黑体"/>
          <w:sz w:val="36"/>
          <w:spacing w:val="0"/>
          <w:b w:val="on"/>
          <w:i w:val="off"/>
        </w:rPr>
        <w:t>三、 实施周期与交付标准</w:t>
      </w:r>
      <w:bookmarkEnd w:id="1014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项目周期：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总工期为120个日历天。</w:t>
      </w:r>
      <w:bookmarkEnd w:id="1015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ee90204b-e202-45a0-8d81-5d17c687a096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第一阶段（T+30天）：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完成现场勘测、方案深化设计及硬件设备进场。</w:t>
      </w:r>
      <w:bookmarkEnd w:id="1016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f88db817-2445-413b-aa65-f99aa84e2b89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第二阶段（T+90天）：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完成所有硬件安装、软件部署及系统联调。</w:t>
      </w:r>
      <w:bookmarkEnd w:id="1017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02366dc2-31c2-4152-bcbc-37f22019295d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第三阶段（T+120天）：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完成试运行、用户培训及最终验收。</w:t>
      </w:r>
      <w:bookmarkEnd w:id="1018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交付标准：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系统需满足《智能建筑设计标准》(GB 50314-2015)及甲方技术需求书要求。关键指标包括：客流统计准确率≥95%，系统响应时间&lt;200ms，数据并发处理能力支持10万级用户同时在线。</w:t>
      </w:r>
      <w:bookmarkEnd w:id="1019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a7cb93d617e440dbb3e1a4a903e6c23c" w:id="1020"/>
      <w:r>
        <w:rPr>
          <w:rFonts w:ascii="黑体" w:hAnsi="黑体" w:cs="黑体" w:eastAsia="黑体"/>
          <w:sz w:val="36"/>
          <w:spacing w:val="0"/>
          <w:b w:val="on"/>
          <w:i w:val="off"/>
        </w:rPr>
        <w:t>四、 合同金额与支付方式</w:t>
      </w:r>
      <w:bookmarkEnd w:id="102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cbd18ff20124803a65b210a8c0859fd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本合同总金额为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人民币壹仟贰佰伍拾万元整（¥12,500,000.00）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，含税（增值税率6%）。支付方式分四期进行：</w:t>
      </w:r>
      <w:bookmarkEnd w:id="1021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预付款（30%）：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合同签订后5个工作日内，甲方向乙方支付合同总额的30%作为启动资金。</w:t>
      </w:r>
      <w:bookmarkEnd w:id="1022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进度款（40%）：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硬件设备全部到货并经甲方清点无误，且软件平台完成部署上线后，支付合同总额的40%。</w:t>
      </w:r>
      <w:bookmarkEnd w:id="1023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验收款（20%）：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项目通过最终验收，并移交全部技术文档及管理员权限后，支付合同总额的20%。</w:t>
      </w:r>
      <w:bookmarkEnd w:id="1024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质保金（10%）：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剩余10%作为质保金，在质保期（验收合格后12个月）满且无重大质量问题后无息支付。</w:t>
      </w:r>
      <w:bookmarkEnd w:id="1025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09cb90eca02542bf843ef7eec522778a" w:id="1026"/>
      <w:r>
        <w:rPr>
          <w:rFonts w:ascii="黑体" w:hAnsi="黑体" w:cs="黑体" w:eastAsia="黑体"/>
          <w:sz w:val="36"/>
          <w:spacing w:val="0"/>
          <w:b w:val="on"/>
          <w:i w:val="off"/>
        </w:rPr>
        <w:t>五、 双方权利与义务</w:t>
      </w:r>
      <w:bookmarkEnd w:id="102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502da74bec647288cc1a6caa4877fcf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1. 甲方权利与义务：</w:t>
      </w:r>
      <w:bookmarkEnd w:id="1027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16c8d9b-3ad5-4c63-84a2-c83d139b2693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负责提供施工所需的场地、水电接入及网络环境，并协调物业部门配合乙方进场施工。</w:t>
      </w:r>
      <w:bookmarkEnd w:id="1028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8ca25f7-6d02-4d2f-b2bb-c929d94bada6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有权对乙方的施工进度、工程质量进行监督，并要求乙方定期汇报项目进展。</w:t>
      </w:r>
      <w:bookmarkEnd w:id="1029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2134b7c-81ba-4e5a-9c69-9cfd9d95066e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应按合同约定及时支付合同款项。</w:t>
      </w:r>
      <w:bookmarkEnd w:id="1030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2821599-e7b3-47a6-9bf9-e7af1bf33627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负责提供系统运行所需的原始数据（如会员基础信息、铺位图），并保证数据的真实性与合法性。</w:t>
      </w:r>
      <w:bookmarkEnd w:id="103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b223ef2a6174ec8966965c653ab2de1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2. 乙方权利与义务：</w:t>
      </w:r>
      <w:bookmarkEnd w:id="1032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89de126-e0fd-4e2c-b44d-e0bb1754da6c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应严格按照国家相关标准及合同约定进行施工和开发，确保工程质量与安全。</w:t>
      </w:r>
      <w:bookmarkEnd w:id="1033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c4dae5e-92bf-456b-ac37-4f21bc01915f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负责对所有操作人员进行免费培训，直至甲方人员能熟练掌握系统操作。</w:t>
      </w:r>
      <w:bookmarkEnd w:id="1034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2bee3f3-ff38-4922-b171-a6ac7bb494a0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承诺提供的软件系统不侵犯任何第三方的知识产权。</w:t>
      </w:r>
      <w:bookmarkEnd w:id="1035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fa54f60-c116-426d-afa7-ff75a0827c6a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在运维期内，需建立7×24小时响应机制，对于一级故障（系统瘫痪）需在30分钟内响应，4小时内解决。</w:t>
      </w:r>
      <w:bookmarkEnd w:id="103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5826a79ebb124deda694a80e0eef9a8e" w:id="1037"/>
      <w:r>
        <w:rPr>
          <w:rFonts w:ascii="黑体" w:hAnsi="黑体" w:cs="黑体" w:eastAsia="黑体"/>
          <w:sz w:val="36"/>
          <w:spacing w:val="0"/>
          <w:b w:val="on"/>
          <w:i w:val="off"/>
        </w:rPr>
        <w:t>六、 知识产权与数据归属</w:t>
      </w:r>
      <w:bookmarkEnd w:id="1037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软件权属：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乙方提供的“智云商业大脑”平台软件的著作权归乙方所有，甲方仅享有本合同约定范围内的永久使用权。</w:t>
      </w:r>
      <w:bookmarkEnd w:id="1038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数据归属：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本项目实施过程中产生的所有业务数据（包括但不限于客流数据、交易数据、会员数据、能耗数据）均归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甲方所有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。乙方不得利用上述数据进行任何商业变现或泄露给第三方。</w:t>
      </w:r>
      <w:bookmarkEnd w:id="1039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定制开发：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针对甲方特殊需求定制开发的功能模块，其知识产权归双方共有，乙方需向甲方开放源代码。</w:t>
      </w:r>
      <w:bookmarkEnd w:id="1040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33f6b5a9ba4434eb0a53aa369027a34" w:id="1041"/>
      <w:r>
        <w:rPr>
          <w:rFonts w:ascii="黑体" w:hAnsi="黑体" w:cs="黑体" w:eastAsia="黑体"/>
          <w:sz w:val="36"/>
          <w:spacing w:val="0"/>
          <w:b w:val="on"/>
          <w:i w:val="off"/>
        </w:rPr>
        <w:t>七、 保密条款</w:t>
      </w:r>
      <w:bookmarkEnd w:id="104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09c1b20c3fc4c09b6c3a7af910e2d79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双方应对在合作过程中获知的对方商业秘密（包括技术文档、客户名单、财务数据等）负有严格保密义务。未经对方书面同意，不得向任何第三方披露。保密期限为合同有效期内及合同终止后5年。若乙方违反保密义务导致甲方数据泄露，乙方需承担由此产生的一切法律责任及经济赔偿。</w:t>
      </w:r>
      <w:bookmarkEnd w:id="104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3ae81c2d06e34dc486a1de6a881ca1f5" w:id="1043"/>
      <w:r>
        <w:rPr>
          <w:rFonts w:ascii="黑体" w:hAnsi="黑体" w:cs="黑体" w:eastAsia="黑体"/>
          <w:sz w:val="36"/>
          <w:spacing w:val="0"/>
          <w:b w:val="on"/>
          <w:i w:val="off"/>
        </w:rPr>
        <w:t>八、 违约责任</w:t>
      </w:r>
      <w:bookmarkEnd w:id="1043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甲方违约：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若甲方未按约定时间付款，每逾期一日，应向乙方支付应付未付款项万分之五的违约金；逾期超过30日，乙方有权暂停服务。</w:t>
      </w:r>
      <w:bookmarkEnd w:id="1044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乙方违约：</w:t>
      </w:r>
      <w:bookmarkEnd w:id="1045"/>
    </w:p>
    <w:p>
      <w:pPr>
        <w:pStyle w:val="正文 文本"/>
        <w:pageBreakBefore w:val="off"/>
        <w:numPr>
          <w:ilvl w:val="1"/>
          <w:numId w:val="9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c388bfca-3096-481a-960a-f8885ad4b72d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工期延误：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若乙方未按期交付项目，每逾期一日，应向甲方支付合同总额万分之五的违约金；逾期超过30日，甲方有权解除合同并要求双倍返还定金（如有）及赔偿损失。</w:t>
      </w:r>
      <w:bookmarkEnd w:id="1046"/>
    </w:p>
    <w:p>
      <w:pPr>
        <w:pStyle w:val="正文 文本"/>
        <w:pageBreakBefore w:val="off"/>
        <w:numPr>
          <w:ilvl w:val="1"/>
          <w:numId w:val="9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db8d6349-49d6-4700-81cc-c126bba3fae7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质量缺陷：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若系统验收不合格且经两次整改仍无法达到约定标准，甲方有权拒绝验收，乙方应退还已收全部款项并赔偿甲方因此遭受的损失。</w:t>
      </w:r>
      <w:bookmarkEnd w:id="1047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1ede2993fad496cb7211c502ddb37e3" w:id="1048"/>
      <w:r>
        <w:rPr>
          <w:rFonts w:ascii="黑体" w:hAnsi="黑体" w:cs="黑体" w:eastAsia="黑体"/>
          <w:sz w:val="36"/>
          <w:spacing w:val="0"/>
          <w:b w:val="on"/>
          <w:i w:val="off"/>
        </w:rPr>
        <w:t>九、 不可抗力</w:t>
      </w:r>
      <w:bookmarkEnd w:id="104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1b280fddddc41a5a98f65526cb3f1ba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因自然灾害、战争、政府行为等不可抗力因素导致合同无法履行的，双方互不承担违约责任，但应及时通知对方并采取措施减少损失。</w:t>
      </w:r>
      <w:bookmarkEnd w:id="1049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bc22f0fbbe2a475db744e54d63daebff" w:id="1050"/>
      <w:r>
        <w:rPr>
          <w:rFonts w:ascii="黑体" w:hAnsi="黑体" w:cs="黑体" w:eastAsia="黑体"/>
          <w:sz w:val="36"/>
          <w:spacing w:val="0"/>
          <w:b w:val="on"/>
          <w:i w:val="off"/>
        </w:rPr>
        <w:t>十、 争议解决</w:t>
      </w:r>
      <w:bookmarkEnd w:id="105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e96dd0bd95a449587cdebf0782ffc6c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本合同的订立、效力、解释、履行及争议解决均适用中华人民共和国法律。凡因本合同引起的或与本合同有关的任何争议，双方应首先通过友好协商解决；协商不成的，任何一方均有权向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甲方所在地（河北省廊坊市）有管辖权的人民法院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提起诉讼。</w:t>
      </w:r>
      <w:bookmarkEnd w:id="105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181cc93968414214a3a70477f82ab599" w:id="1052"/>
      <w:r>
        <w:rPr>
          <w:rFonts w:ascii="黑体" w:hAnsi="黑体" w:cs="黑体" w:eastAsia="黑体"/>
          <w:sz w:val="36"/>
          <w:spacing w:val="0"/>
          <w:b w:val="on"/>
          <w:i w:val="off"/>
        </w:rPr>
        <w:t>十一、 其他约定</w:t>
      </w:r>
      <w:bookmarkEnd w:id="1052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本合同附件（包括技术规格书、报价单、廉洁协议等）为本合同不可分割的组成部分，与本合同具有同等法律效力。</w:t>
      </w:r>
      <w:bookmarkEnd w:id="1053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本合同一式肆份，甲乙双方各执贰份，自双方法定代表人或授权代表签字并加盖公章之日起生效。</w:t>
      </w:r>
      <w:bookmarkEnd w:id="105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57f8550ef255457595e49dfb9db86653" w:id="1055"/>
      <w:bookmarkEnd w:id="105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b5925ded48c46df8d6d8df85a4d4892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（以下无正文，为签署页）</w:t>
      </w:r>
      <w:bookmarkEnd w:id="1056"/>
    </w:p>
    <w:p>
      <w:pPr>
        <w:pStyle w:val="落款或署名"/>
        <w:pageBreakBefore w:val="off"/>
        <w:tabs/>
        <w:wordWrap w:val="on"/>
        <w:spacing w:before="0" w:after="0" w:line="560" w:lineRule="exact"/>
        <w:ind w:left="0" w:right="0"/>
        <w:jc w:val="left"/>
        <w:textAlignment w:val="auto"/>
        <w:rPr>
          <w:sz w:val="32"/>
        </w:rPr>
      </w:pPr>
      <w:bookmarkStart w:name="0bab73c10e6b40b19f9706a7882ecf5e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甲方（盖章）：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廊坊未来城商业管理有限公司</w:t>
      </w:r>
      <w:bookmarkEnd w:id="1057"/>
    </w:p>
    <w:p>
      <w:pPr>
        <w:pStyle w:val="落款或署名"/>
        <w:pageBreakBefore w:val="off"/>
        <w:tabs/>
        <w:wordWrap w:val="on"/>
        <w:spacing w:before="0" w:after="0" w:line="560" w:lineRule="exact"/>
        <w:ind w:left="0" w:right="0"/>
        <w:jc w:val="left"/>
        <w:textAlignment w:val="auto"/>
        <w:rPr>
          <w:sz w:val="32"/>
        </w:rPr>
      </w:pPr>
      <w:bookmarkStart w:name="cb8bef40e3624f7faaff04c4587de786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授权代表签字：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_______________</w:t>
      </w:r>
      <w:bookmarkEnd w:id="1058"/>
    </w:p>
    <w:p>
      <w:pPr>
        <w:pStyle w:val="日期或时间"/>
        <w:pageBreakBefore w:val="off"/>
        <w:tabs/>
        <w:wordWrap w:val="on"/>
        <w:spacing w:before="0" w:after="0" w:line="560" w:lineRule="exact"/>
        <w:ind w:left="0" w:right="0"/>
        <w:jc w:val="left"/>
        <w:textAlignment w:val="auto"/>
        <w:rPr>
          <w:sz w:val="32"/>
        </w:rPr>
      </w:pPr>
      <w:bookmarkStart w:name="e099d9ab459440a1ba6ccf69b6698243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日期：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2026年 9月 8日</w:t>
      </w:r>
      <w:bookmarkEnd w:id="1059"/>
    </w:p>
    <w:p>
      <w:pPr>
        <w:pStyle w:val="落款或署名"/>
        <w:pageBreakBefore w:val="off"/>
        <w:tabs/>
        <w:wordWrap w:val="on"/>
        <w:spacing w:before="0" w:after="0" w:line="560" w:lineRule="exact"/>
        <w:ind w:left="0" w:right="0"/>
        <w:jc w:val="left"/>
        <w:textAlignment w:val="auto"/>
        <w:rPr>
          <w:sz w:val="32"/>
        </w:rPr>
      </w:pPr>
      <w:bookmarkStart w:name="7317ad3ee9254a50b327d1f244300c5d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乙方（盖章）：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智云科技（北京）有限公司</w:t>
      </w:r>
      <w:bookmarkEnd w:id="1060"/>
    </w:p>
    <w:p>
      <w:pPr>
        <w:pStyle w:val="落款或署名"/>
        <w:pageBreakBefore w:val="off"/>
        <w:tabs/>
        <w:wordWrap w:val="on"/>
        <w:spacing w:before="0" w:after="0" w:line="560" w:lineRule="exact"/>
        <w:ind w:left="0" w:right="0"/>
        <w:jc w:val="left"/>
        <w:textAlignment w:val="auto"/>
        <w:rPr>
          <w:sz w:val="32"/>
        </w:rPr>
      </w:pPr>
      <w:bookmarkStart w:name="51602e25da584330adb568b4c988792a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授权代表签字：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_______________</w:t>
      </w:r>
      <w:bookmarkEnd w:id="1061"/>
    </w:p>
    <w:p>
      <w:pPr>
        <w:pStyle w:val="日期或时间"/>
        <w:pageBreakBefore w:val="off"/>
        <w:tabs/>
        <w:wordWrap w:val="on"/>
        <w:spacing w:before="0" w:after="0" w:line="560" w:lineRule="exact"/>
        <w:ind w:left="0" w:right="0"/>
        <w:jc w:val="left"/>
        <w:textAlignment w:val="auto"/>
        <w:rPr>
          <w:sz w:val="32"/>
        </w:rPr>
      </w:pPr>
      <w:bookmarkStart w:name="0ab9dc0dd92648e288d56890decd524e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日期：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2026年 9月 8日</w:t>
      </w:r>
      <w:bookmarkEnd w:id="1062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98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落款或署名">
    <w:name w:val="落款或署名"/>
    <w:aliases w:val="落款或署名"/>
    <w:uiPriority w:val="1"/>
    <w:qFormat/>
    <w:pPr>
      <w:spacing w:lineRule="exact" w:line="560"/>
      <w:ind w:left="0" w:right="0"/>
      <w:jc w:val="left"/>
    </w:pPr>
    <w:rPr>
      <w:rFonts w:eastAsia="宋体" w:ascii="宋体"/>
      <w:sz w:val="32"/>
    </w:rPr>
  </w:style>
  <w:style w:type="paragraph" w:styleId="日期或时间">
    <w:name w:val="日期或时间"/>
    <w:aliases w:val="日期或时间"/>
    <w:uiPriority w:val="1"/>
    <w:qFormat/>
    <w:pPr>
      <w:spacing w:lineRule="exact" w:line="560"/>
      <w:ind w:left="0" w:right="0"/>
      <w:jc w:val="left"/>
    </w:pPr>
    <w:rPr>
      <w:rFonts w:eastAsia="宋体" w:ascii="宋体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2026-09-08T00:59:35Z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/uWqYL2ZnGAM3q14FOIrPczZrTXkRR4xOQCKsuGrAK0=","ProduceID":"doc_sgs:e5a9c0e2d3a04f809613e0491b3281c6","ReservedCode2":"/uWqYL2ZnGAM3q14FOIrPczZrTXkRR4xOQCKsuGrAK0=","PropagateID":"doc_sgs:e5a9c0e2d3a04f809613e0491b3281c6","ContentProducer":"001191440101MA9Y9T4H7A00000"}</vt:lpwstr>
  </property>
</Properties>
</file>