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left"/>
      </w:pPr>
      <w:r>
        <w:rPr>
          <w:rFonts w:ascii="Times New Roman" w:hAnsi="Times New Roman"/>
          <w:b/>
          <w:color w:val="000000"/>
          <w:sz w:val="32"/>
        </w:rPr>
        <w:t>Highlights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Versioned contracts align heterogeneous observations with six forecast models.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Project Future State synchronizes risk across 124 forecast target channels.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Independent Execute gating blocks incomplete or corrupted prediction batches.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Formal events retain provenance to models, inputs, forecasts, and responses.</w:t>
      </w:r>
    </w:p>
    <w:sectPr>
      <w:footerReference w:type="default" r:id="rId6"/>
      <w:footerReference w:type="first" r:id="rId7"/>
      <w:footerReference w:type="even" r:id="rId8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FF2843"/>
    <w:multiLevelType w:val="singleLevel"/>
    <w:tmpl w:val="31FF284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3146F2"/>
    <w:rsid w:val="7C31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Times New Roman" w:hAnsi="Times New Roman" w:eastAsia="Times New Roman"/>
      <w:kern w:val="2"/>
      <w:sz w:val="22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2026-07-26T15:11:00Z</dcterms:created>
  <dc:creator>Ji'an Liao; Zifa Wang; Dengke Zhao; Jianming Wang; Zhaoyan Li; Siran Yang</dc:creator>
  <cp:lastModifiedBy>NLFDZ</cp:lastModifiedBy>
  <dcterms:modified xsi:type="dcterms:W3CDTF">2026-07-26T15:14:36Z</dcterms:modified>
  <cp:revision>1</cp:revision>
  <dc:title>Highlights</dc:title>
  <dc:subject>SoftwareX revised manuscript highlights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EB1DA676431D4C768921BBC44982228B_11</vt:lpwstr>
  </property>
  <property fmtid="{D5CDD505-2E9C-101B-9397-08002B2CF9AE}" pid="4" name="KSOTemplateDocerSaveRecord">
    <vt:lpwstr>eyJoZGlkIjoiY2NmYThjYjgzYmNmNDA3YjY1N2ViNTcyZmJiMzc2ODIiLCJ1c2VySWQiOiI1MTQxNTk2NjYifQ==</vt:lpwstr>
  </property>
</Properties>
</file>