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3"/>
        <w:jc w:val="center"/>
      </w:pPr>
      <w:r>
        <w:rPr>
          <w:b w:val="0"/>
          <w:i w:val="0"/>
        </w:rPr>
        <w:t>Response to Reviewers</w:t>
      </w:r>
    </w:p>
    <w:p>
      <w:r>
        <w:rPr>
          <w:b/>
        </w:rPr>
        <w:t>Manuscript:</w:t>
      </w:r>
      <w:r>
        <w:rPr>
          <w:b w:val="0"/>
          <w:i w:val="0"/>
        </w:rPr>
        <w:t xml:space="preserve"> SHM-EM: A forecast-aware event management framework for heterogeneous engineering monitoring </w:t>
      </w:r>
      <w:r>
        <w:rPr>
          <w:b/>
        </w:rPr>
        <w:t>Manuscript number:</w:t>
      </w:r>
      <w:r>
        <w:rPr>
          <w:b w:val="0"/>
          <w:i w:val="0"/>
        </w:rPr>
        <w:t xml:space="preserve"> SOFTX-D-26-00931</w:t>
      </w:r>
    </w:p>
    <w:p>
      <w:r>
        <w:rPr>
          <w:b w:val="0"/>
          <w:i w:val="0"/>
        </w:rPr>
        <w:t>We thank the Editor and Reviewers for the constructive comments. We retained the software architecture and research-software positioning while substantially strengthening validation, specification, related-software positioning, portability evidence, and limitations. The revised manuscript does not introduce a new forecasting algorithm or claim forecasting superiority. The revised software release retains a fixed production-core baseline.</w:t>
      </w:r>
    </w:p>
    <w:p>
      <w:r>
        <w:rPr>
          <w:b w:val="0"/>
          <w:i w:val="0"/>
        </w:rPr>
        <w:t>The principal additions are: (i) a real versioned contract example and verified six-model configuration; (ii) a code-derived Project Future State algorithm and controlled-transition sequence; (iii) a synthetic second configuration used solely as a software-reuse fixture; (iv) a 15-case validation matrix comprising one positive control, 12 failure-path cases, and two input-availability controls; (v) repeated runtime and bounded-scaling evidence; (vi) a concrete formal-event provenance trace; (vii) an exercised Docker/Linux logical reproduction path with its numerical non-identity reported explicitly; and (viii) a source-grounded related-software comparison.</w:t>
      </w:r>
    </w:p>
    <w:p>
      <w:pPr>
        <w:pStyle w:val="3"/>
      </w:pPr>
      <w:r>
        <w:rPr>
          <w:b w:val="0"/>
          <w:i w:val="0"/>
        </w:rPr>
        <w:t>Reviewer 1</w:t>
      </w:r>
    </w:p>
    <w:p>
      <w:pPr>
        <w:pStyle w:val="4"/>
      </w:pPr>
      <w:r>
        <w:rPr>
          <w:b w:val="0"/>
          <w:i w:val="0"/>
        </w:rPr>
        <w:t>R1-0. General recommendation</w:t>
      </w:r>
    </w:p>
    <w:p>
      <w:r>
        <w:rPr>
          <w:b/>
        </w:rPr>
        <w:t>Reviewer comment</w:t>
      </w:r>
    </w:p>
    <w:p>
      <w:pPr>
        <w:spacing w:before="40" w:after="80"/>
        <w:ind w:left="454" w:right="227"/>
        <w:shd w:fill="F2F4F7"/>
      </w:pPr>
      <w:r>
        <w:rPr>
          <w:b w:val="0"/>
          <w:i/>
        </w:rPr>
        <w:t>I recommend retaining the current software architecture and positioning; I would not recommend adding another forecasting algorithm comparison simply to strengthen the paper. The highest-value revision would be stronger software validation: failure-path testing, quantitative runtime/scalability evaluation, an explicit contract example, a provenance trace demonstration, and ideally a second heterogeneous configuration demonstrating genuine reuse.</w:t>
      </w:r>
    </w:p>
    <w:p>
      <w:r>
        <w:rPr>
          <w:b/>
        </w:rPr>
        <w:t>Response</w:t>
      </w:r>
    </w:p>
    <w:p>
      <w:r>
        <w:rPr>
          <w:b w:val="0"/>
          <w:i w:val="0"/>
        </w:rPr>
        <w:t>We agree and followed this recommendation. The software architecture and three-contribution positioning were retained. We added the requested contract, failure-path, runtime, provenance, and second-configuration evidence rather than adding a forecasting-algorithm comparison.</w:t>
      </w:r>
    </w:p>
    <w:p>
      <w:r>
        <w:rPr>
          <w:b/>
        </w:rPr>
        <w:t>Changes in manuscript</w:t>
      </w:r>
    </w:p>
    <w:p>
      <w:r>
        <w:rPr>
          <w:b w:val="0"/>
          <w:i w:val="0"/>
        </w:rPr>
        <w:t>The Abstract and Section 1 now state the three contributions once. Sections 2.1.2-2.1.4 formalize them. Section 3 adds five validation subsections covering the public case, cross-configuration reuse, failure paths, runtime, and provenance/reproducibility.</w:t>
      </w:r>
      <w:r>
        <w:rPr>
          <w:b/>
          <w:color w:val="0B3C82"/>
        </w:rPr>
        <w:t xml:space="preserve"> Final location: p. 1, lines 10-24; pp. 10-15, lines 223-301.</w:t>
      </w:r>
    </w:p>
    <w:p>
      <w:r>
        <w:rPr>
          <w:b/>
        </w:rPr>
        <w:t>Evidence</w:t>
      </w:r>
    </w:p>
    <w:p>
      <w:r>
        <w:rPr>
          <w:rFonts w:ascii="Courier New" w:hAnsi="Courier New"/>
          <w:sz w:val="18"/>
        </w:rPr>
        <w:t>docs/revision/DATA_MODEL_CONTRACT_SPEC.md</w:t>
      </w:r>
      <w:r>
        <w:rPr>
          <w:b w:val="0"/>
          <w:i w:val="0"/>
        </w:rPr>
        <w:t xml:space="preserve">; </w:t>
      </w:r>
      <w:r>
        <w:rPr>
          <w:rFonts w:ascii="Courier New" w:hAnsi="Courier New"/>
          <w:sz w:val="18"/>
        </w:rPr>
        <w:t>docs/revision/PROJECT_FUTURE_STATE_ALGORITHM.md</w:t>
      </w:r>
      <w:r>
        <w:rPr>
          <w:b w:val="0"/>
          <w:i w:val="0"/>
        </w:rPr>
        <w:t xml:space="preserve">; </w:t>
      </w:r>
      <w:r>
        <w:rPr>
          <w:rFonts w:ascii="Courier New" w:hAnsi="Courier New"/>
          <w:sz w:val="18"/>
        </w:rPr>
        <w:t>artifacts/revision/benchmarks/route-p/failure-regression/failure-matrix-v2.md</w:t>
      </w:r>
      <w:r>
        <w:rPr>
          <w:b w:val="0"/>
          <w:i w:val="0"/>
        </w:rPr>
        <w:t xml:space="preserve">; </w:t>
      </w:r>
      <w:r>
        <w:rPr>
          <w:rFonts w:ascii="Courier New" w:hAnsi="Courier New"/>
          <w:sz w:val="18"/>
        </w:rPr>
        <w:t>artifacts/revision/manuscript/final-performance-table.md</w:t>
      </w:r>
      <w:r>
        <w:rPr>
          <w:b w:val="0"/>
          <w:i w:val="0"/>
        </w:rPr>
        <w:t xml:space="preserve">; </w:t>
      </w:r>
      <w:r>
        <w:rPr>
          <w:rFonts w:ascii="Courier New" w:hAnsi="Courier New"/>
          <w:sz w:val="18"/>
        </w:rPr>
        <w:t>docs/revision/PROVENANCE_TRACE_EXAMPLE.md</w:t>
      </w:r>
      <w:r>
        <w:rPr>
          <w:b w:val="0"/>
          <w:i w:val="0"/>
        </w:rPr>
        <w:t>.</w:t>
      </w:r>
    </w:p>
    <w:p>
      <w:r>
        <w:rPr>
          <w:b/>
        </w:rPr>
        <w:t>Scope / non-claim</w:t>
      </w:r>
    </w:p>
    <w:p>
      <w:r>
        <w:rPr>
          <w:b w:val="0"/>
          <w:i w:val="0"/>
        </w:rPr>
        <w:t>We do not claim a new forecasting algorithm, improved forecasting accuracy, or a global test total obtained by summing overlapping evidence families.</w:t>
      </w:r>
    </w:p>
    <w:p>
      <w:pPr>
        <w:pStyle w:val="4"/>
      </w:pPr>
      <w:r>
        <w:rPr>
          <w:b w:val="0"/>
          <w:i w:val="0"/>
        </w:rPr>
        <w:t>R1-1. Reuse/generalization beyond one excavation</w:t>
      </w:r>
    </w:p>
    <w:p>
      <w:r>
        <w:rPr>
          <w:b/>
        </w:rPr>
        <w:t>Reviewer comment</w:t>
      </w:r>
    </w:p>
    <w:p>
      <w:pPr>
        <w:spacing w:before="40" w:after="80"/>
        <w:ind w:left="454" w:right="227"/>
        <w:shd w:fill="F2F4F7"/>
      </w:pPr>
      <w:r>
        <w:rPr>
          <w:b w:val="0"/>
          <w:i/>
        </w:rPr>
        <w:t>The empirical validation is too narrow for several of the paper's reuse/generalization claims. The entire demonstrated workflow is based on one unidentified excavation-monitoring case, and the authors themselves acknowledge that this does not validate other structures or domains. Yet Section 4.2 argues for reuse through minimal registration. At minimum, add a second substantially different monitoring configuration or a synthetic cross-domain example demonstrating that the same backend/event workflow can actually be reused without code modification.</w:t>
      </w:r>
    </w:p>
    <w:p>
      <w:r>
        <w:rPr>
          <w:b/>
        </w:rPr>
        <w:t>Response</w:t>
      </w:r>
    </w:p>
    <w:p>
      <w:r>
        <w:rPr>
          <w:b w:val="0"/>
          <w:i w:val="0"/>
        </w:rPr>
        <w:t>We added one synthetic bridge-monitoring configuration as a software-reuse fixture. It registers one project, three stations, 12 instruments, 26 metric bindings, four observation mappings, 164 feature mappings, two compatible model bundles, and one rule. Seven end-to-end functional checks passed and 1,120 forecast rows were produced. Relative to the fixed revised production core, this configuration required zero backend business-source changes, zero front-end workflow-source changes, zero PIT_PRE core changes, and zero alterations to existing observation-table schemas.</w:t>
      </w:r>
    </w:p>
    <w:p>
      <w:r>
        <w:rPr>
          <w:b/>
        </w:rPr>
        <w:t>Changes in manuscript</w:t>
      </w:r>
    </w:p>
    <w:p>
      <w:r>
        <w:rPr>
          <w:b w:val="0"/>
          <w:i w:val="0"/>
        </w:rPr>
        <w:t>New Section 3.2 and Table 4 report the registration inventory, outputs, functional checks, and exact zero-change boundaries. Section 4.2 replaces the submitted universal reuse statement with an experiment-specific result.</w:t>
      </w:r>
      <w:r>
        <w:rPr>
          <w:b/>
          <w:color w:val="0B3C82"/>
        </w:rPr>
        <w:t xml:space="preserve"> Final location: pp. 12-13, lines 248-261.</w:t>
      </w:r>
    </w:p>
    <w:p>
      <w:r>
        <w:rPr>
          <w:b/>
        </w:rPr>
        <w:t>Evidence</w:t>
      </w:r>
    </w:p>
    <w:p>
      <w:r>
        <w:rPr>
          <w:rFonts w:ascii="Courier New" w:hAnsi="Courier New"/>
          <w:sz w:val="18"/>
        </w:rPr>
        <w:t>artifacts/revision/benchmarks/route-p/phase1b-regression.json</w:t>
      </w:r>
      <w:r>
        <w:rPr>
          <w:b w:val="0"/>
          <w:i w:val="0"/>
        </w:rPr>
        <w:t xml:space="preserve">; </w:t>
      </w:r>
      <w:r>
        <w:rPr>
          <w:rFonts w:ascii="Courier New" w:hAnsi="Courier New"/>
          <w:sz w:val="18"/>
        </w:rPr>
        <w:t>artifacts/revision/benchmarks/route-p/phase1b-regression/</w:t>
      </w:r>
      <w:r>
        <w:rPr>
          <w:b w:val="0"/>
          <w:i w:val="0"/>
        </w:rPr>
        <w:t>; Git diff relative to the fixed revised production-core baseline.</w:t>
      </w:r>
    </w:p>
    <w:p>
      <w:r>
        <w:rPr>
          <w:b/>
        </w:rPr>
        <w:t>Scope / non-claim</w:t>
      </w:r>
    </w:p>
    <w:p>
      <w:r>
        <w:rPr>
          <w:b w:val="0"/>
          <w:i w:val="0"/>
        </w:rPr>
        <w:t>The two compatible model bundles were used solely as software-workflow fixtures. Their outputs are not interpreted as bridge-domain predictive validation, cross-domain forecasting accuracy, external field validation, or universal no-code onboarding.</w:t>
      </w:r>
    </w:p>
    <w:p>
      <w:pPr>
        <w:pStyle w:val="4"/>
      </w:pPr>
      <w:r>
        <w:rPr>
          <w:b w:val="0"/>
          <w:i w:val="0"/>
        </w:rPr>
        <w:t>R1-2. Software effectiveness and quantitative criteria</w:t>
      </w:r>
    </w:p>
    <w:p>
      <w:r>
        <w:rPr>
          <w:b/>
        </w:rPr>
        <w:t>Reviewer comment</w:t>
      </w:r>
    </w:p>
    <w:p>
      <w:pPr>
        <w:spacing w:before="40" w:after="80"/>
        <w:ind w:left="454" w:right="227"/>
        <w:shd w:fill="F2F4F7"/>
      </w:pPr>
      <w:r>
        <w:rPr>
          <w:b w:val="0"/>
          <w:i/>
        </w:rPr>
        <w:t>The paper demonstrates reproducibility more strongly than software effectiveness. The reported evidence, six successful model runs, 4,960 synchronized records, successful gate checks, hashes, and workflow reproduction, mainly establishes that the pipeline executes correctly. It does not quantitatively demonstrate that SHM-EM improves integration effort, reliability, traceability, latency, or event-management performance relative to a conventional implementation. Add measurable software-level evaluation criteria such as integration/configuration effort, execution latency, event-processing throughput, storage overhead, failure detection, or provenance overhead.</w:t>
      </w:r>
    </w:p>
    <w:p>
      <w:r>
        <w:rPr>
          <w:b/>
        </w:rPr>
        <w:t>Response</w:t>
      </w:r>
    </w:p>
    <w:p>
      <w:r>
        <w:rPr>
          <w:b w:val="0"/>
          <w:i w:val="0"/>
        </w:rPr>
        <w:t>We added measurable software-level evidence for configuration effort, reference workflow latency, Gate inspection, Project Future State, Evaluate, Execute, provenance retrieval, prediction persistence, integrity verification, and failure blocking. The second-configuration inventory supplies a concrete configuration-change measure. The failure matrix and provenance trace quantify blocking and traceability outcomes.</w:t>
      </w:r>
    </w:p>
    <w:p>
      <w:r>
        <w:rPr>
          <w:b/>
        </w:rPr>
        <w:t>Changes in manuscript</w:t>
      </w:r>
    </w:p>
    <w:p>
      <w:r>
        <w:rPr>
          <w:b w:val="0"/>
          <w:i w:val="0"/>
        </w:rPr>
        <w:t>Sections 3.2-3.5 and Tables 4-7 report the new evidence. Section 4 now distinguishes demonstrated integration/audit behavior from unmeasured production effectiveness.</w:t>
      </w:r>
      <w:r>
        <w:rPr>
          <w:b/>
          <w:color w:val="0B3C82"/>
        </w:rPr>
        <w:t xml:space="preserve"> Final location: p. 11, lines 227-229; pp. 14-15, lines 273-301.</w:t>
      </w:r>
    </w:p>
    <w:p>
      <w:r>
        <w:rPr>
          <w:b/>
        </w:rPr>
        <w:t>Evidence</w:t>
      </w:r>
    </w:p>
    <w:p>
      <w:r>
        <w:rPr>
          <w:rFonts w:ascii="Courier New" w:hAnsi="Courier New"/>
          <w:sz w:val="18"/>
        </w:rPr>
        <w:t>artifacts/revision/manuscript/final-performance-table.md</w:t>
      </w:r>
      <w:r>
        <w:rPr>
          <w:b w:val="0"/>
          <w:i w:val="0"/>
        </w:rPr>
        <w:t xml:space="preserve">; </w:t>
      </w:r>
      <w:r>
        <w:rPr>
          <w:rFonts w:ascii="Courier New" w:hAnsi="Courier New"/>
          <w:sz w:val="18"/>
        </w:rPr>
        <w:t>artifacts/revision/manuscript/software-test-summary.md</w:t>
      </w:r>
      <w:r>
        <w:rPr>
          <w:b w:val="0"/>
          <w:i w:val="0"/>
        </w:rPr>
        <w:t xml:space="preserve">; </w:t>
      </w:r>
      <w:r>
        <w:rPr>
          <w:rFonts w:ascii="Courier New" w:hAnsi="Courier New"/>
          <w:sz w:val="18"/>
        </w:rPr>
        <w:t>artifacts/revision/benchmarks/route-p/phase1b-regression.json</w:t>
      </w:r>
      <w:r>
        <w:rPr>
          <w:b w:val="0"/>
          <w:i w:val="0"/>
        </w:rPr>
        <w:t xml:space="preserve">; </w:t>
      </w:r>
      <w:r>
        <w:rPr>
          <w:rFonts w:ascii="Courier New" w:hAnsi="Courier New"/>
          <w:sz w:val="18"/>
        </w:rPr>
        <w:t>artifacts/revision/manuscript/provenance-trace-final.json</w:t>
      </w:r>
      <w:r>
        <w:rPr>
          <w:b w:val="0"/>
          <w:i w:val="0"/>
        </w:rPr>
        <w:t>.</w:t>
      </w:r>
    </w:p>
    <w:p>
      <w:r>
        <w:rPr>
          <w:b/>
        </w:rPr>
        <w:t>Scope / non-claim</w:t>
      </w:r>
    </w:p>
    <w:p>
      <w:r>
        <w:rPr>
          <w:b w:val="0"/>
          <w:i w:val="0"/>
        </w:rPr>
        <w:t>The measurements characterize the reference implementation under documented single-process workloads. We do not claim speedup over an unspecified conventional platform, multi-user production throughput, reliability improvement, or accuracy superiority.</w:t>
      </w:r>
    </w:p>
    <w:p>
      <w:pPr>
        <w:pStyle w:val="4"/>
      </w:pPr>
      <w:r>
        <w:rPr>
          <w:b w:val="0"/>
          <w:i w:val="0"/>
        </w:rPr>
        <w:t>R1-3. Evaluate/Execute failure-path safety</w:t>
      </w:r>
    </w:p>
    <w:p>
      <w:r>
        <w:rPr>
          <w:b/>
        </w:rPr>
        <w:t>Reviewer comment</w:t>
      </w:r>
    </w:p>
    <w:p>
      <w:pPr>
        <w:spacing w:before="40" w:after="80"/>
        <w:ind w:left="454" w:right="227"/>
        <w:shd w:fill="F2F4F7"/>
      </w:pPr>
      <w:r>
        <w:rPr>
          <w:b w:val="0"/>
          <w:i/>
        </w:rPr>
        <w:t>The event-management safety mechanism needs stronger validation. The separation between Evaluate and Execute is one of the manuscript's main contributions, but the evidence is essentially a successful reproduction example. Add negative/failure-path experiments: incomplete forecast steps, stale predictions, incorrect model hash, missing required target, invalid units, schema mismatch, temporal misalignment, failed model run, and corrupted prediction batch. Demonstrating that the execution gate correctly blocks each case would substantially strengthen the paper.</w:t>
      </w:r>
    </w:p>
    <w:p>
      <w:r>
        <w:rPr>
          <w:b/>
        </w:rPr>
        <w:t>Response</w:t>
      </w:r>
    </w:p>
    <w:p>
      <w:r>
        <w:rPr>
          <w:b w:val="0"/>
          <w:i w:val="0"/>
        </w:rPr>
        <w:t>We executed a 15-case validation matrix comprising one positive control (P00), 12 failure-path cases (F01-F12), and two input-availability controls (I01-I02) in isolated databases. It includes every requested fault. F09 exposed a persisted-integrity gap: stored hashes had to be recomputed from canonical rows rather than trusted as metadata. A narrowly scoped correction added that revalidation. F12 then confirmed that mutation after Evaluate is detected by Execute's independent reload and Gate recheck. Evaluate retains one evaluation/audit run but has no formal business side effects: it creates no formal event, execution Gate, response workflow or step, notification, report, evidence, or prediction link. All cases expected to be blocked produced zero formal event, response-workflow, response-step, report, evidence, or prediction-link records.</w:t>
      </w:r>
    </w:p>
    <w:p>
      <w:r>
        <w:rPr>
          <w:b/>
        </w:rPr>
        <w:t>Changes in manuscript</w:t>
      </w:r>
    </w:p>
    <w:p>
      <w:r>
        <w:rPr>
          <w:b w:val="0"/>
          <w:i w:val="0"/>
        </w:rPr>
        <w:t>Section 3.3 and Table 5 describe the matrix, failure boundaries, F09 safeguard, and Evaluate-to-Execute mutation case. Fig. 3 separates validation, Evaluate, Execute recheck, formal side effects, and provenance.</w:t>
      </w:r>
      <w:r>
        <w:rPr>
          <w:b/>
          <w:color w:val="0B3C82"/>
        </w:rPr>
        <w:t xml:space="preserve"> Final location: p. 9, lines 168-193; p. 13, lines 262-272.</w:t>
      </w:r>
    </w:p>
    <w:p>
      <w:r>
        <w:rPr>
          <w:b/>
        </w:rPr>
        <w:t>Evidence</w:t>
      </w:r>
    </w:p>
    <w:p>
      <w:r>
        <w:rPr>
          <w:rFonts w:ascii="Courier New" w:hAnsi="Courier New"/>
          <w:sz w:val="18"/>
        </w:rPr>
        <w:t>artifacts/revision/benchmarks/route-p/failure-regression/failure-matrix-v2.md</w:t>
      </w:r>
      <w:r>
        <w:rPr>
          <w:b w:val="0"/>
          <w:i w:val="0"/>
        </w:rPr>
        <w:t xml:space="preserve">; </w:t>
      </w:r>
      <w:r>
        <w:rPr>
          <w:rFonts w:ascii="Courier New" w:hAnsi="Courier New"/>
          <w:sz w:val="18"/>
        </w:rPr>
        <w:t>artifacts/revision/benchmarks/route-p/failure-regression/failure-matrix-v2.json</w:t>
      </w:r>
      <w:r>
        <w:rPr>
          <w:b w:val="0"/>
          <w:i w:val="0"/>
        </w:rPr>
        <w:t xml:space="preserve">; </w:t>
      </w:r>
      <w:r>
        <w:rPr>
          <w:rFonts w:ascii="Courier New" w:hAnsi="Courier New"/>
          <w:sz w:val="18"/>
        </w:rPr>
        <w:t>docs/revision/figures/forecast-event-sequence.mmd</w:t>
      </w:r>
      <w:r>
        <w:rPr>
          <w:b w:val="0"/>
          <w:i w:val="0"/>
        </w:rPr>
        <w:t>.</w:t>
      </w:r>
    </w:p>
    <w:p>
      <w:r>
        <w:rPr>
          <w:b/>
        </w:rPr>
        <w:t>Scope / non-claim</w:t>
      </w:r>
    </w:p>
    <w:p>
      <w:r>
        <w:rPr>
          <w:b w:val="0"/>
          <w:i w:val="0"/>
        </w:rPr>
        <w:t>P00 is a valid positive control, so we do not describe all 15 cases as invalid or blocked. The matrix supports only the tested boundaries and is not a safety certification.</w:t>
      </w:r>
    </w:p>
    <w:p>
      <w:pPr>
        <w:pStyle w:val="4"/>
      </w:pPr>
      <w:r>
        <w:rPr>
          <w:b w:val="0"/>
          <w:i w:val="0"/>
        </w:rPr>
        <w:t>R1-4. Differentiation from Predictive-SHM</w:t>
      </w:r>
    </w:p>
    <w:p>
      <w:r>
        <w:rPr>
          <w:b/>
        </w:rPr>
        <w:t>Reviewer comment</w:t>
      </w:r>
    </w:p>
    <w:p>
      <w:pPr>
        <w:spacing w:before="40" w:after="80"/>
        <w:ind w:left="454" w:right="227"/>
        <w:shd w:fill="F2F4F7"/>
      </w:pPr>
      <w:r>
        <w:rPr>
          <w:b w:val="0"/>
          <w:i/>
        </w:rPr>
        <w:t>The novelty relative to Predictive-SHM needs sharper differentiation. The manuscript states that Predictive-SHM already supports multi-sensor ingestion and replaceable forecasting models, while SHM-EM addresses the observation-to-model contract, temporal alignment, and controlled forecast-to-event transition. Since this is the closest related software, provide a concise feature-level comparison showing exactly what SHM-EM adds beyond Predictive-SHM and other relevant monitoring/event-processing systems.</w:t>
      </w:r>
    </w:p>
    <w:p>
      <w:r>
        <w:rPr>
          <w:b/>
        </w:rPr>
        <w:t>Response</w:t>
      </w:r>
    </w:p>
    <w:p>
      <w:r>
        <w:rPr>
          <w:b w:val="0"/>
          <w:i w:val="0"/>
        </w:rPr>
        <w:t>We added a primary-source-grounded comparison among OGC SensorThings, generic CEP, Predictive-SHM, and SHM-EM. Predictive-SHM is explicitly credited for multi-source ingestion, ULDM/unified preprocessing, metadata-driven registration, model adapters, pluggable prediction, standardized timestamped forecasts, visualization, and alerting. SHM-EM is positioned as a downstream event-workflow boundary, not as a replacement.</w:t>
      </w:r>
    </w:p>
    <w:p>
      <w:r>
        <w:rPr>
          <w:b/>
        </w:rPr>
        <w:t>Changes in manuscript</w:t>
      </w:r>
    </w:p>
    <w:p>
      <w:r>
        <w:rPr>
          <w:b w:val="0"/>
          <w:i w:val="0"/>
        </w:rPr>
        <w:t>Section 1 and Table 1 now provide the distinction. The text states that Predictive-SHM's primary source does not explicitly report a common multi-model origin or project-level synchronized future timeline.</w:t>
      </w:r>
      <w:r>
        <w:rPr>
          <w:b/>
          <w:color w:val="0B3C82"/>
        </w:rPr>
        <w:t xml:space="preserve"> Final location: pp. 2-3, lines 37-60.</w:t>
      </w:r>
    </w:p>
    <w:p>
      <w:r>
        <w:rPr>
          <w:b/>
        </w:rPr>
        <w:t>Evidence</w:t>
      </w:r>
    </w:p>
    <w:p>
      <w:r>
        <w:rPr>
          <w:rFonts w:ascii="Courier New" w:hAnsi="Courier New"/>
          <w:sz w:val="18"/>
        </w:rPr>
        <w:t>docs/revision/RELATED_SOFTWARE_COMPARISON.md</w:t>
      </w:r>
      <w:r>
        <w:rPr>
          <w:b w:val="0"/>
          <w:i w:val="0"/>
        </w:rPr>
        <w:t xml:space="preserve">; </w:t>
      </w:r>
      <w:r>
        <w:rPr>
          <w:rFonts w:ascii="Courier New" w:hAnsi="Courier New"/>
          <w:sz w:val="18"/>
        </w:rPr>
        <w:t>artifacts/revision/manuscript/related-software-comparison.csv</w:t>
      </w:r>
      <w:r>
        <w:rPr>
          <w:b w:val="0"/>
          <w:i w:val="0"/>
        </w:rPr>
        <w:t xml:space="preserve">; </w:t>
      </w:r>
      <w:r>
        <w:rPr>
          <w:rFonts w:ascii="Courier New" w:hAnsi="Courier New"/>
          <w:sz w:val="18"/>
        </w:rPr>
        <w:t>artifacts/revision/manuscript/related-software-sources.json</w:t>
      </w:r>
      <w:r>
        <w:rPr>
          <w:b w:val="0"/>
          <w:i w:val="0"/>
        </w:rPr>
        <w:t>.</w:t>
      </w:r>
    </w:p>
    <w:p>
      <w:r>
        <w:rPr>
          <w:b/>
        </w:rPr>
        <w:t>Scope / non-claim</w:t>
      </w:r>
    </w:p>
    <w:p>
      <w:r>
        <w:rPr>
          <w:b w:val="0"/>
          <w:i w:val="0"/>
        </w:rPr>
        <w:t xml:space="preserve">Third-party cells use </w:t>
      </w:r>
      <w:r>
        <w:rPr>
          <w:i/>
        </w:rPr>
        <w:t>Not reported</w:t>
      </w:r>
      <w:r>
        <w:rPr>
          <w:b w:val="0"/>
          <w:i w:val="0"/>
        </w:rPr>
        <w:t xml:space="preserve"> rather than inferring absence. No cross-system superiority is claimed.</w:t>
      </w:r>
    </w:p>
    <w:p>
      <w:pPr>
        <w:pStyle w:val="4"/>
      </w:pPr>
      <w:r>
        <w:rPr>
          <w:b w:val="0"/>
          <w:i w:val="0"/>
        </w:rPr>
        <w:t>R1-5. Formal data-model contract</w:t>
      </w:r>
    </w:p>
    <w:p>
      <w:r>
        <w:rPr>
          <w:b/>
        </w:rPr>
        <w:t>Reviewer comment</w:t>
      </w:r>
    </w:p>
    <w:p>
      <w:pPr>
        <w:spacing w:before="40" w:after="80"/>
        <w:ind w:left="454" w:right="227"/>
        <w:shd w:fill="F2F4F7"/>
      </w:pPr>
      <w:r>
        <w:rPr>
          <w:b w:val="0"/>
          <w:i/>
        </w:rPr>
        <w:t>The claimed “versioned data-model contract” is central but insufficiently formalized in the manuscript. Section 2.1.2 describes feature mappings, input ordering, schema versions, transformations, targets, and bundle hashes, but the reader is not shown a sufficiently concrete contract specification. Include a compact schema/example containing mandatory fields, versioning rules, validation constraints, feature order, units, transformations, target mapping, and failure behavior.</w:t>
      </w:r>
    </w:p>
    <w:p>
      <w:r>
        <w:rPr>
          <w:b/>
        </w:rPr>
        <w:t>Response</w:t>
      </w:r>
    </w:p>
    <w:p>
      <w:r>
        <w:rPr>
          <w:b w:val="0"/>
          <w:i w:val="0"/>
        </w:rPr>
        <w:t>We exported the authoritative database contract and added a compact real contract extract with timeline, model, feature order, source, raw/engineering units, required/target roles, conversion operator/version, and hashes. We also documented versioning, validation, and fail-closed behavior.</w:t>
      </w:r>
    </w:p>
    <w:p>
      <w:r>
        <w:rPr>
          <w:b/>
        </w:rPr>
        <w:t>Changes in manuscript</w:t>
      </w:r>
    </w:p>
    <w:p>
      <w:r>
        <w:rPr>
          <w:b w:val="0"/>
          <w:i w:val="0"/>
        </w:rPr>
        <w:t>Section 2.1.2, Table 2, and Listing 1 formalize the contract and distinguish the 164-feature common pool, each frozen preprocessor's 114- or 164-column aligned input, database model-feature mapping counts, and output targets.</w:t>
      </w:r>
      <w:r>
        <w:rPr>
          <w:b/>
          <w:color w:val="0B3C82"/>
        </w:rPr>
        <w:t xml:space="preserve"> Final location: pp. 6-7, lines 117-152.</w:t>
      </w:r>
    </w:p>
    <w:p>
      <w:r>
        <w:rPr>
          <w:b/>
        </w:rPr>
        <w:t>Evidence</w:t>
      </w:r>
    </w:p>
    <w:p>
      <w:r>
        <w:rPr>
          <w:rFonts w:ascii="Courier New" w:hAnsi="Courier New"/>
          <w:sz w:val="18"/>
        </w:rPr>
        <w:t>docs/revision/DATA_MODEL_CONTRACT_SPEC.md</w:t>
      </w:r>
      <w:r>
        <w:rPr>
          <w:b w:val="0"/>
          <w:i w:val="0"/>
        </w:rPr>
        <w:t xml:space="preserve">; </w:t>
      </w:r>
      <w:r>
        <w:rPr>
          <w:rFonts w:ascii="Courier New" w:hAnsi="Courier New"/>
          <w:sz w:val="18"/>
        </w:rPr>
        <w:t>docs/revision/examples/data-model-contract.example.json</w:t>
      </w:r>
      <w:r>
        <w:rPr>
          <w:b w:val="0"/>
          <w:i w:val="0"/>
        </w:rPr>
        <w:t xml:space="preserve">; </w:t>
      </w:r>
      <w:r>
        <w:rPr>
          <w:rFonts w:ascii="Courier New" w:hAnsi="Courier New"/>
          <w:sz w:val="18"/>
        </w:rPr>
        <w:t>docs/revision/examples/data-model-contract.schema.json</w:t>
      </w:r>
      <w:r>
        <w:rPr>
          <w:b w:val="0"/>
          <w:i w:val="0"/>
        </w:rPr>
        <w:t xml:space="preserve">; </w:t>
      </w:r>
      <w:r>
        <w:rPr>
          <w:rFonts w:ascii="Courier New" w:hAnsi="Courier New"/>
          <w:sz w:val="18"/>
        </w:rPr>
        <w:t>artifacts/revision/manuscript/data-model-contract-export.json</w:t>
      </w:r>
      <w:r>
        <w:rPr>
          <w:b w:val="0"/>
          <w:i w:val="0"/>
        </w:rPr>
        <w:t>.</w:t>
      </w:r>
    </w:p>
    <w:p>
      <w:r>
        <w:rPr>
          <w:b/>
        </w:rPr>
        <w:t>Scope / non-claim</w:t>
      </w:r>
    </w:p>
    <w:p>
      <w:r>
        <w:rPr>
          <w:b w:val="0"/>
          <w:i w:val="0"/>
        </w:rPr>
        <w:t>The compact listing is illustrative; the repository export is authoritative. We do not claim that the current contract supports arbitrary model families without adapter work.</w:t>
      </w:r>
    </w:p>
    <w:p>
      <w:pPr>
        <w:pStyle w:val="4"/>
      </w:pPr>
      <w:r>
        <w:rPr>
          <w:b w:val="0"/>
          <w:i w:val="0"/>
        </w:rPr>
        <w:t>R1-6. Project Future State definition</w:t>
      </w:r>
    </w:p>
    <w:p>
      <w:r>
        <w:rPr>
          <w:b/>
        </w:rPr>
        <w:t>Reviewer comment</w:t>
      </w:r>
    </w:p>
    <w:p>
      <w:pPr>
        <w:spacing w:before="40" w:after="80"/>
        <w:ind w:left="454" w:right="227"/>
        <w:shd w:fill="F2F4F7"/>
      </w:pPr>
      <w:r>
        <w:rPr>
          <w:b w:val="0"/>
          <w:i/>
        </w:rPr>
        <w:t>The project future-state concept requires a more precise formal definition. It is described as synchronized multi-target forecasts plus target/station/project risk summaries, but the aggregation from 124 target channels to station-level and project-level states is not sufficiently explicit. Provide either mathematical definitions, pseudocode, or an algorithm showing synchronization, threshold evaluation, aggregation, earliest exceedance determination, and project-state assignment.</w:t>
      </w:r>
    </w:p>
    <w:p>
      <w:r>
        <w:rPr>
          <w:b/>
        </w:rPr>
        <w:t>Response</w:t>
      </w:r>
    </w:p>
    <w:p>
      <w:r>
        <w:rPr>
          <w:b w:val="0"/>
          <w:i w:val="0"/>
        </w:rPr>
        <w:t>We derived Algorithm 1 from the frozen service implementation. It covers policy-hash validation, batch/horizon resolution, engineering-series selection, unit-compatible threshold evaluation, consecutive-step streaks, target/station/timeline aggregation, observed-versus-forecast risk, earliest exceedance, and deterministic state hashing.</w:t>
      </w:r>
    </w:p>
    <w:p>
      <w:r>
        <w:rPr>
          <w:b/>
        </w:rPr>
        <w:t>Changes in manuscript</w:t>
      </w:r>
    </w:p>
    <w:p>
      <w:r>
        <w:rPr>
          <w:b w:val="0"/>
          <w:i w:val="0"/>
        </w:rPr>
        <w:t>Section 2.1.3 now contains Algorithm 1 and precise boundary semantics. Section 3 reports six boundary tests and runtime.</w:t>
      </w:r>
      <w:r>
        <w:rPr>
          <w:b/>
          <w:color w:val="0B3C82"/>
        </w:rPr>
        <w:t xml:space="preserve"> Final location: pp. 7-8, lines 153-167.</w:t>
      </w:r>
    </w:p>
    <w:p>
      <w:r>
        <w:rPr>
          <w:b/>
        </w:rPr>
        <w:t>Evidence</w:t>
      </w:r>
    </w:p>
    <w:p>
      <w:r>
        <w:rPr>
          <w:rFonts w:ascii="Courier New" w:hAnsi="Courier New"/>
          <w:sz w:val="18"/>
        </w:rPr>
        <w:t>docs/revision/PROJECT_FUTURE_STATE_ALGORITHM.md</w:t>
      </w:r>
      <w:r>
        <w:rPr>
          <w:b w:val="0"/>
          <w:i w:val="0"/>
        </w:rPr>
        <w:t xml:space="preserve">; </w:t>
      </w:r>
      <w:r>
        <w:rPr>
          <w:rFonts w:ascii="Courier New" w:hAnsi="Courier New"/>
          <w:sz w:val="18"/>
        </w:rPr>
        <w:t>docs/revision/PROJECT_FUTURE_STATE_SPEC.md</w:t>
      </w:r>
      <w:r>
        <w:rPr>
          <w:b w:val="0"/>
          <w:i w:val="0"/>
        </w:rPr>
        <w:t xml:space="preserve">; </w:t>
      </w:r>
      <w:r>
        <w:rPr>
          <w:rFonts w:ascii="Courier New" w:hAnsi="Courier New"/>
          <w:sz w:val="18"/>
        </w:rPr>
        <w:t>artifacts/revision/manuscript/future-state-boundary-tests.json</w:t>
      </w:r>
      <w:r>
        <w:rPr>
          <w:b w:val="0"/>
          <w:i w:val="0"/>
        </w:rPr>
        <w:t>.</w:t>
      </w:r>
    </w:p>
    <w:p>
      <w:r>
        <w:rPr>
          <w:b/>
        </w:rPr>
        <w:t>Scope / non-claim</w:t>
      </w:r>
    </w:p>
    <w:p>
      <w:r>
        <w:rPr>
          <w:b w:val="0"/>
          <w:i w:val="0"/>
        </w:rPr>
        <w:t>Project Future State is deterministic rule-bound aggregation, not probabilistic calibration, causal inference, or an Execute prerequisite.</w:t>
      </w:r>
    </w:p>
    <w:p>
      <w:pPr>
        <w:pStyle w:val="4"/>
      </w:pPr>
      <w:r>
        <w:rPr>
          <w:b w:val="0"/>
          <w:i w:val="0"/>
        </w:rPr>
        <w:t>R1-7. Six-model reproducibility</w:t>
      </w:r>
    </w:p>
    <w:p>
      <w:r>
        <w:rPr>
          <w:b/>
        </w:rPr>
        <w:t>Reviewer comment</w:t>
      </w:r>
    </w:p>
    <w:p>
      <w:pPr>
        <w:spacing w:before="40" w:after="80"/>
        <w:ind w:left="454" w:right="227"/>
        <w:shd w:fill="F2F4F7"/>
      </w:pPr>
      <w:r>
        <w:rPr>
          <w:b w:val="0"/>
          <w:i/>
        </w:rPr>
        <w:t>The six forecasting models are under-described for reproducibility. All are stated to use a Transformer-CNN architecture, but Table 1 mainly provides input/output dimensions. Since model bundles are integral to the reproducible workflow, provide essential architecture/configuration information or point explicitly to immutable model-card/configuration files corresponding to release v1.0.0.</w:t>
      </w:r>
    </w:p>
    <w:p>
      <w:r>
        <w:rPr>
          <w:b/>
        </w:rPr>
        <w:t>Response</w:t>
      </w:r>
    </w:p>
    <w:p>
      <w:r>
        <w:rPr>
          <w:b w:val="0"/>
          <w:i w:val="0"/>
        </w:rPr>
        <w:t>We reconciled model-specific history, aligned input and target counts against the frozen preprocessors, inference scripts, model-weight shapes, and Phase 0.6 numerical matrices. We also report Transformer dimensions, attention heads, feed-forward dimensions, CNN channels/kernel, parameter source, and verified hashes. The database mapping counts previously labelled as inputs are now identified separately.</w:t>
      </w:r>
    </w:p>
    <w:p>
      <w:r>
        <w:rPr>
          <w:b/>
        </w:rPr>
        <w:t>Changes in manuscript</w:t>
      </w:r>
    </w:p>
    <w:p>
      <w:r>
        <w:rPr>
          <w:b w:val="0"/>
          <w:i w:val="0"/>
        </w:rPr>
        <w:t>Table 2 reports the verified aligned-input/output configuration: YD 114/42, XD 114/42, Strain 114/14, Pressure 114/14, Water 114/2, and Settlement 164/10, with 12-16 declared runner histories. Pressure declares 13 rows but its frozen script consumes the final 12 rows (</w:t>
      </w:r>
      <w:r>
        <w:rPr>
          <w:rFonts w:ascii="Courier New" w:hAnsi="Courier New"/>
          <w:sz w:val="18"/>
        </w:rPr>
        <w:t>m=10</w:t>
      </w:r>
      <w:r>
        <w:rPr>
          <w:b w:val="0"/>
          <w:i w:val="0"/>
        </w:rPr>
        <w:t xml:space="preserve">, </w:t>
      </w:r>
      <w:r>
        <w:rPr>
          <w:rFonts w:ascii="Courier New" w:hAnsi="Courier New"/>
          <w:sz w:val="18"/>
        </w:rPr>
        <w:t>lag=2</w:t>
      </w:r>
      <w:r>
        <w:rPr>
          <w:b w:val="0"/>
          <w:i w:val="0"/>
        </w:rPr>
        <w:t>).</w:t>
      </w:r>
      <w:r>
        <w:rPr>
          <w:b/>
          <w:color w:val="0B3C82"/>
        </w:rPr>
        <w:t xml:space="preserve"> Final location: pp. 6-7, lines 125-142.</w:t>
      </w:r>
    </w:p>
    <w:p>
      <w:r>
        <w:rPr>
          <w:b/>
        </w:rPr>
        <w:t>Evidence</w:t>
      </w:r>
    </w:p>
    <w:p>
      <w:r>
        <w:rPr>
          <w:rFonts w:ascii="Courier New" w:hAnsi="Courier New"/>
          <w:sz w:val="18"/>
        </w:rPr>
        <w:t>artifacts/revision/manuscript/MODEL_DIMENSION_RECONCILIATION.md</w:t>
      </w:r>
      <w:r>
        <w:rPr>
          <w:b w:val="0"/>
          <w:i w:val="0"/>
        </w:rPr>
        <w:t xml:space="preserve">; </w:t>
      </w:r>
      <w:r>
        <w:rPr>
          <w:rFonts w:ascii="Courier New" w:hAnsi="Courier New"/>
          <w:sz w:val="18"/>
        </w:rPr>
        <w:t>artifacts/revision/manuscript/model-dimension-reconciliation.json</w:t>
      </w:r>
      <w:r>
        <w:rPr>
          <w:b w:val="0"/>
          <w:i w:val="0"/>
        </w:rPr>
        <w:t xml:space="preserve">; </w:t>
      </w:r>
      <w:r>
        <w:rPr>
          <w:rFonts w:ascii="Courier New" w:hAnsi="Courier New"/>
          <w:sz w:val="18"/>
        </w:rPr>
        <w:t>docs/revision/MODEL_CONFIG_SUMMARY.md</w:t>
      </w:r>
      <w:r>
        <w:rPr>
          <w:b w:val="0"/>
          <w:i w:val="0"/>
        </w:rPr>
        <w:t xml:space="preserve">; immutable model cards and hashes under </w:t>
      </w:r>
      <w:r>
        <w:rPr>
          <w:rFonts w:ascii="Courier New" w:hAnsi="Courier New"/>
          <w:sz w:val="18"/>
        </w:rPr>
        <w:t>src/pit_pre/models/</w:t>
      </w:r>
      <w:r>
        <w:rPr>
          <w:b w:val="0"/>
          <w:i w:val="0"/>
        </w:rPr>
        <w:t>.</w:t>
      </w:r>
    </w:p>
    <w:p>
      <w:r>
        <w:rPr>
          <w:b/>
        </w:rPr>
        <w:t>Scope / non-claim</w:t>
      </w:r>
    </w:p>
    <w:p>
      <w:r>
        <w:rPr>
          <w:b w:val="0"/>
          <w:i w:val="0"/>
        </w:rPr>
        <w:t>Unrecorded training parameters are not inferred. Model configuration evidence is not presented as a new accuracy benchmark.</w:t>
      </w:r>
    </w:p>
    <w:p>
      <w:pPr>
        <w:pStyle w:val="4"/>
      </w:pPr>
      <w:r>
        <w:rPr>
          <w:b w:val="0"/>
          <w:i w:val="0"/>
        </w:rPr>
        <w:t>R1-8. Point forecasts</w:t>
      </w:r>
    </w:p>
    <w:p>
      <w:r>
        <w:rPr>
          <w:b/>
        </w:rPr>
        <w:t>Reviewer comment</w:t>
      </w:r>
    </w:p>
    <w:p>
      <w:pPr>
        <w:spacing w:before="40" w:after="80"/>
        <w:ind w:left="454" w:right="227"/>
        <w:shd w:fill="F2F4F7"/>
      </w:pPr>
      <w:r>
        <w:rPr>
          <w:b w:val="0"/>
          <w:i/>
        </w:rPr>
        <w:t>The use of only point forecasts is a significant limitation for forecast-aware event management.</w:t>
      </w:r>
    </w:p>
    <w:p>
      <w:r>
        <w:rPr>
          <w:b/>
        </w:rPr>
        <w:t>Response</w:t>
      </w:r>
    </w:p>
    <w:p>
      <w:r>
        <w:rPr>
          <w:b w:val="0"/>
          <w:i w:val="0"/>
        </w:rPr>
        <w:t>We agree and now state this limitation in the Abstract-level scope, model section, validation interpretation, Impact, and Conclusions. The Gate verifies software/data eligibility; it does not transform point forecasts into predictive confidence.</w:t>
      </w:r>
    </w:p>
    <w:p>
      <w:r>
        <w:rPr>
          <w:b/>
        </w:rPr>
        <w:t>Changes in manuscript</w:t>
      </w:r>
    </w:p>
    <w:p>
      <w:r>
        <w:rPr>
          <w:b w:val="0"/>
          <w:i w:val="0"/>
        </w:rPr>
        <w:t>Sections 2.1.3, 4.4, and 5 explicitly exclude calibrated intervals, quantiles, confidence, and probabilistic exceedance.</w:t>
      </w:r>
      <w:r>
        <w:rPr>
          <w:b/>
          <w:color w:val="0B3C82"/>
        </w:rPr>
        <w:t xml:space="preserve"> Final location: pp. 16-17, lines 336-373.</w:t>
      </w:r>
    </w:p>
    <w:p>
      <w:r>
        <w:rPr>
          <w:b/>
        </w:rPr>
        <w:t>Evidence</w:t>
      </w:r>
    </w:p>
    <w:p>
      <w:r>
        <w:rPr>
          <w:rFonts w:ascii="Courier New" w:hAnsi="Courier New"/>
          <w:sz w:val="18"/>
        </w:rPr>
        <w:t>docs/revision/MODEL_CONFIG_SUMMARY.md</w:t>
      </w:r>
      <w:r>
        <w:rPr>
          <w:b w:val="0"/>
          <w:i w:val="0"/>
        </w:rPr>
        <w:t xml:space="preserve">; </w:t>
      </w:r>
      <w:r>
        <w:rPr>
          <w:rFonts w:ascii="Courier New" w:hAnsi="Courier New"/>
          <w:sz w:val="18"/>
        </w:rPr>
        <w:t>artifacts/revision/manuscript/FINAL_LIMITATION_MATRIX.md</w:t>
      </w:r>
      <w:r>
        <w:rPr>
          <w:b w:val="0"/>
          <w:i w:val="0"/>
        </w:rPr>
        <w:t>.</w:t>
      </w:r>
    </w:p>
    <w:p>
      <w:r>
        <w:rPr>
          <w:b/>
        </w:rPr>
        <w:t>Scope / non-claim</w:t>
      </w:r>
    </w:p>
    <w:p>
      <w:r>
        <w:rPr>
          <w:b w:val="0"/>
          <w:i w:val="0"/>
        </w:rPr>
        <w:t>No uncertainty interval, probabilistic risk, or confidence claim is made.</w:t>
      </w:r>
    </w:p>
    <w:p>
      <w:pPr>
        <w:pStyle w:val="4"/>
      </w:pPr>
      <w:r>
        <w:rPr>
          <w:b w:val="0"/>
          <w:i w:val="0"/>
        </w:rPr>
        <w:t>R1-9. Runtime scalability</w:t>
      </w:r>
    </w:p>
    <w:p>
      <w:r>
        <w:rPr>
          <w:b/>
        </w:rPr>
        <w:t>Reviewer comment</w:t>
      </w:r>
    </w:p>
    <w:p>
      <w:pPr>
        <w:spacing w:before="40" w:after="80"/>
        <w:ind w:left="454" w:right="227"/>
        <w:shd w:fill="F2F4F7"/>
      </w:pPr>
      <w:r>
        <w:rPr>
          <w:b w:val="0"/>
          <w:i/>
        </w:rPr>
        <w:t>The manuscript should quantify runtime scalability. The reference case contains only 2,464 observations, nine field points, 124 target channels, 40 future steps, and 4,960 forecast records. Report inference time, future-state construction time, Evaluate/Execute latency, database size or query latency, and preferably scaling experiments with increasing points/targets/forecast records.</w:t>
      </w:r>
    </w:p>
    <w:p>
      <w:r>
        <w:rPr>
          <w:b/>
        </w:rPr>
        <w:t>Response</w:t>
      </w:r>
    </w:p>
    <w:p>
      <w:r>
        <w:rPr>
          <w:b w:val="0"/>
          <w:i w:val="0"/>
        </w:rPr>
        <w:t>We added 30-run reference measurements for prediction, input assembly, inference, conversion, persistence estimate, hashing, Gate, Future State, joint series, Evaluate, and provenance, plus 10 Execute runs. We also report two Gate stress endpoints: 4,960 and 49,600 rows.</w:t>
      </w:r>
    </w:p>
    <w:p>
      <w:r>
        <w:rPr>
          <w:b/>
        </w:rPr>
        <w:t>Changes in manuscript</w:t>
      </w:r>
    </w:p>
    <w:p>
      <w:r>
        <w:rPr>
          <w:b w:val="0"/>
          <w:i w:val="0"/>
        </w:rPr>
        <w:t>Section 3.4 and Table 6 report median, p95, workload, and repetition count. The reference Gate median/p95 are 343.129/407.100 ms.</w:t>
      </w:r>
      <w:r>
        <w:rPr>
          <w:b/>
          <w:color w:val="0B3C82"/>
        </w:rPr>
        <w:t xml:space="preserve"> Final location: p. 14, lines 273-283.</w:t>
      </w:r>
    </w:p>
    <w:p>
      <w:r>
        <w:rPr>
          <w:b/>
        </w:rPr>
        <w:t>Evidence</w:t>
      </w:r>
    </w:p>
    <w:p>
      <w:r>
        <w:rPr>
          <w:rFonts w:ascii="Courier New" w:hAnsi="Courier New"/>
          <w:sz w:val="18"/>
        </w:rPr>
        <w:t>artifacts/revision/manuscript/final-performance-table.md</w:t>
      </w:r>
      <w:r>
        <w:rPr>
          <w:b w:val="0"/>
          <w:i w:val="0"/>
        </w:rPr>
        <w:t xml:space="preserve">; </w:t>
      </w:r>
      <w:r>
        <w:rPr>
          <w:rFonts w:ascii="Courier New" w:hAnsi="Courier New"/>
          <w:sz w:val="18"/>
        </w:rPr>
        <w:t>artifacts/revision/benchmarks/route-p/</w:t>
      </w:r>
      <w:r>
        <w:rPr>
          <w:b w:val="0"/>
          <w:i w:val="0"/>
        </w:rPr>
        <w:t>.</w:t>
      </w:r>
    </w:p>
    <w:p>
      <w:r>
        <w:rPr>
          <w:b/>
        </w:rPr>
        <w:t>Scope / non-claim</w:t>
      </w:r>
    </w:p>
    <w:p>
      <w:r>
        <w:rPr>
          <w:b w:val="0"/>
          <w:i w:val="0"/>
        </w:rPr>
        <w:t>We do not claim linear scaling, O(N), multi-user capacity, or production throughput.</w:t>
      </w:r>
    </w:p>
    <w:p>
      <w:pPr>
        <w:pStyle w:val="4"/>
      </w:pPr>
      <w:r>
        <w:rPr>
          <w:b w:val="0"/>
          <w:i w:val="0"/>
        </w:rPr>
        <w:t>R1-10. MySQL characterization</w:t>
      </w:r>
    </w:p>
    <w:p>
      <w:r>
        <w:rPr>
          <w:b/>
        </w:rPr>
        <w:t>Reviewer comment</w:t>
      </w:r>
    </w:p>
    <w:p>
      <w:pPr>
        <w:spacing w:before="40" w:after="80"/>
        <w:ind w:left="454" w:right="227"/>
        <w:shd w:fill="F2F4F7"/>
      </w:pPr>
      <w:r>
        <w:rPr>
          <w:b w:val="0"/>
          <w:i/>
        </w:rPr>
        <w:t>MySQL scalability is acknowledged but not experimentally characterized. The authors correctly state that high-frequency waveforms may require alternative storage adapters. A small stress/scalability experiment would help establish the practical boundary at which the current MySQL implementation becomes unsuitable.</w:t>
      </w:r>
    </w:p>
    <w:p>
      <w:r>
        <w:rPr>
          <w:b/>
        </w:rPr>
        <w:t>Response</w:t>
      </w:r>
    </w:p>
    <w:p>
      <w:r>
        <w:rPr>
          <w:b w:val="0"/>
          <w:i w:val="0"/>
        </w:rPr>
        <w:t>We added single-run MySQL persistence and independent integrity-verification characterization at 4,960 and 49,600 rows, alongside repeated Gate endpoints. We also documented the exact data-access boundary and the responsibilities of a future adapter.</w:t>
      </w:r>
    </w:p>
    <w:p>
      <w:r>
        <w:rPr>
          <w:b/>
        </w:rPr>
        <w:t>Changes in manuscript</w:t>
      </w:r>
    </w:p>
    <w:p>
      <w:r>
        <w:rPr>
          <w:b w:val="0"/>
          <w:i w:val="0"/>
        </w:rPr>
        <w:t>Section 3.4 reports persistence and integrity timings; Section 4.4 states that MySQL is the only validated backend. The 50,000-row Gate cap is explicitly identified as an application safeguard.</w:t>
      </w:r>
      <w:r>
        <w:rPr>
          <w:b/>
          <w:color w:val="0B3C82"/>
        </w:rPr>
        <w:t xml:space="preserve"> Final location: p. 14, lines 273-283; p. 16, lines 340-342.</w:t>
      </w:r>
    </w:p>
    <w:p>
      <w:r>
        <w:rPr>
          <w:b/>
        </w:rPr>
        <w:t>Evidence</w:t>
      </w:r>
    </w:p>
    <w:p>
      <w:r>
        <w:rPr>
          <w:rFonts w:ascii="Courier New" w:hAnsi="Courier New"/>
          <w:sz w:val="18"/>
        </w:rPr>
        <w:t>artifacts/revision/manuscript/final-performance-table.md</w:t>
      </w:r>
      <w:r>
        <w:rPr>
          <w:b w:val="0"/>
          <w:i w:val="0"/>
        </w:rPr>
        <w:t xml:space="preserve">; </w:t>
      </w:r>
      <w:r>
        <w:rPr>
          <w:rFonts w:ascii="Courier New" w:hAnsi="Courier New"/>
          <w:sz w:val="18"/>
        </w:rPr>
        <w:t>docs/revision/STORAGE_ADAPTER_BOUNDARY.md</w:t>
      </w:r>
      <w:r>
        <w:rPr>
          <w:b w:val="0"/>
          <w:i w:val="0"/>
        </w:rPr>
        <w:t>.</w:t>
      </w:r>
    </w:p>
    <w:p>
      <w:r>
        <w:rPr>
          <w:b/>
        </w:rPr>
        <w:t>Scope / non-claim</w:t>
      </w:r>
    </w:p>
    <w:p>
      <w:r>
        <w:rPr>
          <w:b w:val="0"/>
          <w:i w:val="0"/>
        </w:rPr>
        <w:t>We do not infer a MySQL capacity limit from two endpoints and do not claim performance or compatibility for an unimplemented time-series database.</w:t>
      </w:r>
    </w:p>
    <w:p>
      <w:pPr>
        <w:pStyle w:val="4"/>
      </w:pPr>
      <w:r>
        <w:rPr>
          <w:b w:val="0"/>
          <w:i w:val="0"/>
        </w:rPr>
        <w:t>R1-11. Security boundary</w:t>
      </w:r>
    </w:p>
    <w:p>
      <w:r>
        <w:rPr>
          <w:b/>
        </w:rPr>
        <w:t>Reviewer comment</w:t>
      </w:r>
    </w:p>
    <w:p>
      <w:pPr>
        <w:spacing w:before="40" w:after="80"/>
        <w:ind w:left="454" w:right="227"/>
        <w:shd w:fill="F2F4F7"/>
      </w:pPr>
      <w:r>
        <w:rPr>
          <w:b w:val="0"/>
          <w:i/>
        </w:rPr>
        <w:t>Security is currently a notable deployment limitation. The paper states that the public baseline assumes a trusted network and has no application-level authentication. Since formal engineering events and response workflows can be created, access control, authentication, authorization, audit protection, and API security deserve clearer treatment before presenting the software as suitable for operational environments.</w:t>
      </w:r>
    </w:p>
    <w:p>
      <w:r>
        <w:rPr>
          <w:b/>
        </w:rPr>
        <w:t>Response</w:t>
      </w:r>
    </w:p>
    <w:p>
      <w:r>
        <w:rPr>
          <w:b w:val="0"/>
          <w:i w:val="0"/>
        </w:rPr>
        <w:t>We added a release security policy and operational deployment guidance covering TLS, identity, RBAC, separate Execute authorization, least-privilege database roles, secret management, segmentation, protected audit/provenance storage, rate limits, and backup/restore. We also clarify that SHA-256 is not tamper-proof against a privileged attacker.</w:t>
      </w:r>
    </w:p>
    <w:p>
      <w:r>
        <w:rPr>
          <w:b/>
        </w:rPr>
        <w:t>Changes in manuscript</w:t>
      </w:r>
    </w:p>
    <w:p>
      <w:r>
        <w:rPr>
          <w:b w:val="0"/>
          <w:i w:val="0"/>
        </w:rPr>
        <w:t>Section 4.4 now identifies the research-reference security boundary and recommended controls.</w:t>
      </w:r>
      <w:r>
        <w:rPr>
          <w:b/>
          <w:color w:val="0B3C82"/>
        </w:rPr>
        <w:t xml:space="preserve"> Final location: pp. 16-17, lines 345-351.</w:t>
      </w:r>
    </w:p>
    <w:p>
      <w:r>
        <w:rPr>
          <w:b/>
        </w:rPr>
        <w:t>Evidence</w:t>
      </w:r>
    </w:p>
    <w:p>
      <w:r>
        <w:rPr>
          <w:rFonts w:ascii="Courier New" w:hAnsi="Courier New"/>
          <w:sz w:val="18"/>
        </w:rPr>
        <w:t>SECURITY.md</w:t>
      </w:r>
      <w:r>
        <w:rPr>
          <w:b w:val="0"/>
          <w:i w:val="0"/>
        </w:rPr>
        <w:t>.</w:t>
      </w:r>
    </w:p>
    <w:p>
      <w:r>
        <w:rPr>
          <w:b/>
        </w:rPr>
        <w:t>Scope / non-claim</w:t>
      </w:r>
    </w:p>
    <w:p>
      <w:r>
        <w:rPr>
          <w:b w:val="0"/>
          <w:i w:val="0"/>
        </w:rPr>
        <w:t>No built-in application authentication, security certification, secure-by-default claim, or privileged-attacker resistance is asserted.</w:t>
      </w:r>
    </w:p>
    <w:p>
      <w:pPr>
        <w:pStyle w:val="4"/>
      </w:pPr>
      <w:r>
        <w:rPr>
          <w:b w:val="0"/>
          <w:i w:val="0"/>
        </w:rPr>
        <w:t>R1-12. Linux and container portability</w:t>
      </w:r>
    </w:p>
    <w:p>
      <w:r>
        <w:rPr>
          <w:b/>
        </w:rPr>
        <w:t>Reviewer comment</w:t>
      </w:r>
    </w:p>
    <w:p>
      <w:pPr>
        <w:spacing w:before="40" w:after="80"/>
        <w:ind w:left="454" w:right="227"/>
        <w:shd w:fill="F2F4F7"/>
      </w:pPr>
      <w:r>
        <w:rPr>
          <w:b w:val="0"/>
          <w:i/>
        </w:rPr>
        <w:t>Reproducibility appears strong but is currently Windows-centric. The reproduction workflow was validated only on Windows 10/11 with PowerShell 7. For open research software using Java, Python, MySQL, Vue, and Node.js, Linux validation and/or containerized deployment would substantially improve portability. A Docker/Docker Compose reproduction environment would be valuable.</w:t>
      </w:r>
    </w:p>
    <w:p>
      <w:r>
        <w:rPr>
          <w:b/>
        </w:rPr>
        <w:t>Response</w:t>
      </w:r>
    </w:p>
    <w:p>
      <w:r>
        <w:rPr>
          <w:b w:val="0"/>
          <w:i w:val="0"/>
        </w:rPr>
        <w:t>We added and exercised Docker/Docker Compose component and logical end-to-end workflows. The Docker/Linux run completed six models, 124 targets, 40 steps, 4,960 rows, Gate, Project Future State, Evaluate, Execute, and provenance. Input and model-contract hashes matched, and 4,960/4,960 rows matched structurally. The normalized output hash differed from Windows (</w:t>
      </w:r>
      <w:r>
        <w:rPr>
          <w:rFonts w:ascii="Courier New" w:hAnsi="Courier New"/>
          <w:sz w:val="18"/>
        </w:rPr>
        <w:t>exactPredictionReproduction=false</w:t>
      </w:r>
      <w:r>
        <w:rPr>
          <w:b w:val="0"/>
          <w:i w:val="0"/>
        </w:rPr>
        <w:t>); the maximum persisted absolute difference was 0.00285349; no tolerance was introduced (</w:t>
      </w:r>
      <w:r>
        <w:rPr>
          <w:rFonts w:ascii="Courier New" w:hAnsi="Courier New"/>
          <w:sz w:val="18"/>
        </w:rPr>
        <w:t>toleranceApplied=false</w:t>
      </w:r>
      <w:r>
        <w:rPr>
          <w:b w:val="0"/>
          <w:i w:val="0"/>
        </w:rPr>
        <w:t>).</w:t>
      </w:r>
    </w:p>
    <w:p>
      <w:r>
        <w:rPr>
          <w:b/>
        </w:rPr>
        <w:t>Changes in manuscript</w:t>
      </w:r>
    </w:p>
    <w:p>
      <w:r>
        <w:rPr>
          <w:b w:val="0"/>
          <w:i w:val="0"/>
        </w:rPr>
        <w:t>Metadata C6, Sections 3.5 and 4.4, and the availability/reproduction guidance now report this bounded result.</w:t>
      </w:r>
      <w:r>
        <w:rPr>
          <w:b/>
          <w:color w:val="0B3C82"/>
        </w:rPr>
        <w:t xml:space="preserve"> Final location: p. 15, lines 295-301; p. 17, lines 352-354.</w:t>
      </w:r>
    </w:p>
    <w:p>
      <w:r>
        <w:rPr>
          <w:b/>
        </w:rPr>
        <w:t>Evidence</w:t>
      </w:r>
    </w:p>
    <w:p>
      <w:r>
        <w:rPr>
          <w:rFonts w:ascii="Courier New" w:hAnsi="Courier New"/>
          <w:sz w:val="18"/>
        </w:rPr>
        <w:t>compose.yaml</w:t>
      </w:r>
      <w:r>
        <w:rPr>
          <w:b w:val="0"/>
          <w:i w:val="0"/>
        </w:rPr>
        <w:t xml:space="preserve">; </w:t>
      </w:r>
      <w:r>
        <w:rPr>
          <w:rFonts w:ascii="Courier New" w:hAnsi="Courier New"/>
          <w:sz w:val="18"/>
        </w:rPr>
        <w:t>src/backend/Dockerfile</w:t>
      </w:r>
      <w:r>
        <w:rPr>
          <w:b w:val="0"/>
          <w:i w:val="0"/>
        </w:rPr>
        <w:t xml:space="preserve">; </w:t>
      </w:r>
      <w:r>
        <w:rPr>
          <w:rFonts w:ascii="Courier New" w:hAnsi="Courier New"/>
          <w:sz w:val="18"/>
        </w:rPr>
        <w:t>src/frontend/Dockerfile</w:t>
      </w:r>
      <w:r>
        <w:rPr>
          <w:b w:val="0"/>
          <w:i w:val="0"/>
        </w:rPr>
        <w:t xml:space="preserve">; </w:t>
      </w:r>
      <w:r>
        <w:rPr>
          <w:rFonts w:ascii="Courier New" w:hAnsi="Courier New"/>
          <w:sz w:val="18"/>
        </w:rPr>
        <w:t>src/pit_pre/Dockerfile</w:t>
      </w:r>
      <w:r>
        <w:rPr>
          <w:b w:val="0"/>
          <w:i w:val="0"/>
        </w:rPr>
        <w:t xml:space="preserve">; </w:t>
      </w:r>
      <w:r>
        <w:rPr>
          <w:rFonts w:ascii="Courier New" w:hAnsi="Courier New"/>
          <w:sz w:val="18"/>
        </w:rPr>
        <w:t>artifacts/revision/portability/cross-platform-comparison.json</w:t>
      </w:r>
      <w:r>
        <w:rPr>
          <w:b w:val="0"/>
          <w:i w:val="0"/>
        </w:rPr>
        <w:t xml:space="preserve">; </w:t>
      </w:r>
      <w:r>
        <w:rPr>
          <w:rFonts w:ascii="Courier New" w:hAnsi="Courier New"/>
          <w:sz w:val="18"/>
        </w:rPr>
        <w:t>artifacts/revision/portability/cross-platform-numeric-difference.json</w:t>
      </w:r>
      <w:r>
        <w:rPr>
          <w:b w:val="0"/>
          <w:i w:val="0"/>
        </w:rPr>
        <w:t>; full row-wise comparison artifact.</w:t>
      </w:r>
    </w:p>
    <w:p>
      <w:r>
        <w:rPr>
          <w:b/>
        </w:rPr>
        <w:t>Scope / non-claim</w:t>
      </w:r>
    </w:p>
    <w:p>
      <w:r>
        <w:rPr>
          <w:b w:val="0"/>
          <w:i w:val="0"/>
        </w:rPr>
        <w:t>Windows remains the exact-output reference. The container result is reported only as functional/logical end-to-end portability; numerical output identity and separately captured native Ubuntu-host validation are not established.</w:t>
      </w:r>
    </w:p>
    <w:p>
      <w:pPr>
        <w:pStyle w:val="4"/>
      </w:pPr>
      <w:r>
        <w:rPr>
          <w:b w:val="0"/>
          <w:i w:val="0"/>
        </w:rPr>
        <w:t>R1-13. Validation/evaluation/execution sequence</w:t>
      </w:r>
    </w:p>
    <w:p>
      <w:r>
        <w:rPr>
          <w:b/>
        </w:rPr>
        <w:t>Reviewer comment</w:t>
      </w:r>
    </w:p>
    <w:p>
      <w:pPr>
        <w:spacing w:before="40" w:after="80"/>
        <w:ind w:left="454" w:right="227"/>
        <w:shd w:fill="F2F4F7"/>
      </w:pPr>
      <w:r>
        <w:rPr>
          <w:b w:val="0"/>
          <w:i/>
        </w:rPr>
        <w:t>Figure 3 communicates the core contribution well, but the distinction between validation, rule evaluation, and execution eligibility should be made even clearer. These are different safeguards and currently risk appearing conceptually overlapping. A sequence diagram showing Forecast → Persist → Validate → Evaluate → Recheck Gate → Execute → Provenance would make the software behavior more rigorous.</w:t>
      </w:r>
    </w:p>
    <w:p>
      <w:r>
        <w:rPr>
          <w:b/>
        </w:rPr>
        <w:t>Response</w:t>
      </w:r>
    </w:p>
    <w:p>
      <w:r>
        <w:rPr>
          <w:b w:val="0"/>
          <w:i w:val="0"/>
        </w:rPr>
        <w:t>We replaced the ambiguous mechanism flow with a code-crosschecked sequence. It separates contract/integrity validation, optional Future State inspection, rule semantic validation, Evaluate candidate calculation plus its audit-run insertion, Execute Gate recomputation/persistence, formal business side effects, and provenance.</w:t>
      </w:r>
    </w:p>
    <w:p>
      <w:r>
        <w:rPr>
          <w:b/>
        </w:rPr>
        <w:t>Changes in manuscript</w:t>
      </w:r>
    </w:p>
    <w:p>
      <w:r>
        <w:rPr>
          <w:b w:val="0"/>
          <w:i w:val="0"/>
        </w:rPr>
        <w:t>Section 2.1.4 and revised Fig. 3 define the sequence and state that Future State is an independent read path rather than an Execute precondition.</w:t>
      </w:r>
      <w:r>
        <w:rPr>
          <w:b/>
          <w:color w:val="0B3C82"/>
        </w:rPr>
        <w:t xml:space="preserve"> Final location: p. 9, lines 168-193.</w:t>
      </w:r>
    </w:p>
    <w:p>
      <w:r>
        <w:rPr>
          <w:b/>
        </w:rPr>
        <w:t>Evidence</w:t>
      </w:r>
    </w:p>
    <w:p>
      <w:r>
        <w:rPr>
          <w:rFonts w:ascii="Courier New" w:hAnsi="Courier New"/>
          <w:sz w:val="18"/>
        </w:rPr>
        <w:t>docs/revision/figures/forecast-event-sequence.mmd</w:t>
      </w:r>
      <w:r>
        <w:rPr>
          <w:b w:val="0"/>
          <w:i w:val="0"/>
        </w:rPr>
        <w:t xml:space="preserve">; </w:t>
      </w:r>
      <w:r>
        <w:rPr>
          <w:rFonts w:ascii="Courier New" w:hAnsi="Courier New"/>
          <w:sz w:val="18"/>
        </w:rPr>
        <w:t>artifacts/revision/manuscript/sequence-code-crosscheck.json</w:t>
      </w:r>
      <w:r>
        <w:rPr>
          <w:b w:val="0"/>
          <w:i w:val="0"/>
        </w:rPr>
        <w:t>.</w:t>
      </w:r>
    </w:p>
    <w:p>
      <w:r>
        <w:rPr>
          <w:b/>
        </w:rPr>
        <w:t>Scope / non-claim</w:t>
      </w:r>
    </w:p>
    <w:p>
      <w:r>
        <w:rPr>
          <w:b w:val="0"/>
          <w:i w:val="0"/>
        </w:rPr>
        <w:t>The sequence does not imply that Evaluate authorizes Execute or that Project Future State is required for formal execution.</w:t>
      </w:r>
    </w:p>
    <w:p>
      <w:pPr>
        <w:pStyle w:val="4"/>
      </w:pPr>
      <w:r>
        <w:rPr>
          <w:b w:val="0"/>
          <w:i w:val="0"/>
        </w:rPr>
        <w:t>R1-14. Figure 4 screenshots</w:t>
      </w:r>
    </w:p>
    <w:p>
      <w:r>
        <w:rPr>
          <w:b/>
        </w:rPr>
        <w:t>Reviewer comment</w:t>
      </w:r>
    </w:p>
    <w:p>
      <w:pPr>
        <w:spacing w:before="40" w:after="80"/>
        <w:ind w:left="454" w:right="227"/>
        <w:shd w:fill="F2F4F7"/>
      </w:pPr>
      <w:r>
        <w:rPr>
          <w:b w:val="0"/>
          <w:i/>
        </w:rPr>
        <w:t>Figure 4 demonstrates that a functional user interface exists, but the screenshots contribute relatively little scientific evidence. Consider reducing the space devoted to screenshots and using some of that space for quantitative software evaluation, failure-path testing, or contract examples.</w:t>
      </w:r>
    </w:p>
    <w:p>
      <w:r>
        <w:rPr>
          <w:b/>
        </w:rPr>
        <w:t>Response</w:t>
      </w:r>
    </w:p>
    <w:p>
      <w:r>
        <w:rPr>
          <w:b w:val="0"/>
          <w:i w:val="0"/>
        </w:rPr>
        <w:t>We reduced the three submitted screenshot pages to one compact three-panel composite and reassigned manuscript space to the contract, algorithm, failure matrix, runtime, reuse, and provenance evidence.</w:t>
      </w:r>
    </w:p>
    <w:p>
      <w:r>
        <w:rPr>
          <w:b/>
        </w:rPr>
        <w:t>Changes in manuscript</w:t>
      </w:r>
    </w:p>
    <w:p>
      <w:r>
        <w:rPr>
          <w:b w:val="0"/>
          <w:i w:val="0"/>
        </w:rPr>
        <w:t>Revised Fig. 4 contains Project Workspace, Observation and Prediction, and Prediction Runs in one 175-mm-wide composite with a caption that identifies the UI as illustrative.</w:t>
      </w:r>
      <w:r>
        <w:rPr>
          <w:b/>
          <w:color w:val="0B3C82"/>
        </w:rPr>
        <w:t xml:space="preserve"> Final location: p. 10, lines 207-212.</w:t>
      </w:r>
    </w:p>
    <w:p>
      <w:r>
        <w:rPr>
          <w:b/>
        </w:rPr>
        <w:t>Evidence</w:t>
      </w:r>
    </w:p>
    <w:p>
      <w:r>
        <w:rPr>
          <w:rFonts w:ascii="Courier New" w:hAnsi="Courier New"/>
          <w:sz w:val="18"/>
        </w:rPr>
        <w:t>artifacts/revision/manuscript/FIGURE4_REDUCTION_PLAN.md</w:t>
      </w:r>
      <w:r>
        <w:rPr>
          <w:b w:val="0"/>
          <w:i w:val="0"/>
        </w:rPr>
        <w:t>.</w:t>
      </w:r>
    </w:p>
    <w:p>
      <w:r>
        <w:rPr>
          <w:b/>
        </w:rPr>
        <w:t>Scope / non-claim</w:t>
      </w:r>
    </w:p>
    <w:p>
      <w:r>
        <w:rPr>
          <w:b w:val="0"/>
          <w:i w:val="0"/>
        </w:rPr>
        <w:t>The interface screenshots are not used as scientific validation evidence.</w:t>
      </w:r>
    </w:p>
    <w:p>
      <w:pPr>
        <w:pStyle w:val="4"/>
      </w:pPr>
      <w:r>
        <w:rPr>
          <w:b w:val="0"/>
          <w:i w:val="0"/>
        </w:rPr>
        <w:t>R1-15. Unsupported Impact claims</w:t>
      </w:r>
    </w:p>
    <w:p>
      <w:r>
        <w:rPr>
          <w:b/>
        </w:rPr>
        <w:t>Reviewer comment</w:t>
      </w:r>
    </w:p>
    <w:p>
      <w:pPr>
        <w:spacing w:before="40" w:after="80"/>
        <w:ind w:left="454" w:right="227"/>
        <w:shd w:fill="F2F4F7"/>
      </w:pPr>
      <w:r>
        <w:rPr>
          <w:b w:val="0"/>
          <w:i/>
        </w:rPr>
        <w:t>Section 4 (“Impact”) currently contains several assertions that are not directly demonstrated. For example, “reuse does not require changes to the core back end, front end, event workflow, or existing source tables” is a strong maintainability/extensibility claim. Validate this experimentally by integrating a second project/model configuration and reporting exactly which files/configurations had to be modified.</w:t>
      </w:r>
    </w:p>
    <w:p>
      <w:r>
        <w:rPr>
          <w:b/>
        </w:rPr>
        <w:t>Response</w:t>
      </w:r>
    </w:p>
    <w:p>
      <w:r>
        <w:rPr>
          <w:b w:val="0"/>
          <w:i w:val="0"/>
        </w:rPr>
        <w:t>We removed the universal wording and rewrote Impact around measured evidence. The revised statement begins “In the synthetic second-configuration experiment” and reports the exact registration inventory, functional results, and zero frozen-core/schema modifications.</w:t>
      </w:r>
    </w:p>
    <w:p>
      <w:r>
        <w:rPr>
          <w:b/>
        </w:rPr>
        <w:t>Changes in manuscript</w:t>
      </w:r>
    </w:p>
    <w:p>
      <w:r>
        <w:rPr>
          <w:b w:val="0"/>
          <w:i w:val="0"/>
        </w:rPr>
        <w:t>Section 4 is restructured as reproducible integration, tested cross-configuration reuse, controlled transition/traceability, and deployment/scientific scope.</w:t>
      </w:r>
      <w:r>
        <w:rPr>
          <w:b/>
          <w:color w:val="0B3C82"/>
        </w:rPr>
        <w:t xml:space="preserve"> Final location: pp. 16-17, lines 309-373.</w:t>
      </w:r>
    </w:p>
    <w:p>
      <w:r>
        <w:rPr>
          <w:b/>
        </w:rPr>
        <w:t>Evidence</w:t>
      </w:r>
    </w:p>
    <w:p>
      <w:r>
        <w:rPr>
          <w:rFonts w:ascii="Courier New" w:hAnsi="Courier New"/>
          <w:sz w:val="18"/>
        </w:rPr>
        <w:t>artifacts/revision/manuscript/IMPACT_RESTRUCTURING_PLAN.md</w:t>
      </w:r>
      <w:r>
        <w:rPr>
          <w:b w:val="0"/>
          <w:i w:val="0"/>
        </w:rPr>
        <w:t xml:space="preserve">; </w:t>
      </w:r>
      <w:r>
        <w:rPr>
          <w:rFonts w:ascii="Courier New" w:hAnsi="Courier New"/>
          <w:sz w:val="18"/>
        </w:rPr>
        <w:t>artifacts/revision/benchmarks/route-p/phase1b-regression.json</w:t>
      </w:r>
      <w:r>
        <w:rPr>
          <w:b w:val="0"/>
          <w:i w:val="0"/>
        </w:rPr>
        <w:t>.</w:t>
      </w:r>
    </w:p>
    <w:p>
      <w:r>
        <w:rPr>
          <w:b/>
        </w:rPr>
        <w:t>Scope / non-claim</w:t>
      </w:r>
    </w:p>
    <w:p>
      <w:r>
        <w:rPr>
          <w:b w:val="0"/>
          <w:i w:val="0"/>
        </w:rPr>
        <w:t>No universal no-code, arbitrary-deployment, cross-domain prediction, or reliability-improvement claim remains.</w:t>
      </w:r>
    </w:p>
    <w:p>
      <w:pPr>
        <w:pStyle w:val="4"/>
      </w:pPr>
      <w:r>
        <w:rPr>
          <w:b w:val="0"/>
          <w:i w:val="0"/>
        </w:rPr>
        <w:t>R1-16. Software testing summary</w:t>
      </w:r>
    </w:p>
    <w:p>
      <w:r>
        <w:rPr>
          <w:b/>
        </w:rPr>
        <w:t>Reviewer comment</w:t>
      </w:r>
    </w:p>
    <w:p>
      <w:pPr>
        <w:spacing w:before="40" w:after="80"/>
        <w:ind w:left="454" w:right="227"/>
        <w:shd w:fill="F2F4F7"/>
      </w:pPr>
      <w:r>
        <w:rPr>
          <w:b w:val="0"/>
          <w:i/>
        </w:rPr>
        <w:t>The manuscript needs an explicit software testing summary. It states that backend tests, frontend checks/builds, and PIT_PRE contract tests passed, but does not report the number/type of tests or coverage. A small table reporting unit tests, integration tests, API tests, contract-validation tests, negative tests, and end-to-end tests would improve confidence in the software.</w:t>
      </w:r>
    </w:p>
    <w:p>
      <w:r>
        <w:rPr>
          <w:b/>
        </w:rPr>
        <w:t>Response</w:t>
      </w:r>
    </w:p>
    <w:p>
      <w:r>
        <w:rPr>
          <w:b w:val="0"/>
          <w:i w:val="0"/>
        </w:rPr>
        <w:t>We added a family-level testing table: 55 backend tests, 13 PIT_PRE tests, a 15-case validation matrix (P00, F01-F12, I01-I02), seven second-configuration checks, two front-end checks, and one public reproduction.</w:t>
      </w:r>
    </w:p>
    <w:p>
      <w:r>
        <w:rPr>
          <w:b/>
        </w:rPr>
        <w:t>Changes in manuscript</w:t>
      </w:r>
    </w:p>
    <w:p>
      <w:r>
        <w:rPr>
          <w:b w:val="0"/>
          <w:i w:val="0"/>
        </w:rPr>
        <w:t>Table 3 reports each family independently and explains why the families are not summed.</w:t>
      </w:r>
      <w:r>
        <w:rPr>
          <w:b/>
          <w:color w:val="0B3C82"/>
        </w:rPr>
        <w:t xml:space="preserve"> Final location: p. 11, lines 227-229.</w:t>
      </w:r>
    </w:p>
    <w:p>
      <w:r>
        <w:rPr>
          <w:b/>
        </w:rPr>
        <w:t>Evidence</w:t>
      </w:r>
    </w:p>
    <w:p>
      <w:r>
        <w:rPr>
          <w:rFonts w:ascii="Courier New" w:hAnsi="Courier New"/>
          <w:sz w:val="18"/>
        </w:rPr>
        <w:t>artifacts/revision/manuscript/software-test-summary.md</w:t>
      </w:r>
      <w:r>
        <w:rPr>
          <w:b w:val="0"/>
          <w:i w:val="0"/>
        </w:rPr>
        <w:t xml:space="preserve">; </w:t>
      </w:r>
      <w:r>
        <w:rPr>
          <w:rFonts w:ascii="Courier New" w:hAnsi="Courier New"/>
          <w:sz w:val="18"/>
        </w:rPr>
        <w:t>artifacts/revision/manuscript/software-test-summary.json</w:t>
      </w:r>
      <w:r>
        <w:rPr>
          <w:b w:val="0"/>
          <w:i w:val="0"/>
        </w:rPr>
        <w:t>.</w:t>
      </w:r>
    </w:p>
    <w:p>
      <w:r>
        <w:rPr>
          <w:b/>
        </w:rPr>
        <w:t>Scope / non-claim</w:t>
      </w:r>
    </w:p>
    <w:p>
      <w:r>
        <w:rPr>
          <w:b w:val="0"/>
          <w:i w:val="0"/>
        </w:rPr>
        <w:t>We do not report a code-coverage percentage because no stable coverage instrument is part of the release, and we do not double-count overlapping evidence as one total.</w:t>
      </w:r>
    </w:p>
    <w:p>
      <w:pPr>
        <w:pStyle w:val="4"/>
      </w:pPr>
      <w:r>
        <w:rPr>
          <w:b w:val="0"/>
          <w:i w:val="0"/>
        </w:rPr>
        <w:t>R1-17. Concrete provenance trace</w:t>
      </w:r>
    </w:p>
    <w:p>
      <w:r>
        <w:rPr>
          <w:b/>
        </w:rPr>
        <w:t>Reviewer comment</w:t>
      </w:r>
    </w:p>
    <w:p>
      <w:pPr>
        <w:spacing w:before="40" w:after="80"/>
        <w:ind w:left="454" w:right="227"/>
        <w:shd w:fill="F2F4F7"/>
      </w:pPr>
      <w:r>
        <w:rPr>
          <w:b w:val="0"/>
          <w:i/>
        </w:rPr>
        <w:t>The provenance mechanism is promising but deserves a concrete reproducibility demonstration. Select one generated formal event and show how its event ID can be traced back through rule version → prediction batch → model version/hash → input window → forecast values. This would turn provenance from an architectural claim into demonstrable functionality.</w:t>
      </w:r>
    </w:p>
    <w:p>
      <w:r>
        <w:rPr>
          <w:b/>
        </w:rPr>
        <w:t>Response</w:t>
      </w:r>
    </w:p>
    <w:p>
      <w:r>
        <w:rPr>
          <w:b w:val="0"/>
          <w:i w:val="0"/>
        </w:rPr>
        <w:t xml:space="preserve">We captured formal event </w:t>
      </w:r>
      <w:r>
        <w:rPr>
          <w:rFonts w:ascii="Courier New" w:hAnsi="Courier New"/>
          <w:sz w:val="18"/>
        </w:rPr>
        <w:t>FEVT-4-f61b7667dcc01721aa2a</w:t>
      </w:r>
      <w:r>
        <w:rPr>
          <w:b w:val="0"/>
          <w:i w:val="0"/>
        </w:rPr>
        <w:t xml:space="preserve"> and traced it to rule version v2, batch 40, run 236, settlement model version/hash, input window/schema hash, selected 40-step forecast, Gate 1, first exceedance, and response workflow. The isolated database was restored after export.</w:t>
      </w:r>
    </w:p>
    <w:p>
      <w:r>
        <w:rPr>
          <w:b/>
        </w:rPr>
        <w:t>Changes in manuscript</w:t>
      </w:r>
    </w:p>
    <w:p>
      <w:r>
        <w:rPr>
          <w:b w:val="0"/>
          <w:i w:val="0"/>
        </w:rPr>
        <w:t>Section 3.5 and Table 7 present the trace and distinguish API-visible metadata from independently queried persisted-integrity fields.</w:t>
      </w:r>
      <w:r>
        <w:rPr>
          <w:b/>
          <w:color w:val="0B3C82"/>
        </w:rPr>
        <w:t xml:space="preserve"> Final location: p. 15, lines 284-301.</w:t>
      </w:r>
    </w:p>
    <w:p>
      <w:r>
        <w:rPr>
          <w:b/>
        </w:rPr>
        <w:t>Evidence</w:t>
      </w:r>
    </w:p>
    <w:p>
      <w:r>
        <w:rPr>
          <w:rFonts w:ascii="Courier New" w:hAnsi="Courier New"/>
          <w:sz w:val="18"/>
        </w:rPr>
        <w:t>docs/revision/PROVENANCE_TRACE_EXAMPLE.md</w:t>
      </w:r>
      <w:r>
        <w:rPr>
          <w:b w:val="0"/>
          <w:i w:val="0"/>
        </w:rPr>
        <w:t xml:space="preserve">; </w:t>
      </w:r>
      <w:r>
        <w:rPr>
          <w:rFonts w:ascii="Courier New" w:hAnsi="Courier New"/>
          <w:sz w:val="18"/>
        </w:rPr>
        <w:t>artifacts/revision/manuscript/provenance-trace-final.json</w:t>
      </w:r>
      <w:r>
        <w:rPr>
          <w:b w:val="0"/>
          <w:i w:val="0"/>
        </w:rPr>
        <w:t>.</w:t>
      </w:r>
    </w:p>
    <w:p>
      <w:r>
        <w:rPr>
          <w:b/>
        </w:rPr>
        <w:t>Scope / non-claim</w:t>
      </w:r>
    </w:p>
    <w:p>
      <w:r>
        <w:rPr>
          <w:b w:val="0"/>
          <w:i w:val="0"/>
        </w:rPr>
        <w:t>We do not claim that every API directly exposes every persisted hash.</w:t>
      </w:r>
    </w:p>
    <w:p>
      <w:pPr>
        <w:pStyle w:val="4"/>
      </w:pPr>
      <w:r>
        <w:rPr>
          <w:b w:val="0"/>
          <w:i w:val="0"/>
        </w:rPr>
        <w:t>R1-18. OGC SensorThings relationship</w:t>
      </w:r>
    </w:p>
    <w:p>
      <w:r>
        <w:rPr>
          <w:b/>
        </w:rPr>
        <w:t>Reviewer comment</w:t>
      </w:r>
    </w:p>
    <w:p>
      <w:pPr>
        <w:spacing w:before="40" w:after="80"/>
        <w:ind w:left="454" w:right="227"/>
        <w:shd w:fill="F2F4F7"/>
      </w:pPr>
      <w:r>
        <w:rPr>
          <w:b w:val="0"/>
          <w:i/>
        </w:rPr>
        <w:t>The relationship with OGC SensorThings and existing standards could be clearer. The paper correctly states that such standards do not define model-specific input contracts or forecast-to-event transitions, but it should explain whether SHM-EM can ingest/interoperate with SensorThings-compliant observations or whether its observation registry represents a separate abstraction.</w:t>
      </w:r>
    </w:p>
    <w:p>
      <w:r>
        <w:rPr>
          <w:b/>
        </w:rPr>
        <w:t>Response</w:t>
      </w:r>
    </w:p>
    <w:p>
      <w:r>
        <w:rPr>
          <w:b w:val="0"/>
          <w:i w:val="0"/>
        </w:rPr>
        <w:t>We now describe SensorThings as a standardized observation/sensor Web model and the SHM-EM registry as a separate internal abstraction. A future adapter could map SensorThings entities and observations into the registry, but no endpoint, adapter, or conformance test exists in v1.0.1.</w:t>
      </w:r>
    </w:p>
    <w:p>
      <w:r>
        <w:rPr>
          <w:b/>
        </w:rPr>
        <w:t>Changes in manuscript</w:t>
      </w:r>
    </w:p>
    <w:p>
      <w:r>
        <w:rPr>
          <w:b w:val="0"/>
          <w:i w:val="0"/>
        </w:rPr>
        <w:t>Section 1 and Section 4.4 state the current non-conformance boundary and prospective adapter role.</w:t>
      </w:r>
      <w:r>
        <w:rPr>
          <w:b/>
          <w:color w:val="0B3C82"/>
        </w:rPr>
        <w:t xml:space="preserve"> Final location: p. 2, lines 37-42; p. 16, lines 343-344.</w:t>
      </w:r>
    </w:p>
    <w:p>
      <w:r>
        <w:rPr>
          <w:b/>
        </w:rPr>
        <w:t>Evidence</w:t>
      </w:r>
    </w:p>
    <w:p>
      <w:r>
        <w:rPr>
          <w:rFonts w:ascii="Courier New" w:hAnsi="Courier New"/>
          <w:sz w:val="18"/>
        </w:rPr>
        <w:t>docs/revision/SENSORTHINGS_POSITIONING.md</w:t>
      </w:r>
      <w:r>
        <w:rPr>
          <w:b w:val="0"/>
          <w:i w:val="0"/>
        </w:rPr>
        <w:t xml:space="preserve">; </w:t>
      </w:r>
      <w:r>
        <w:rPr>
          <w:rFonts w:ascii="Courier New" w:hAnsi="Courier New"/>
          <w:sz w:val="18"/>
        </w:rPr>
        <w:t>docs/revision/RELATED_SOFTWARE_COMPARISON.md</w:t>
      </w:r>
      <w:r>
        <w:rPr>
          <w:b w:val="0"/>
          <w:i w:val="0"/>
        </w:rPr>
        <w:t>.</w:t>
      </w:r>
    </w:p>
    <w:p>
      <w:r>
        <w:rPr>
          <w:b/>
        </w:rPr>
        <w:t>Scope / non-claim</w:t>
      </w:r>
    </w:p>
    <w:p>
      <w:r>
        <w:rPr>
          <w:b w:val="0"/>
          <w:i w:val="0"/>
        </w:rPr>
        <w:t>No SensorThings compatibility, ingestion, API conformance, or Annex A conformance is claimed.</w:t>
      </w:r>
    </w:p>
    <w:p>
      <w:pPr>
        <w:pStyle w:val="4"/>
      </w:pPr>
      <w:r>
        <w:rPr>
          <w:b w:val="0"/>
          <w:i w:val="0"/>
        </w:rPr>
        <w:t>R1-19. Repetition of contributions</w:t>
      </w:r>
    </w:p>
    <w:p>
      <w:r>
        <w:rPr>
          <w:b/>
        </w:rPr>
        <w:t>Reviewer comment</w:t>
      </w:r>
    </w:p>
    <w:p>
      <w:pPr>
        <w:spacing w:before="40" w:after="80"/>
        <w:ind w:left="454" w:right="227"/>
        <w:shd w:fill="F2F4F7"/>
      </w:pPr>
      <w:r>
        <w:rPr>
          <w:b w:val="0"/>
          <w:i/>
        </w:rPr>
        <w:t>The manuscript is generally well organized, and Figures 1–3 provide a coherent architectural narrative. However, some sections repeatedly describe the same three contributions—data-model contract, project future state, and controlled event transition. Condensing repetitive descriptions would create space for stronger experimental evidence.</w:t>
      </w:r>
    </w:p>
    <w:p>
      <w:r>
        <w:rPr>
          <w:b/>
        </w:rPr>
        <w:t>Response</w:t>
      </w:r>
    </w:p>
    <w:p>
      <w:r>
        <w:rPr>
          <w:b w:val="0"/>
          <w:i w:val="0"/>
        </w:rPr>
        <w:t>We condensed the recurring contribution language into one Introduction statement, one mechanism definition per Section 2 subsection, one evidence treatment in Section 3, and one synthesis in the Conclusion.</w:t>
      </w:r>
    </w:p>
    <w:p>
      <w:r>
        <w:rPr>
          <w:b/>
        </w:rPr>
        <w:t>Changes in manuscript</w:t>
      </w:r>
    </w:p>
    <w:p>
      <w:r>
        <w:rPr>
          <w:b w:val="0"/>
          <w:i w:val="0"/>
        </w:rPr>
        <w:t>The submitted Section 4 prose was replaced with evidence-driven impact and explicit limitations; Fig. 4 was compressed to make room for the new tables and algorithm.</w:t>
      </w:r>
      <w:r>
        <w:rPr>
          <w:b/>
          <w:color w:val="0B3C82"/>
        </w:rPr>
        <w:t xml:space="preserve"> Final location: p. 3, lines 61-73; p. 17, lines 360-373.</w:t>
      </w:r>
    </w:p>
    <w:p>
      <w:r>
        <w:rPr>
          <w:b/>
        </w:rPr>
        <w:t>Evidence</w:t>
      </w:r>
    </w:p>
    <w:p>
      <w:r>
        <w:rPr>
          <w:rFonts w:ascii="Courier New" w:hAnsi="Courier New"/>
          <w:sz w:val="18"/>
        </w:rPr>
        <w:t>artifacts/revision/manuscript/REPETITION_REDUCTION_MAP.md</w:t>
      </w:r>
      <w:r>
        <w:rPr>
          <w:b w:val="0"/>
          <w:i w:val="0"/>
        </w:rPr>
        <w:t xml:space="preserve">; </w:t>
      </w:r>
      <w:r>
        <w:rPr>
          <w:rFonts w:ascii="Courier New" w:hAnsi="Courier New"/>
          <w:sz w:val="18"/>
        </w:rPr>
        <w:t>artifacts/revision/manuscript/FIGURE4_REDUCTION_PLAN.md</w:t>
      </w:r>
      <w:r>
        <w:rPr>
          <w:b w:val="0"/>
          <w:i w:val="0"/>
        </w:rPr>
        <w:t>.</w:t>
      </w:r>
    </w:p>
    <w:p>
      <w:r>
        <w:rPr>
          <w:b/>
        </w:rPr>
        <w:t>Scope / non-claim</w:t>
      </w:r>
    </w:p>
    <w:p>
      <w:r>
        <w:rPr>
          <w:b w:val="0"/>
          <w:i w:val="0"/>
        </w:rPr>
        <w:t>Persisted-result integrity remains a safeguard under contribution 3 and is not introduced as a fourth contribution.</w:t>
      </w:r>
    </w:p>
    <w:p>
      <w:pPr>
        <w:pStyle w:val="3"/>
      </w:pPr>
      <w:r>
        <w:rPr>
          <w:b w:val="0"/>
          <w:i w:val="0"/>
        </w:rPr>
        <w:t>Reviewer 2</w:t>
      </w:r>
    </w:p>
    <w:p>
      <w:pPr>
        <w:pStyle w:val="4"/>
      </w:pPr>
      <w:r>
        <w:rPr>
          <w:b w:val="0"/>
          <w:i w:val="0"/>
        </w:rPr>
        <w:t>R2-1. Differentiation and empirical benchmark</w:t>
      </w:r>
    </w:p>
    <w:p>
      <w:r>
        <w:rPr>
          <w:b/>
        </w:rPr>
        <w:t>Reviewer comment</w:t>
      </w:r>
    </w:p>
    <w:p>
      <w:pPr>
        <w:spacing w:before="40" w:after="80"/>
        <w:ind w:left="454" w:right="227"/>
        <w:shd w:fill="F2F4F7"/>
      </w:pPr>
      <w:r>
        <w:rPr>
          <w:b w:val="0"/>
          <w:i/>
        </w:rPr>
        <w:t>The authors recently published a related paper on SHM in this journal (https://doi.org/10.1016/j.softx.2026.102732), but only briefly mention it without clearly differentiating the contributions of the two works. To better position this framework, I recommend explicitly contrasting SHM-EM with their previous submission. Furthermore, there is no empirical benchmark comparing SHM-EM against existing platforms (e.g., Predictive-SHM) in terms of integration effort, computational overhead, or forecasting accuracy.</w:t>
      </w:r>
    </w:p>
    <w:p>
      <w:r>
        <w:rPr>
          <w:b/>
        </w:rPr>
        <w:t>Response</w:t>
      </w:r>
    </w:p>
    <w:p>
      <w:r>
        <w:rPr>
          <w:b w:val="0"/>
          <w:i w:val="0"/>
        </w:rPr>
        <w:t>We agree that empirical software comparison was needed. Because SHM-EM does not introduce a forecasting algorithm, the revision evaluates integration/configuration effort, software-level runtime, failure handling, and provenance rather than attributing predictive accuracy to the event-management framework. We also added a source-grounded responsibility comparison and explicitly credit Predictive-SHM's upstream ingestion, preprocessing, adapter, forecasting, visualization, and alerting functions.</w:t>
      </w:r>
    </w:p>
    <w:p>
      <w:r>
        <w:rPr>
          <w:b/>
        </w:rPr>
        <w:t>Changes in manuscript</w:t>
      </w:r>
    </w:p>
    <w:p>
      <w:r>
        <w:rPr>
          <w:b w:val="0"/>
          <w:i w:val="0"/>
        </w:rPr>
        <w:t>Section 1 and Table 1 differentiate the systems. Sections 3.2-3.5 add measurable SHM-EM software evidence.</w:t>
      </w:r>
      <w:r>
        <w:rPr>
          <w:b/>
          <w:color w:val="0B3C82"/>
        </w:rPr>
        <w:t xml:space="preserve"> Final location: pp. 2-3, lines 37-60; pp. 14-15, lines 273-301.</w:t>
      </w:r>
    </w:p>
    <w:p>
      <w:r>
        <w:rPr>
          <w:b/>
        </w:rPr>
        <w:t>Evidence</w:t>
      </w:r>
    </w:p>
    <w:p>
      <w:r>
        <w:rPr>
          <w:rFonts w:ascii="Courier New" w:hAnsi="Courier New"/>
          <w:sz w:val="18"/>
        </w:rPr>
        <w:t>docs/revision/RELATED_SOFTWARE_COMPARISON.md</w:t>
      </w:r>
      <w:r>
        <w:rPr>
          <w:b w:val="0"/>
          <w:i w:val="0"/>
        </w:rPr>
        <w:t xml:space="preserve">; </w:t>
      </w:r>
      <w:r>
        <w:rPr>
          <w:rFonts w:ascii="Courier New" w:hAnsi="Courier New"/>
          <w:sz w:val="18"/>
        </w:rPr>
        <w:t>artifacts/revision/manuscript/final-performance-table.md</w:t>
      </w:r>
      <w:r>
        <w:rPr>
          <w:b w:val="0"/>
          <w:i w:val="0"/>
        </w:rPr>
        <w:t>; second-configuration, failure, and provenance artifacts.</w:t>
      </w:r>
    </w:p>
    <w:p>
      <w:r>
        <w:rPr>
          <w:b/>
        </w:rPr>
        <w:t>Scope / non-claim</w:t>
      </w:r>
    </w:p>
    <w:p>
      <w:r>
        <w:rPr>
          <w:b w:val="0"/>
          <w:i w:val="0"/>
        </w:rPr>
        <w:t>We do not compare Predictive-SHM and SHM-EM forecasting accuracy or total runtime because their responsibilities are not equivalent, and we do not claim cross-system superiority.</w:t>
      </w:r>
    </w:p>
    <w:p>
      <w:pPr>
        <w:pStyle w:val="4"/>
      </w:pPr>
      <w:r>
        <w:rPr>
          <w:b w:val="0"/>
          <w:i w:val="0"/>
        </w:rPr>
        <w:t>R2-2. Related-framework comparison table</w:t>
      </w:r>
    </w:p>
    <w:p>
      <w:r>
        <w:rPr>
          <w:b/>
        </w:rPr>
        <w:t>Reviewer comment</w:t>
      </w:r>
    </w:p>
    <w:p>
      <w:pPr>
        <w:spacing w:before="40" w:after="80"/>
        <w:ind w:left="454" w:right="227"/>
        <w:shd w:fill="F2F4F7"/>
      </w:pPr>
      <w:r>
        <w:rPr>
          <w:b w:val="0"/>
          <w:i/>
        </w:rPr>
        <w:t>I suggest adding a brief comparison table against related frameworks (e.g., Predictive-SHM or generic CEP systems) to show what SHM-EM uniquely solves versus what it shares with existing solutions.</w:t>
      </w:r>
    </w:p>
    <w:p>
      <w:r>
        <w:rPr>
          <w:b/>
        </w:rPr>
        <w:t>Response</w:t>
      </w:r>
    </w:p>
    <w:p>
      <w:r>
        <w:rPr>
          <w:b w:val="0"/>
          <w:i w:val="0"/>
        </w:rPr>
        <w:t>We added a 12-dimension table covering OGC SensorThings, generic CEP, Predictive-SHM, and SHM-EM. Source notes explain every row.</w:t>
      </w:r>
    </w:p>
    <w:p>
      <w:r>
        <w:rPr>
          <w:b/>
        </w:rPr>
        <w:t>Changes in manuscript</w:t>
      </w:r>
    </w:p>
    <w:p>
      <w:r>
        <w:rPr>
          <w:b w:val="0"/>
          <w:i w:val="0"/>
        </w:rPr>
        <w:t>Table 1 appears in Section 1 immediately after the related-software discussion.</w:t>
      </w:r>
      <w:r>
        <w:rPr>
          <w:b/>
          <w:color w:val="0B3C82"/>
        </w:rPr>
        <w:t xml:space="preserve"> Final location: pp. 2-3, lines 37-60.</w:t>
      </w:r>
    </w:p>
    <w:p>
      <w:r>
        <w:rPr>
          <w:b/>
        </w:rPr>
        <w:t>Evidence</w:t>
      </w:r>
    </w:p>
    <w:p>
      <w:r>
        <w:rPr>
          <w:rFonts w:ascii="Courier New" w:hAnsi="Courier New"/>
          <w:sz w:val="18"/>
        </w:rPr>
        <w:t>artifacts/revision/manuscript/related-software-comparison.md</w:t>
      </w:r>
      <w:r>
        <w:rPr>
          <w:b w:val="0"/>
          <w:i w:val="0"/>
        </w:rPr>
        <w:t xml:space="preserve">; </w:t>
      </w:r>
      <w:r>
        <w:rPr>
          <w:rFonts w:ascii="Courier New" w:hAnsi="Courier New"/>
          <w:sz w:val="18"/>
        </w:rPr>
        <w:t>artifacts/revision/manuscript/related-software-sources.json</w:t>
      </w:r>
      <w:r>
        <w:rPr>
          <w:b w:val="0"/>
          <w:i w:val="0"/>
        </w:rPr>
        <w:t>.</w:t>
      </w:r>
    </w:p>
    <w:p>
      <w:r>
        <w:rPr>
          <w:b/>
        </w:rPr>
        <w:t>Scope / non-claim</w:t>
      </w:r>
    </w:p>
    <w:p>
      <w:r>
        <w:rPr>
          <w:b w:val="0"/>
          <w:i w:val="0"/>
        </w:rPr>
        <w:t xml:space="preserve">No unsupported </w:t>
      </w:r>
      <w:r>
        <w:rPr>
          <w:rFonts w:ascii="Courier New" w:hAnsi="Courier New"/>
          <w:sz w:val="18"/>
        </w:rPr>
        <w:t>No</w:t>
      </w:r>
      <w:r>
        <w:rPr>
          <w:b w:val="0"/>
          <w:i w:val="0"/>
        </w:rPr>
        <w:t xml:space="preserve"> value is used for third-party software; </w:t>
      </w:r>
      <w:r>
        <w:rPr>
          <w:i/>
        </w:rPr>
        <w:t>Not reported</w:t>
      </w:r>
      <w:r>
        <w:rPr>
          <w:b w:val="0"/>
          <w:i w:val="0"/>
        </w:rPr>
        <w:t xml:space="preserve"> is not treated as absence.</w:t>
      </w:r>
    </w:p>
    <w:p>
      <w:pPr>
        <w:pStyle w:val="4"/>
      </w:pPr>
      <w:r>
        <w:rPr>
          <w:b w:val="0"/>
          <w:i w:val="0"/>
        </w:rPr>
        <w:t>R2-3. Missing/dropped observations</w:t>
      </w:r>
    </w:p>
    <w:p>
      <w:r>
        <w:rPr>
          <w:b/>
        </w:rPr>
        <w:t>Reviewer comment</w:t>
      </w:r>
    </w:p>
    <w:p>
      <w:pPr>
        <w:spacing w:before="40" w:after="80"/>
        <w:ind w:left="454" w:right="227"/>
        <w:shd w:fill="F2F4F7"/>
      </w:pPr>
      <w:r>
        <w:rPr>
          <w:b w:val="0"/>
          <w:i/>
        </w:rPr>
        <w:t>Please clarify how missing or dropped sensor data is handled in the rolling forecast windows. This is a common real-world problem in structural monitoring but isn't explicitly addressed before model inputs are assembled.</w:t>
      </w:r>
    </w:p>
    <w:p>
      <w:r>
        <w:rPr>
          <w:b/>
        </w:rPr>
        <w:t>Response</w:t>
      </w:r>
    </w:p>
    <w:p>
      <w:r>
        <w:rPr>
          <w:b w:val="0"/>
          <w:i w:val="0"/>
        </w:rPr>
        <w:t>We documented the actual frozen input policy: backward-asof matching within one cadence, followed by the declared interpolation/boundary-fill policy, with signed source offsets, fill counts/ratios, and gap diagnostics retained in the input snapshot. A resolvable partial gap may be filled; an entire unavailable required feature or unresolved window is rejected before inference. Freshness is checked separately before Execute.</w:t>
      </w:r>
    </w:p>
    <w:p>
      <w:r>
        <w:rPr>
          <w:b/>
        </w:rPr>
        <w:t>Changes in manuscript</w:t>
      </w:r>
    </w:p>
    <w:p>
      <w:r>
        <w:rPr>
          <w:b w:val="0"/>
          <w:i w:val="0"/>
        </w:rPr>
        <w:t>Section 2.1.2 adds a dedicated missing/asynchronous observations subsection; Table 5 includes I01 and I02.</w:t>
      </w:r>
      <w:r>
        <w:rPr>
          <w:b/>
          <w:color w:val="0B3C82"/>
        </w:rPr>
        <w:t xml:space="preserve"> Final location: p. 7, lines 143-152.</w:t>
      </w:r>
    </w:p>
    <w:p>
      <w:r>
        <w:rPr>
          <w:b/>
        </w:rPr>
        <w:t>Evidence</w:t>
      </w:r>
    </w:p>
    <w:p>
      <w:r>
        <w:rPr>
          <w:rFonts w:ascii="Courier New" w:hAnsi="Courier New"/>
          <w:sz w:val="18"/>
        </w:rPr>
        <w:t>src/pit_pre/pit_pre/features.py</w:t>
      </w:r>
      <w:r>
        <w:rPr>
          <w:b w:val="0"/>
          <w:i w:val="0"/>
        </w:rPr>
        <w:t xml:space="preserve">; </w:t>
      </w:r>
      <w:r>
        <w:rPr>
          <w:rFonts w:ascii="Courier New" w:hAnsi="Courier New"/>
          <w:sz w:val="18"/>
        </w:rPr>
        <w:t>docs/revision/DATA_MODEL_CONTRACT_SPEC.md</w:t>
      </w:r>
      <w:r>
        <w:rPr>
          <w:b w:val="0"/>
          <w:i w:val="0"/>
        </w:rPr>
        <w:t xml:space="preserve">; </w:t>
      </w:r>
      <w:r>
        <w:rPr>
          <w:rFonts w:ascii="Courier New" w:hAnsi="Courier New"/>
          <w:sz w:val="18"/>
        </w:rPr>
        <w:t>artifacts/revision/benchmarks/route-p/failure-regression/failure-matrix-v2.md</w:t>
      </w:r>
      <w:r>
        <w:rPr>
          <w:b w:val="0"/>
          <w:i w:val="0"/>
        </w:rPr>
        <w:t>.</w:t>
      </w:r>
    </w:p>
    <w:p>
      <w:r>
        <w:rPr>
          <w:b/>
        </w:rPr>
        <w:t>Scope / non-claim</w:t>
      </w:r>
    </w:p>
    <w:p>
      <w:r>
        <w:rPr>
          <w:b w:val="0"/>
          <w:i w:val="0"/>
        </w:rPr>
        <w:t>We do not claim robustness to arbitrary dropout or apply an unrecorded universal imputation policy.</w:t>
      </w:r>
    </w:p>
    <w:p>
      <w:pPr>
        <w:pStyle w:val="3"/>
      </w:pPr>
      <w:r>
        <w:rPr>
          <w:b w:val="0"/>
          <w:i w:val="0"/>
        </w:rPr>
        <w:t>Reviewer 3</w:t>
      </w:r>
    </w:p>
    <w:p>
      <w:pPr>
        <w:pStyle w:val="4"/>
      </w:pPr>
      <w:r>
        <w:rPr>
          <w:b w:val="0"/>
          <w:i w:val="0"/>
        </w:rPr>
        <w:t>R3-1. MySQL and data-access abstraction</w:t>
      </w:r>
    </w:p>
    <w:p>
      <w:r>
        <w:rPr>
          <w:b/>
        </w:rPr>
        <w:t>Reviewer comment</w:t>
      </w:r>
    </w:p>
    <w:p>
      <w:pPr>
        <w:spacing w:before="40" w:after="80"/>
        <w:ind w:left="454" w:right="227"/>
        <w:shd w:fill="F2F4F7"/>
      </w:pPr>
      <w:r>
        <w:rPr>
          <w:b w:val="0"/>
          <w:i/>
        </w:rPr>
        <w:t>The authors use MySQL as the core storage engine. While the paper describes low-frequency data in Section 4.4, MySQL may struggle with high-frequency time-series workloads. The authors should briefly clarify the abstraction level of their data access layer and how easy it would be to integrate time-series native databases.</w:t>
      </w:r>
    </w:p>
    <w:p>
      <w:r>
        <w:rPr>
          <w:b/>
        </w:rPr>
        <w:t>Response</w:t>
      </w:r>
    </w:p>
    <w:p>
      <w:r>
        <w:rPr>
          <w:b w:val="0"/>
          <w:i w:val="0"/>
        </w:rPr>
        <w:t>We separated the logical observation contract, approved adapters/registry, and MySQL-specific implementation. A future adapter must preserve logical identifiers, deterministic ordering/time zones, raw and engineering values, units, quality, conversion provenance, query semantics, PIT_PRE input alignment, and prediction/event transaction and integrity behavior.</w:t>
      </w:r>
    </w:p>
    <w:p>
      <w:r>
        <w:rPr>
          <w:b/>
        </w:rPr>
        <w:t>Changes in manuscript</w:t>
      </w:r>
    </w:p>
    <w:p>
      <w:r>
        <w:rPr>
          <w:b w:val="0"/>
          <w:i w:val="0"/>
        </w:rPr>
        <w:t>Sections 2.1 and 2.1.1 identify MySQL as the only validated backend and describe the extension boundary. Section 4.4 lists the unvalidated alternative-TSDB limitation.</w:t>
      </w:r>
      <w:r>
        <w:rPr>
          <w:b/>
          <w:color w:val="0B3C82"/>
        </w:rPr>
        <w:t xml:space="preserve"> Final location: p. 5, lines 93-111; p. 14, lines 280-283; p. 16, lines 340-342.</w:t>
      </w:r>
    </w:p>
    <w:p>
      <w:r>
        <w:rPr>
          <w:b/>
        </w:rPr>
        <w:t>Evidence</w:t>
      </w:r>
    </w:p>
    <w:p>
      <w:r>
        <w:rPr>
          <w:rFonts w:ascii="Courier New" w:hAnsi="Courier New"/>
          <w:sz w:val="18"/>
        </w:rPr>
        <w:t>docs/revision/STORAGE_ADAPTER_BOUNDARY.md</w:t>
      </w:r>
      <w:r>
        <w:rPr>
          <w:b w:val="0"/>
          <w:i w:val="0"/>
        </w:rPr>
        <w:t>.</w:t>
      </w:r>
    </w:p>
    <w:p>
      <w:r>
        <w:rPr>
          <w:b/>
        </w:rPr>
        <w:t>Scope / non-claim</w:t>
      </w:r>
    </w:p>
    <w:p>
      <w:r>
        <w:rPr>
          <w:b w:val="0"/>
          <w:i w:val="0"/>
        </w:rPr>
        <w:t>No TimescaleDB, InfluxDB, or other alternative adapter has been implemented or validated, and the 50,000-row Gate cap is not a MySQL limit.</w:t>
      </w:r>
    </w:p>
    <w:p>
      <w:pPr>
        <w:pStyle w:val="4"/>
      </w:pPr>
      <w:r>
        <w:rPr>
          <w:b w:val="0"/>
          <w:i w:val="0"/>
        </w:rPr>
        <w:t>R3-2. Recommended security patterns</w:t>
      </w:r>
    </w:p>
    <w:p>
      <w:r>
        <w:rPr>
          <w:b/>
        </w:rPr>
        <w:t>Reviewer comment</w:t>
      </w:r>
    </w:p>
    <w:p>
      <w:pPr>
        <w:spacing w:before="40" w:after="80"/>
        <w:ind w:left="454" w:right="227"/>
        <w:shd w:fill="F2F4F7"/>
      </w:pPr>
      <w:r>
        <w:rPr>
          <w:b w:val="0"/>
          <w:i/>
        </w:rPr>
        <w:t>Section 4.4 states that the baseline assumes a "trusted network and no application-level authentication." In modern IoT infrastructure software, security is a major concern. The authors should add 2–3 sentences detailing recommended security patterns.</w:t>
      </w:r>
    </w:p>
    <w:p>
      <w:r>
        <w:rPr>
          <w:b/>
        </w:rPr>
        <w:t>Response</w:t>
      </w:r>
    </w:p>
    <w:p>
      <w:r>
        <w:rPr>
          <w:b w:val="0"/>
          <w:i w:val="0"/>
        </w:rPr>
        <w:t>We added explicit recommended patterns: TLS termination, OIDC/OAuth2 or equivalent identity, RBAC with separate Execute privilege, least-privilege storage roles, secret management, network segmentation, protected provenance/audit storage, rate limiting, gateway logging, and tested backup/restore.</w:t>
      </w:r>
    </w:p>
    <w:p>
      <w:r>
        <w:rPr>
          <w:b/>
        </w:rPr>
        <w:t>Changes in manuscript</w:t>
      </w:r>
    </w:p>
    <w:p>
      <w:r>
        <w:rPr>
          <w:b w:val="0"/>
          <w:i w:val="0"/>
        </w:rPr>
        <w:t>Section 4.4 summarizes these controls and retains the research-reference boundary.</w:t>
      </w:r>
      <w:r>
        <w:rPr>
          <w:b/>
          <w:color w:val="0B3C82"/>
        </w:rPr>
        <w:t xml:space="preserve"> Final location: pp. 16-17, lines 345-351.</w:t>
      </w:r>
    </w:p>
    <w:p>
      <w:r>
        <w:rPr>
          <w:b/>
        </w:rPr>
        <w:t>Evidence</w:t>
      </w:r>
    </w:p>
    <w:p>
      <w:r>
        <w:rPr>
          <w:rFonts w:ascii="Courier New" w:hAnsi="Courier New"/>
          <w:sz w:val="18"/>
        </w:rPr>
        <w:t>SECURITY.md</w:t>
      </w:r>
      <w:r>
        <w:rPr>
          <w:b w:val="0"/>
          <w:i w:val="0"/>
        </w:rPr>
        <w:t>.</w:t>
      </w:r>
    </w:p>
    <w:p>
      <w:r>
        <w:rPr>
          <w:b/>
        </w:rPr>
        <w:t>Scope / non-claim</w:t>
      </w:r>
    </w:p>
    <w:p>
      <w:r>
        <w:rPr>
          <w:b w:val="0"/>
          <w:i w:val="0"/>
        </w:rPr>
        <w:t>These are deployment requirements, not controls implemented by v1.0.1.</w:t>
      </w:r>
    </w:p>
    <w:p>
      <w:pPr>
        <w:pStyle w:val="4"/>
      </w:pPr>
      <w:r>
        <w:rPr>
          <w:b w:val="0"/>
          <w:i w:val="0"/>
        </w:rPr>
        <w:t>R3-3. Asynchronous sampling, latency, and missing points</w:t>
      </w:r>
    </w:p>
    <w:p>
      <w:r>
        <w:rPr>
          <w:b/>
        </w:rPr>
        <w:t>Reviewer comment</w:t>
      </w:r>
    </w:p>
    <w:p>
      <w:pPr>
        <w:spacing w:before="40" w:after="80"/>
        <w:ind w:left="454" w:right="227"/>
        <w:shd w:fill="F2F4F7"/>
      </w:pPr>
      <w:r>
        <w:rPr>
          <w:b w:val="0"/>
          <w:i/>
        </w:rPr>
        <w:t>The "Project Future State" aligns multiple models to a single prediction origin. In heterogeneous monitoring networks, real-world physical sensors often suffer from network latency or asynchronous sampling. Clarify how it handles missing input points, uneven time steps, or temporal alignment before feeding inputs into the feature vectors.</w:t>
      </w:r>
    </w:p>
    <w:p>
      <w:r>
        <w:rPr>
          <w:b/>
        </w:rPr>
        <w:t>Response</w:t>
      </w:r>
    </w:p>
    <w:p>
      <w:r>
        <w:rPr>
          <w:b w:val="0"/>
          <w:i w:val="0"/>
        </w:rPr>
        <w:t>The common source window is placed on the registered 3-min cadence and shared prediction origin. Features use backward-asof matching within one cadence, followed by declared interpolation/boundary fill. Signed source offsets and fill diagnostics make asynchronous contributions inspectable. Model-specific contracts then select the final 12-16 rows and their ordered feature subsets. Unresolved required inputs fail before inference; stale otherwise-complete batches fail separately at Execute.</w:t>
      </w:r>
    </w:p>
    <w:p>
      <w:r>
        <w:rPr>
          <w:b/>
        </w:rPr>
        <w:t>Changes in manuscript</w:t>
      </w:r>
    </w:p>
    <w:p>
      <w:r>
        <w:rPr>
          <w:b w:val="0"/>
          <w:i w:val="0"/>
        </w:rPr>
        <w:t>Section 2.1.2 now distinguishes the 16-step common window, 12-16 model histories, alignment/fill policy, input completeness, and execution freshness.</w:t>
      </w:r>
      <w:r>
        <w:rPr>
          <w:b/>
          <w:color w:val="0B3C82"/>
        </w:rPr>
        <w:t xml:space="preserve"> Final location: p. 7, lines 143-152.</w:t>
      </w:r>
    </w:p>
    <w:p>
      <w:r>
        <w:rPr>
          <w:b/>
        </w:rPr>
        <w:t>Evidence</w:t>
      </w:r>
    </w:p>
    <w:p>
      <w:r>
        <w:rPr>
          <w:rFonts w:ascii="Courier New" w:hAnsi="Courier New"/>
          <w:sz w:val="18"/>
        </w:rPr>
        <w:t>src/pit_pre/pit_pre/features.py</w:t>
      </w:r>
      <w:r>
        <w:rPr>
          <w:b w:val="0"/>
          <w:i w:val="0"/>
        </w:rPr>
        <w:t xml:space="preserve">; </w:t>
      </w:r>
      <w:r>
        <w:rPr>
          <w:rFonts w:ascii="Courier New" w:hAnsi="Courier New"/>
          <w:sz w:val="18"/>
        </w:rPr>
        <w:t>src/pit_pre/pit_pre/pipeline.py</w:t>
      </w:r>
      <w:r>
        <w:rPr>
          <w:b w:val="0"/>
          <w:i w:val="0"/>
        </w:rPr>
        <w:t xml:space="preserve">; </w:t>
      </w:r>
      <w:r>
        <w:rPr>
          <w:rFonts w:ascii="Courier New" w:hAnsi="Courier New"/>
          <w:sz w:val="18"/>
        </w:rPr>
        <w:t>docs/revision/DATA_MODEL_CONTRACT_SPEC.md</w:t>
      </w:r>
      <w:r>
        <w:rPr>
          <w:b w:val="0"/>
          <w:i w:val="0"/>
        </w:rPr>
        <w:t>.</w:t>
      </w:r>
    </w:p>
    <w:p>
      <w:r>
        <w:rPr>
          <w:b/>
        </w:rPr>
        <w:t>Scope / non-claim</w:t>
      </w:r>
    </w:p>
    <w:p>
      <w:r>
        <w:rPr>
          <w:b w:val="0"/>
          <w:i w:val="0"/>
        </w:rPr>
        <w:t>The policy is deterministic and versioned; it is not a claim of statistical optimality for arbitrary asynchronous networks.</w:t>
      </w:r>
    </w:p>
    <w:p>
      <w:pPr>
        <w:pStyle w:val="4"/>
      </w:pPr>
      <w:r>
        <w:rPr>
          <w:b w:val="0"/>
          <w:i w:val="0"/>
        </w:rPr>
        <w:t>R3-4. Linux/Docker portability</w:t>
      </w:r>
    </w:p>
    <w:p>
      <w:r>
        <w:rPr>
          <w:b/>
        </w:rPr>
        <w:t>Reviewer comment</w:t>
      </w:r>
    </w:p>
    <w:p>
      <w:pPr>
        <w:spacing w:before="40" w:after="80"/>
        <w:ind w:left="454" w:right="227"/>
        <w:shd w:fill="F2F4F7"/>
      </w:pPr>
      <w:r>
        <w:rPr>
          <w:b w:val="0"/>
          <w:i/>
        </w:rPr>
        <w:t>Reproduction is currently validated only on Windows 10/11 using PowerShell 7. For broader open-source adoption in CS communities, Docker containerization is the standard. Providing a docker-compose.yml environment or at least discussing Linux/Bash containerization steps would significantly increase the software's impact.</w:t>
      </w:r>
    </w:p>
    <w:p>
      <w:r>
        <w:rPr>
          <w:b/>
        </w:rPr>
        <w:t>Response</w:t>
      </w:r>
    </w:p>
    <w:p>
      <w:r>
        <w:rPr>
          <w:b w:val="0"/>
          <w:i w:val="0"/>
        </w:rPr>
        <w:t>We added Docker/Docker Compose definitions and exercised Linux-container component and logical end-to-end paths. The logical workflow completed through six-model inference, 4,960 persisted rows, Gate, Project Future State, Evaluate, Execute, and provenance. Input and model-contract hashes matched. The normalized output hash did not match Windows (</w:t>
      </w:r>
      <w:r>
        <w:rPr>
          <w:rFonts w:ascii="Courier New" w:hAnsi="Courier New"/>
          <w:sz w:val="18"/>
        </w:rPr>
        <w:t>exactPredictionReproduction=false</w:t>
      </w:r>
      <w:r>
        <w:rPr>
          <w:b w:val="0"/>
          <w:i w:val="0"/>
        </w:rPr>
        <w:t>), no tolerance was applied (</w:t>
      </w:r>
      <w:r>
        <w:rPr>
          <w:rFonts w:ascii="Courier New" w:hAnsi="Courier New"/>
          <w:sz w:val="18"/>
        </w:rPr>
        <w:t>toleranceApplied=false</w:t>
      </w:r>
      <w:r>
        <w:rPr>
          <w:b w:val="0"/>
          <w:i w:val="0"/>
        </w:rPr>
        <w:t>), and the complete row-wise comparison is retained.</w:t>
      </w:r>
    </w:p>
    <w:p>
      <w:r>
        <w:rPr>
          <w:b/>
        </w:rPr>
        <w:t>Changes in manuscript</w:t>
      </w:r>
    </w:p>
    <w:p>
      <w:r>
        <w:rPr>
          <w:b w:val="0"/>
          <w:i w:val="0"/>
        </w:rPr>
        <w:t>Metadata C6 and Sections 3.5 and 4.4 report the positive portability evidence and the numerical limitation together.</w:t>
      </w:r>
      <w:r>
        <w:rPr>
          <w:b/>
          <w:color w:val="0B3C82"/>
        </w:rPr>
        <w:t xml:space="preserve"> Final location: p. 15, lines 295-301; p. 17, lines 352-354.</w:t>
      </w:r>
    </w:p>
    <w:p>
      <w:r>
        <w:rPr>
          <w:b/>
        </w:rPr>
        <w:t>Evidence</w:t>
      </w:r>
    </w:p>
    <w:p>
      <w:r>
        <w:rPr>
          <w:rFonts w:ascii="Courier New" w:hAnsi="Courier New"/>
          <w:sz w:val="18"/>
        </w:rPr>
        <w:t>compose.yaml</w:t>
      </w:r>
      <w:r>
        <w:rPr>
          <w:b w:val="0"/>
          <w:i w:val="0"/>
        </w:rPr>
        <w:t xml:space="preserve">; the three component Dockerfiles; </w:t>
      </w:r>
      <w:r>
        <w:rPr>
          <w:rFonts w:ascii="Courier New" w:hAnsi="Courier New"/>
          <w:sz w:val="18"/>
        </w:rPr>
        <w:t>artifacts/revision/portability/PHASE2C_COMPLETION_REPORT.md</w:t>
      </w:r>
      <w:r>
        <w:rPr>
          <w:b w:val="0"/>
          <w:i w:val="0"/>
        </w:rPr>
        <w:t xml:space="preserve">; </w:t>
      </w:r>
      <w:r>
        <w:rPr>
          <w:rFonts w:ascii="Courier New" w:hAnsi="Courier New"/>
          <w:sz w:val="18"/>
        </w:rPr>
        <w:t>artifacts/revision/portability/cross-platform-comparison.json</w:t>
      </w:r>
      <w:r>
        <w:rPr>
          <w:b w:val="0"/>
          <w:i w:val="0"/>
        </w:rPr>
        <w:t xml:space="preserve">; </w:t>
      </w:r>
      <w:r>
        <w:rPr>
          <w:rFonts w:ascii="Courier New" w:hAnsi="Courier New"/>
          <w:sz w:val="18"/>
        </w:rPr>
        <w:t>artifacts/revision/portability/cross-platform-numeric-difference.json</w:t>
      </w:r>
      <w:r>
        <w:rPr>
          <w:b w:val="0"/>
          <w:i w:val="0"/>
        </w:rPr>
        <w:t>.</w:t>
      </w:r>
    </w:p>
    <w:p>
      <w:r>
        <w:rPr>
          <w:b/>
        </w:rPr>
        <w:t>Scope / non-claim</w:t>
      </w:r>
    </w:p>
    <w:p>
      <w:r>
        <w:rPr>
          <w:b w:val="0"/>
          <w:i w:val="0"/>
        </w:rPr>
        <w:t>Windows remains the exact-output reference. The container result establishes functional/logical workflow portability, while numerical output identity and a separately captured native Ubuntu-host result remain outside the demonstrated evidence.</w:t>
      </w:r>
    </w:p>
    <w:sectPr>
      <w:headerReference r:id="rId6" w:type="first"/>
      <w:footerReference r:id="rId9" w:type="first"/>
      <w:footerReference r:id="rId7" w:type="default"/>
      <w:headerReference r:id="rId5" w:type="even"/>
      <w:footerReference r:id="rId8" w:type="even"/>
      <w:pgSz w:w="12240" w:h="15840"/>
      <w:pgMar w:top="1440" w:right="1440" w:bottom="1440" w:left="1440" w:header="720" w:footer="720" w:gutter="0"/>
      <w:lnNumType w:countBy="1" w:restart="continuous"/>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Noto Sans CJK SC">
    <w:altName w:val="ESRI AMFM Electric"/>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fldSimple w:instr="PAGE">
      <w:r>
        <w:rPr>
          <w:sz w:val="18"/>
        </w:rPr>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6B311">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BE21E">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10DC55"/>
    <w:multiLevelType w:val="singleLevel"/>
    <w:tmpl w:val="B110DC55"/>
    <w:lvl w:ilvl="0" w:tentative="0">
      <w:start w:val="6"/>
      <w:numFmt w:val="decimal"/>
      <w:suff w:val="space"/>
      <w:lvlText w:val="%1."/>
      <w:lvlJc w:val="left"/>
    </w:lvl>
  </w:abstractNum>
  <w:abstractNum w:abstractNumId="1">
    <w:nsid w:val="BB84DFA0"/>
    <w:multiLevelType w:val="singleLevel"/>
    <w:tmpl w:val="BB84DFA0"/>
    <w:lvl w:ilvl="0" w:tentative="0">
      <w:start w:val="1"/>
      <w:numFmt w:val="lowerLetter"/>
      <w:suff w:val="space"/>
      <w:lvlText w:val="(%1)"/>
      <w:lvlJc w:val="left"/>
    </w:lvl>
  </w:abstractNum>
  <w:abstractNum w:abstractNumId="2">
    <w:nsid w:val="632D7863"/>
    <w:multiLevelType w:val="singleLevel"/>
    <w:tmpl w:val="632D7863"/>
    <w:lvl w:ilvl="0" w:tentative="0">
      <w:start w:val="1"/>
      <w:numFmt w:val="bullet"/>
      <w:lvlText w:val=""/>
      <w:lvlJc w:val="left"/>
      <w:pPr>
        <w:tabs>
          <w:tab w:val="left" w:pos="420"/>
        </w:tabs>
        <w:ind w:left="84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46153"/>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 w:val="02F0530D"/>
    <w:rsid w:val="03004097"/>
    <w:rsid w:val="04561A95"/>
    <w:rsid w:val="049802FF"/>
    <w:rsid w:val="054F5640"/>
    <w:rsid w:val="05DD6BAF"/>
    <w:rsid w:val="06761D63"/>
    <w:rsid w:val="07943E1E"/>
    <w:rsid w:val="08204893"/>
    <w:rsid w:val="091D0DD3"/>
    <w:rsid w:val="0C811679"/>
    <w:rsid w:val="0EB43F87"/>
    <w:rsid w:val="12555A81"/>
    <w:rsid w:val="12E017EF"/>
    <w:rsid w:val="17626C76"/>
    <w:rsid w:val="1824217E"/>
    <w:rsid w:val="185D03D3"/>
    <w:rsid w:val="1A6B3DC1"/>
    <w:rsid w:val="1DDB0DE6"/>
    <w:rsid w:val="1E8A53A7"/>
    <w:rsid w:val="1F652A9E"/>
    <w:rsid w:val="23160915"/>
    <w:rsid w:val="23C640E9"/>
    <w:rsid w:val="25097E9D"/>
    <w:rsid w:val="25317C88"/>
    <w:rsid w:val="2899001E"/>
    <w:rsid w:val="2B966A97"/>
    <w:rsid w:val="2C46226B"/>
    <w:rsid w:val="2EEE392F"/>
    <w:rsid w:val="332B3F69"/>
    <w:rsid w:val="33824B0B"/>
    <w:rsid w:val="34CC6CA9"/>
    <w:rsid w:val="36010FB1"/>
    <w:rsid w:val="36D347F2"/>
    <w:rsid w:val="37AB1B1C"/>
    <w:rsid w:val="37CE2EF0"/>
    <w:rsid w:val="3810372D"/>
    <w:rsid w:val="3BF014E4"/>
    <w:rsid w:val="3D9D5A63"/>
    <w:rsid w:val="40243B8A"/>
    <w:rsid w:val="405745EF"/>
    <w:rsid w:val="41564446"/>
    <w:rsid w:val="4420298E"/>
    <w:rsid w:val="47FC5894"/>
    <w:rsid w:val="4C576636"/>
    <w:rsid w:val="4FD74E04"/>
    <w:rsid w:val="506348EA"/>
    <w:rsid w:val="518829CB"/>
    <w:rsid w:val="523A5B1F"/>
    <w:rsid w:val="560426CB"/>
    <w:rsid w:val="5D5418FE"/>
    <w:rsid w:val="60B8658C"/>
    <w:rsid w:val="63A44570"/>
    <w:rsid w:val="652B6A8A"/>
    <w:rsid w:val="65F77B57"/>
    <w:rsid w:val="67290FE2"/>
    <w:rsid w:val="68B7181F"/>
    <w:rsid w:val="6A272315"/>
    <w:rsid w:val="6DE211D7"/>
    <w:rsid w:val="6F72024E"/>
    <w:rsid w:val="70BA3C5B"/>
    <w:rsid w:val="716F713B"/>
    <w:rsid w:val="72E5035E"/>
    <w:rsid w:val="731735E6"/>
    <w:rsid w:val="73CE5EA3"/>
    <w:rsid w:val="789C4E21"/>
    <w:rsid w:val="79A436FA"/>
    <w:rsid w:val="7CF76237"/>
    <w:rsid w:val="7D597C87"/>
    <w:rsid w:val="7EBC7738"/>
    <w:rsid w:val="7FFD480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40" w:line="240" w:lineRule="auto"/>
      <w:jc w:val="both"/>
    </w:pPr>
    <w:rPr>
      <w:rFonts w:ascii="Times New Roman" w:hAnsi="Times New Roman" w:eastAsia="Times New Roman" w:cs="Calibri"/>
      <w:color w:val="000000"/>
      <w:sz w:val="20"/>
      <w:lang w:val="en-GB" w:eastAsia="en-GB" w:bidi="ar-SA"/>
    </w:rPr>
  </w:style>
  <w:style w:type="paragraph" w:styleId="2">
    <w:name w:val="heading 1"/>
    <w:basedOn w:val="1"/>
    <w:next w:val="1"/>
    <w:link w:val="35"/>
    <w:qFormat/>
    <w:uiPriority w:val="0"/>
    <w:pPr>
      <w:keepNext/>
      <w:keepLines/>
      <w:spacing w:before="160" w:after="40"/>
      <w:outlineLvl w:val="0"/>
    </w:pPr>
    <w:rPr>
      <w:rFonts w:ascii="Times New Roman" w:hAnsi="Times New Roman" w:eastAsia="Times New Roman" w:cs="Cambria"/>
      <w:b/>
      <w:color w:val="172033"/>
      <w:sz w:val="26"/>
    </w:rPr>
  </w:style>
  <w:style w:type="paragraph" w:styleId="3">
    <w:name w:val="heading 2"/>
    <w:basedOn w:val="1"/>
    <w:next w:val="1"/>
    <w:qFormat/>
    <w:uiPriority w:val="0"/>
    <w:pPr>
      <w:keepNext/>
      <w:keepLines/>
      <w:spacing w:before="120" w:after="30"/>
      <w:outlineLvl w:val="1"/>
    </w:pPr>
    <w:rPr>
      <w:rFonts w:ascii="Times New Roman" w:hAnsi="Times New Roman" w:eastAsia="Times New Roman" w:cs="Cambria"/>
      <w:b/>
      <w:color w:val="172033"/>
      <w:sz w:val="24"/>
    </w:rPr>
  </w:style>
  <w:style w:type="paragraph" w:styleId="4">
    <w:name w:val="heading 3"/>
    <w:basedOn w:val="1"/>
    <w:next w:val="1"/>
    <w:qFormat/>
    <w:uiPriority w:val="0"/>
    <w:pPr>
      <w:keepNext/>
      <w:keepLines/>
      <w:spacing w:before="100" w:after="30" w:line="271" w:lineRule="auto"/>
      <w:outlineLvl w:val="2"/>
    </w:pPr>
    <w:rPr>
      <w:rFonts w:ascii="Times New Roman" w:hAnsi="Times New Roman" w:eastAsia="Times New Roman" w:cs="Cambria"/>
      <w:b/>
      <w:color w:val="172033"/>
      <w:sz w:val="22"/>
    </w:rPr>
  </w:style>
  <w:style w:type="paragraph" w:styleId="5">
    <w:name w:val="heading 4"/>
    <w:basedOn w:val="1"/>
    <w:next w:val="1"/>
    <w:qFormat/>
    <w:uiPriority w:val="0"/>
    <w:pPr>
      <w:keepNext/>
      <w:keepLines/>
      <w:spacing w:before="80" w:after="20"/>
      <w:outlineLvl w:val="3"/>
    </w:pPr>
    <w:rPr>
      <w:rFonts w:ascii="Times New Roman" w:hAnsi="Times New Roman" w:eastAsia="Times New Roman" w:cs="Cambria"/>
      <w:b/>
      <w:i/>
      <w:color w:val="172033"/>
      <w:sz w:val="21"/>
    </w:rPr>
  </w:style>
  <w:style w:type="paragraph" w:styleId="6">
    <w:name w:val="heading 5"/>
    <w:basedOn w:val="1"/>
    <w:next w:val="1"/>
    <w:qFormat/>
    <w:uiPriority w:val="0"/>
    <w:pPr>
      <w:keepNext/>
      <w:keepLines/>
      <w:spacing w:before="200" w:after="0"/>
      <w:outlineLvl w:val="4"/>
    </w:pPr>
    <w:rPr>
      <w:rFonts w:ascii="Cambria" w:hAnsi="Cambria" w:eastAsia="Cambria" w:cs="Cambria"/>
      <w:b/>
    </w:rPr>
  </w:style>
  <w:style w:type="paragraph" w:styleId="7">
    <w:name w:val="heading 6"/>
    <w:basedOn w:val="1"/>
    <w:next w:val="1"/>
    <w:qFormat/>
    <w:uiPriority w:val="0"/>
    <w:pPr>
      <w:keepNext/>
      <w:keepLines/>
      <w:spacing w:after="0" w:line="271" w:lineRule="auto"/>
      <w:outlineLvl w:val="5"/>
    </w:pPr>
    <w:rPr>
      <w:rFonts w:ascii="Cambria" w:hAnsi="Cambria" w:eastAsia="Cambria" w:cs="Cambria"/>
      <w:b/>
      <w:i/>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9"/>
    <w:unhideWhenUsed/>
    <w:qFormat/>
    <w:uiPriority w:val="99"/>
    <w:pPr>
      <w:spacing w:line="240" w:lineRule="auto"/>
    </w:pPr>
    <w:rPr>
      <w:sz w:val="20"/>
    </w:rPr>
  </w:style>
  <w:style w:type="paragraph" w:styleId="9">
    <w:name w:val="Balloon Text"/>
    <w:basedOn w:val="1"/>
    <w:link w:val="34"/>
    <w:semiHidden/>
    <w:unhideWhenUsed/>
    <w:qFormat/>
    <w:uiPriority w:val="99"/>
    <w:pPr>
      <w:spacing w:after="0" w:line="240" w:lineRule="auto"/>
    </w:pPr>
    <w:rPr>
      <w:rFonts w:ascii="Segoe UI" w:hAnsi="Segoe UI" w:cs="Segoe UI"/>
      <w:sz w:val="18"/>
      <w:szCs w:val="18"/>
    </w:rPr>
  </w:style>
  <w:style w:type="paragraph" w:styleId="10">
    <w:name w:val="footer"/>
    <w:basedOn w:val="1"/>
    <w:link w:val="26"/>
    <w:unhideWhenUsed/>
    <w:qFormat/>
    <w:uiPriority w:val="99"/>
    <w:pPr>
      <w:tabs>
        <w:tab w:val="center" w:pos="4513"/>
        <w:tab w:val="right" w:pos="9026"/>
      </w:tabs>
      <w:spacing w:after="0" w:line="240" w:lineRule="auto"/>
    </w:pPr>
  </w:style>
  <w:style w:type="paragraph" w:styleId="11">
    <w:name w:val="header"/>
    <w:basedOn w:val="1"/>
    <w:link w:val="25"/>
    <w:unhideWhenUsed/>
    <w:qFormat/>
    <w:uiPriority w:val="99"/>
    <w:pPr>
      <w:tabs>
        <w:tab w:val="center" w:pos="4513"/>
        <w:tab w:val="right" w:pos="9026"/>
      </w:tabs>
      <w:spacing w:after="0" w:line="240" w:lineRule="auto"/>
    </w:pPr>
  </w:style>
  <w:style w:type="paragraph" w:styleId="12">
    <w:name w:val="Subtitle"/>
    <w:basedOn w:val="1"/>
    <w:next w:val="1"/>
    <w:qFormat/>
    <w:uiPriority w:val="0"/>
    <w:pPr>
      <w:keepNext/>
      <w:keepLines/>
      <w:spacing w:after="600"/>
    </w:pPr>
    <w:rPr>
      <w:rFonts w:ascii="Cambria" w:hAnsi="Cambria" w:eastAsia="Cambria" w:cs="Cambria"/>
      <w:i/>
      <w:color w:val="666666"/>
      <w:sz w:val="24"/>
    </w:rPr>
  </w:style>
  <w:style w:type="paragraph" w:styleId="13">
    <w:name w:val="Title"/>
    <w:basedOn w:val="1"/>
    <w:next w:val="1"/>
    <w:qFormat/>
    <w:uiPriority w:val="0"/>
    <w:pPr>
      <w:keepNext/>
      <w:keepLines/>
      <w:spacing w:line="240" w:lineRule="auto" w:before="0" w:after="160"/>
    </w:pPr>
    <w:rPr>
      <w:rFonts w:ascii="Times New Roman" w:hAnsi="Times New Roman" w:eastAsia="Times New Roman" w:cs="Cambria"/>
      <w:b/>
      <w:color w:val="0B3C82"/>
      <w:sz w:val="32"/>
    </w:rPr>
  </w:style>
  <w:style w:type="paragraph" w:styleId="14">
    <w:name w:val="annotation subject"/>
    <w:basedOn w:val="8"/>
    <w:next w:val="8"/>
    <w:link w:val="30"/>
    <w:semiHidden/>
    <w:unhideWhenUsed/>
    <w:qFormat/>
    <w:uiPriority w:val="99"/>
    <w:rPr>
      <w:b/>
      <w:bCs/>
    </w:rPr>
  </w:style>
  <w:style w:type="table" w:styleId="16">
    <w:name w:val="Table Grid"/>
    <w:basedOn w:val="1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22"/>
    <w:rPr>
      <w:b/>
      <w:bCs/>
    </w:rPr>
  </w:style>
  <w:style w:type="character" w:styleId="19">
    <w:name w:val="FollowedHyperlink"/>
    <w:basedOn w:val="17"/>
    <w:semiHidden/>
    <w:unhideWhenUsed/>
    <w:qFormat/>
    <w:uiPriority w:val="99"/>
    <w:rPr>
      <w:color w:val="800080" w:themeColor="followedHyperlink"/>
      <w:u w:val="single"/>
      <w14:textFill>
        <w14:solidFill>
          <w14:schemeClr w14:val="folHlink"/>
        </w14:solidFill>
      </w14:textFill>
    </w:rPr>
  </w:style>
  <w:style w:type="character" w:styleId="20">
    <w:name w:val="line number"/>
    <w:basedOn w:val="17"/>
    <w:semiHidden/>
    <w:unhideWhenUsed/>
    <w:qFormat/>
    <w:uiPriority w:val="99"/>
  </w:style>
  <w:style w:type="character" w:styleId="21">
    <w:name w:val="Hyperlink"/>
    <w:basedOn w:val="17"/>
    <w:unhideWhenUsed/>
    <w:qFormat/>
    <w:uiPriority w:val="99"/>
    <w:rPr>
      <w:color w:val="0000FF" w:themeColor="hyperlink"/>
      <w:u w:val="single"/>
      <w14:textFill>
        <w14:solidFill>
          <w14:schemeClr w14:val="hlink"/>
        </w14:solidFill>
      </w14:textFill>
    </w:rPr>
  </w:style>
  <w:style w:type="character" w:styleId="22">
    <w:name w:val="annotation reference"/>
    <w:basedOn w:val="17"/>
    <w:semiHidden/>
    <w:unhideWhenUsed/>
    <w:qFormat/>
    <w:uiPriority w:val="99"/>
    <w:rPr>
      <w:sz w:val="16"/>
      <w:szCs w:val="16"/>
    </w:rPr>
  </w:style>
  <w:style w:type="table" w:customStyle="1" w:styleId="23">
    <w:name w:val="_Style 11"/>
    <w:basedOn w:val="15"/>
    <w:qFormat/>
    <w:uiPriority w:val="0"/>
    <w:pPr>
      <w:spacing w:after="0" w:line="240" w:lineRule="auto"/>
    </w:pPr>
    <w:tblPr>
      <w:tblCellMar>
        <w:left w:w="115" w:type="dxa"/>
        <w:right w:w="115" w:type="dxa"/>
      </w:tblCellMar>
    </w:tblPr>
  </w:style>
  <w:style w:type="table" w:customStyle="1" w:styleId="24">
    <w:name w:val="_Style 12"/>
    <w:basedOn w:val="15"/>
    <w:qFormat/>
    <w:uiPriority w:val="0"/>
    <w:pPr>
      <w:spacing w:after="0" w:line="240" w:lineRule="auto"/>
    </w:pPr>
    <w:tblPr>
      <w:tblCellMar>
        <w:left w:w="115" w:type="dxa"/>
        <w:right w:w="115" w:type="dxa"/>
      </w:tblCellMar>
    </w:tblPr>
  </w:style>
  <w:style w:type="character" w:customStyle="1" w:styleId="25">
    <w:name w:val="Header Char"/>
    <w:basedOn w:val="17"/>
    <w:link w:val="11"/>
    <w:qFormat/>
    <w:uiPriority w:val="99"/>
  </w:style>
  <w:style w:type="character" w:customStyle="1" w:styleId="26">
    <w:name w:val="Footer Char"/>
    <w:basedOn w:val="17"/>
    <w:link w:val="10"/>
    <w:qFormat/>
    <w:uiPriority w:val="99"/>
  </w:style>
  <w:style w:type="paragraph" w:styleId="27">
    <w:name w:val="List Paragraph"/>
    <w:basedOn w:val="1"/>
    <w:qFormat/>
    <w:uiPriority w:val="34"/>
    <w:pPr>
      <w:ind w:left="720"/>
      <w:contextualSpacing/>
    </w:pPr>
  </w:style>
  <w:style w:type="character" w:customStyle="1" w:styleId="28">
    <w:name w:val="Unresolved Mention"/>
    <w:basedOn w:val="17"/>
    <w:semiHidden/>
    <w:unhideWhenUsed/>
    <w:qFormat/>
    <w:uiPriority w:val="99"/>
    <w:rPr>
      <w:color w:val="808080"/>
      <w:shd w:val="clear" w:color="auto" w:fill="E6E6E6"/>
    </w:rPr>
  </w:style>
  <w:style w:type="character" w:customStyle="1" w:styleId="29">
    <w:name w:val="Comment Text Char"/>
    <w:basedOn w:val="17"/>
    <w:link w:val="8"/>
    <w:qFormat/>
    <w:uiPriority w:val="99"/>
    <w:rPr>
      <w:sz w:val="20"/>
    </w:rPr>
  </w:style>
  <w:style w:type="character" w:customStyle="1" w:styleId="30">
    <w:name w:val="Comment Subject Char"/>
    <w:basedOn w:val="29"/>
    <w:link w:val="14"/>
    <w:semiHidden/>
    <w:qFormat/>
    <w:uiPriority w:val="99"/>
    <w:rPr>
      <w:b/>
      <w:bCs/>
      <w:sz w:val="20"/>
    </w:rPr>
  </w:style>
  <w:style w:type="character" w:customStyle="1" w:styleId="31">
    <w:name w:val="Hyperlink.1"/>
    <w:basedOn w:val="17"/>
    <w:qFormat/>
    <w:uiPriority w:val="0"/>
    <w:rPr>
      <w:color w:val="0070C0"/>
      <w:u w:val="single" w:color="0070C0"/>
    </w:rPr>
  </w:style>
  <w:style w:type="paragraph" w:customStyle="1" w:styleId="32">
    <w:name w:val="Body"/>
    <w:qFormat/>
    <w:uiPriority w:val="0"/>
    <w:pPr>
      <w:pBdr>
        <w:top w:val="none" w:color="auto" w:sz="0" w:space="0"/>
        <w:left w:val="none" w:color="auto" w:sz="0" w:space="0"/>
        <w:bottom w:val="none" w:color="auto" w:sz="0" w:space="0"/>
        <w:right w:val="none" w:color="auto" w:sz="0" w:space="0"/>
        <w:between w:val="none" w:color="auto" w:sz="0" w:space="0"/>
      </w:pBdr>
      <w:spacing w:after="80" w:line="283" w:lineRule="auto"/>
    </w:pPr>
    <w:rPr>
      <w:rFonts w:ascii="Times New Roman" w:hAnsi="Times New Roman" w:eastAsia="Noto Serif CJK SC" w:cs="Calibri"/>
      <w:color w:val="000000"/>
      <w:sz w:val="20"/>
      <w:szCs w:val="22"/>
      <w:u w:color="000000"/>
      <w:lang w:val="it-IT" w:eastAsia="en-GB" w:bidi="ar-SA"/>
    </w:rPr>
  </w:style>
  <w:style w:type="paragraph" w:customStyle="1" w:styleId="33">
    <w:name w:val="Revision"/>
    <w:hidden/>
    <w:semiHidden/>
    <w:qFormat/>
    <w:uiPriority w:val="99"/>
    <w:pPr>
      <w:spacing w:after="0" w:line="240" w:lineRule="auto"/>
    </w:pPr>
    <w:rPr>
      <w:rFonts w:ascii="Calibri" w:hAnsi="Calibri" w:eastAsia="Calibri" w:cs="Calibri"/>
      <w:color w:val="000000"/>
      <w:sz w:val="22"/>
      <w:lang w:val="en-GB" w:eastAsia="en-GB" w:bidi="ar-SA"/>
    </w:rPr>
  </w:style>
  <w:style w:type="character" w:customStyle="1" w:styleId="34">
    <w:name w:val="Balloon Text Char"/>
    <w:basedOn w:val="17"/>
    <w:link w:val="9"/>
    <w:semiHidden/>
    <w:qFormat/>
    <w:uiPriority w:val="99"/>
    <w:rPr>
      <w:rFonts w:ascii="Segoe UI" w:hAnsi="Segoe UI" w:cs="Segoe UI"/>
      <w:sz w:val="18"/>
      <w:szCs w:val="18"/>
    </w:rPr>
  </w:style>
  <w:style w:type="character" w:customStyle="1" w:styleId="35">
    <w:name w:val="Heading 1 Char"/>
    <w:basedOn w:val="17"/>
    <w:link w:val="2"/>
    <w:qFormat/>
    <w:uiPriority w:val="0"/>
    <w:rPr>
      <w:rFonts w:ascii="Cambria" w:hAnsi="Cambria" w:eastAsia="Cambria" w:cs="Cambria"/>
      <w:b/>
      <w:sz w:val="28"/>
    </w:rPr>
  </w:style>
  <w:style w:type="paragraph" w:customStyle="1" w:styleId="FigureCaption">
    <w:name w:val="Figure Caption"/>
    <w:pPr>
      <w:keepNext w:val="0"/>
      <w:spacing w:before="40" w:after="120"/>
      <w:jc w:val="center"/>
    </w:pPr>
    <w:rPr>
      <w:rFonts w:ascii="Times New Roman" w:hAnsi="Times New Roman" w:eastAsia="Times New Roman"/>
      <w:i w:val="0"/>
      <w:sz w:val="19"/>
    </w:rPr>
  </w:style>
  <w:style w:type="paragraph" w:customStyle="1" w:styleId="ListNumber">
    <w:name w:val="List Number"/>
    <w:basedOn w:val="1"/>
    <w:pPr>
      <w:spacing w:after="40"/>
      <w:ind w:left="397" w:hanging="227"/>
    </w:pPr>
  </w:style>
  <w:style w:type="paragraph" w:customStyle="1" w:styleId="ListBullet">
    <w:name w:val="List Bullet"/>
    <w:basedOn w:val="1"/>
    <w:pPr>
      <w:spacing w:after="40"/>
      <w:ind w:left="397" w:hanging="227"/>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DD8FC7-380E-48ED-9ED0-155BB80A9642}">
  <ds:schemaRefs/>
</ds:datastoreItem>
</file>

<file path=customXml/itemProps2.xml><?xml version="1.0" encoding="utf-8"?>
<ds:datastoreItem xmlns:ds="http://schemas.openxmlformats.org/officeDocument/2006/customXml" ds:itemID="{454CE2F2-156C-475F-A676-FBCD4F2B923D}">
  <ds:schemaRefs/>
</ds:datastoreItem>
</file>

<file path=customXml/itemProps3.xml><?xml version="1.0" encoding="utf-8"?>
<ds:datastoreItem xmlns:ds="http://schemas.openxmlformats.org/officeDocument/2006/customXml" ds:itemID="{32D3166B-69DD-4491-A94A-E61954D8CFA5}">
  <ds:schemaRefs/>
</ds:datastoreItem>
</file>

<file path=docProps/app.xml><?xml version="1.0" encoding="utf-8"?>
<Properties xmlns="http://schemas.openxmlformats.org/officeDocument/2006/extended-properties" xmlns:vt="http://schemas.openxmlformats.org/officeDocument/2006/docPropsVTypes">
  <Template>Normal</Template>
  <Company>Reed Elsevier</Company>
  <Pages>13</Pages>
  <Words>3912</Words>
  <Characters>26353</Characters>
  <Lines>57</Lines>
  <Paragraphs>16</Paragraphs>
  <TotalTime>383</TotalTime>
  <ScaleCrop>false</ScaleCrop>
  <LinksUpToDate>false</LinksUpToDate>
  <CharactersWithSpaces>30092</CharactersWithSpaces>
  <Application>WPS Office_12.1.0.26895_F1E327BC-269C-435d-A152-05C5408002CA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2026-03-30T10:33:00Z</dcterms:created>
  <dc:creator>Ji'an Liao; Zifa Wang; Dengke Zhao; Jianming Wang; Zhaoyan Li; Siran Yang</dc:creator>
  <dc:description>Generated from the GPT-reviewed scientific-consistency source for SoftwareX minor revision SOFTX-D-26-00931.</dc:description>
  <cp:keywords>engineering monitoring; time-series forecasting; event management; provenance</cp:keywords>
  <cp:lastModifiedBy>NLFDZ</cp:lastModifiedBy>
  <dcterms:modified xsi:type="dcterms:W3CDTF">2026-07-26T09:43:18Z</dcterms:modified>
  <dc:subject>SoftwareX reviewer response</dc:subject>
  <dc:title>Response to Reviewers: SOFTX-D-26-00931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y fmtid="{D5CDD505-2E9C-101B-9397-08002B2CF9AE}" pid="11" name="KSOTemplateDocerSaveRecord">
    <vt:lpwstr>eyJoZGlkIjoiY2NmYThjYjgzYmNmNDA3YjY1N2ViNTcyZmJiMzc2ODIiLCJ1c2VySWQiOiI1MTQxNTk2NjYifQ==</vt:lpwstr>
  </property>
  <property fmtid="{D5CDD505-2E9C-101B-9397-08002B2CF9AE}" pid="12" name="KSOProductBuildVer">
    <vt:lpwstr>2052-12.1.0.26895</vt:lpwstr>
  </property>
  <property fmtid="{D5CDD505-2E9C-101B-9397-08002B2CF9AE}" pid="13" name="ICV">
    <vt:lpwstr>D90C0BAB9A6847E396D16D7481D42455_12</vt:lpwstr>
  </property>
</Properties>
</file>