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A1A2E"/>
          <w:sz w:val="52"/>
          <w:szCs w:val="52"/>
        </w:rPr>
        <w:t xml:space="preserve">THE BURGESS PRINCIPLE</w:t>
      </w:r>
    </w:p>
    <w:p>
      <w:pPr>
        <w:spacing w:after="100"/>
      </w:pPr>
    </w:p>
    <w:p>
      <w:pPr>
        <w:pBdr>
          <w:bottom w:val="single" w:color="2E75B6" w:sz="4" w:space="8"/>
        </w:pBdr>
        <w:jc w:val="center"/>
      </w:pPr>
      <w:r>
        <w:rPr>
          <w:rFonts w:ascii="Arial" w:cs="Arial" w:eastAsia="Arial" w:hAnsi="Arial"/>
          <w:b/>
          <w:bCs/>
          <w:color w:val="2E75B6"/>
          <w:sz w:val="36"/>
          <w:szCs w:val="36"/>
        </w:rPr>
        <w:t xml:space="preserve">PAPER IV</w:t>
      </w:r>
    </w:p>
    <w:p>
      <w:pPr>
        <w:spacing w:after="200"/>
      </w:pPr>
    </w:p>
    <w:p>
      <w:pPr>
        <w:jc w:val="center"/>
      </w:pPr>
      <w:r>
        <w:rPr>
          <w:rFonts w:ascii="Arial" w:cs="Arial" w:eastAsia="Arial" w:hAnsi="Arial"/>
          <w:color w:val="16213E"/>
          <w:sz w:val="32"/>
          <w:szCs w:val="32"/>
        </w:rPr>
        <w:t xml:space="preserve">Data Sovereignty and the Compliance Feedback Loop</w:t>
      </w:r>
    </w:p>
    <w:p>
      <w:pPr>
        <w:spacing w:before="40"/>
        <w:jc w:val="center"/>
      </w:pPr>
      <w:r>
        <w:rPr>
          <w:rFonts w:ascii="Arial" w:cs="Arial" w:eastAsia="Arial" w:hAnsi="Arial"/>
          <w:color w:val="16213E"/>
          <w:sz w:val="26"/>
          <w:szCs w:val="26"/>
        </w:rPr>
        <w:t xml:space="preserve">How Existing Regulatory Frameworks Enable Individual</w:t>
      </w:r>
    </w:p>
    <w:p>
      <w:pPr>
        <w:spacing w:before="40"/>
        <w:jc w:val="center"/>
      </w:pPr>
      <w:r>
        <w:rPr>
          <w:rFonts w:ascii="Arial" w:cs="Arial" w:eastAsia="Arial" w:hAnsi="Arial"/>
          <w:color w:val="16213E"/>
          <w:sz w:val="26"/>
          <w:szCs w:val="26"/>
        </w:rPr>
        <w:t xml:space="preserve">Reclamation of Data Value at Scale</w:t>
      </w:r>
    </w:p>
    <w:p>
      <w:pPr>
        <w:spacing w:after="600"/>
      </w:pPr>
    </w:p>
    <w:p>
      <w:pPr>
        <w:jc w:val="center"/>
      </w:pPr>
      <w:r>
        <w:rPr>
          <w:rFonts w:ascii="Arial" w:cs="Arial" w:eastAsia="Arial" w:hAnsi="Arial"/>
          <w:b/>
          <w:bCs/>
          <w:sz w:val="24"/>
          <w:szCs w:val="24"/>
        </w:rPr>
        <w:t xml:space="preserve">Lewis James Burgess</w:t>
      </w:r>
    </w:p>
    <w:p>
      <w:pPr>
        <w:spacing w:before="80"/>
        <w:jc w:val="center"/>
      </w:pPr>
      <w:r>
        <w:rPr>
          <w:rFonts w:ascii="Arial" w:cs="Arial" w:eastAsia="Arial" w:hAnsi="Arial"/>
          <w:color w:val="666666"/>
          <w:sz w:val="22"/>
          <w:szCs w:val="22"/>
        </w:rPr>
        <w:t xml:space="preserve">Self-Represented | Independent Researcher</w:t>
      </w:r>
    </w:p>
    <w:p>
      <w:pPr>
        <w:spacing w:before="80"/>
        <w:jc w:val="center"/>
      </w:pPr>
      <w:r>
        <w:rPr>
          <w:rFonts w:ascii="Arial" w:cs="Arial" w:eastAsia="Arial" w:hAnsi="Arial"/>
          <w:color w:val="666666"/>
          <w:sz w:val="22"/>
          <w:szCs w:val="22"/>
        </w:rPr>
        <w:t xml:space="preserve">March 2026</w:t>
      </w:r>
    </w:p>
    <w:p>
      <w:pPr>
        <w:spacing w:after="600"/>
      </w:pPr>
    </w:p>
    <w:p>
      <w:pPr>
        <w:jc w:val="center"/>
      </w:pPr>
      <w:r>
        <w:rPr>
          <w:rFonts w:ascii="Arial" w:cs="Arial" w:eastAsia="Arial" w:hAnsi="Arial"/>
          <w:color w:val="2E75B6"/>
          <w:sz w:val="20"/>
          <w:szCs w:val="20"/>
        </w:rPr>
        <w:t xml:space="preserve">github.com/ljbudgie/Burgessprinciple</w:t>
      </w:r>
    </w:p>
    <w:p>
      <w:pPr>
        <w:spacing w:before="80"/>
        <w:jc w:val="center"/>
      </w:pPr>
      <w:r>
        <w:rPr>
          <w:rFonts w:ascii="Arial" w:cs="Arial" w:eastAsia="Arial" w:hAnsi="Arial"/>
          <w:color w:val="2E75B6"/>
          <w:sz w:val="20"/>
          <w:szCs w:val="20"/>
        </w:rPr>
        <w:t xml:space="preserve">UK Certification Mark: UK00004343685</w:t>
      </w:r>
    </w:p>
    <w:p>
      <w:pPr>
        <w:sectPr>
          <w:pgSz w:w="11906" w:h="16838" w:orient="portrait"/>
          <w:pgMar w:top="1440" w:right="1440" w:bottom="1440" w:left="1440" w:header="708" w:footer="708" w:gutter="0"/>
          <w:pgNumType/>
          <w:docGrid w:linePitch="360"/>
        </w:sectPr>
      </w:pPr>
    </w:p>
    <w:p>
      <w:pPr>
        <w:pStyle w:val="Heading1"/>
        <w:pBdr>
          <w:bottom w:val="single" w:color="2E75B6" w:sz="2" w:space="4"/>
        </w:pBdr>
        <w:spacing w:before="400" w:after="200"/>
      </w:pPr>
      <w:r>
        <w:rPr>
          <w:rFonts w:ascii="Arial" w:cs="Arial" w:eastAsia="Arial" w:hAnsi="Arial"/>
          <w:b/>
          <w:bCs/>
          <w:color w:val="1A1A2E"/>
          <w:sz w:val="32"/>
          <w:szCs w:val="32"/>
        </w:rPr>
        <w:t xml:space="preserve">Abstract</w:t>
      </w:r>
    </w:p>
    <w:p>
      <w:pPr>
        <w:spacing w:after="160" w:line="300"/>
        <w:jc w:val="both"/>
      </w:pPr>
      <w:r>
        <w:rPr>
          <w:rFonts w:ascii="Arial" w:cs="Arial" w:eastAsia="Arial" w:hAnsi="Arial"/>
          <w:sz w:val="22"/>
          <w:szCs w:val="22"/>
        </w:rPr>
        <w:t xml:space="preserve">The first three papers of The Burgess Principle established a binary doctrinal test for the validity of state enforcement instruments: SOVEREIGN (1), where a judicial mind has individually scrutinised the instrument, or NULL (0), where bulk processing has occurred without individual review, rendering the instrument void ab initio with all downstream actions inheriting that nullity.</w:t>
      </w:r>
    </w:p>
    <w:p>
      <w:pPr>
        <w:spacing w:after="160" w:line="300"/>
        <w:jc w:val="both"/>
      </w:pPr>
      <w:r>
        <w:rPr>
          <w:rFonts w:ascii="Arial" w:cs="Arial" w:eastAsia="Arial" w:hAnsi="Arial"/>
          <w:sz w:val="22"/>
          <w:szCs w:val="22"/>
        </w:rPr>
        <w:t xml:space="preserve">This fourth paper extends the doctrine into the domain of personal data. It argues that the same SOVEREIGN/NULL binary applies to data processing: where personal data has been processed with individual, informed, and lawful authorisation, the processing is sovereign; where it has been bulk-processed under blanket terms, automated systems, or without genuine human oversight, the processing is null — and the regulatory framework itself provides the mechanism for reclaiming the value that was extracted without authority.</w:t>
      </w:r>
    </w:p>
    <w:p>
      <w:pPr>
        <w:spacing w:after="160" w:line="300"/>
        <w:jc w:val="both"/>
      </w:pPr>
      <w:r>
        <w:rPr>
          <w:rFonts w:ascii="Arial" w:cs="Arial" w:eastAsia="Arial" w:hAnsi="Arial"/>
          <w:sz w:val="22"/>
          <w:szCs w:val="22"/>
        </w:rPr>
        <w:t xml:space="preserve">This paper demonstrates, through the live deployment of coordinated forensic Subject Access Requests simultaneously across multiple institutions, that existing UK data protection law — specifically the UK General Data Protection Regulation and the Data Protection Act 2018 — constitutes a complete toolkit for individual data sovereignty when used systematically rather than passively. It further argues that the Equality Act 2010 operates as a force multiplier, converting institutional failures to accommodate disabled data subjects into independently compensable claims that compound across every front.
Since the original drafting, the doctrine has extended into two further domains: medical device governance, where proprietary algorithms exercise continuous authority over a citizen’s sensory experience without individual clinical scrutiny; and technology licensing, where the SOVEREIGN/NULL standard has been submitted for integration into consumer technology platforms as a certification mark. The medical device extension — applied to hearing aid fitting architecture — is documented in Part IX of this paper. The licensing engagement with technology manufacturers represents the conversion of the Principle from a defensive instrument into an industry standard.</w:t>
      </w:r>
    </w:p>
    <w:p>
      <w:pPr>
        <w:spacing w:after="100"/>
      </w:pPr>
    </w:p>
    <w:p>
      <w:pPr>
        <w:pStyle w:val="Heading1"/>
        <w:pBdr>
          <w:bottom w:val="single" w:color="2E75B6" w:sz="2" w:space="4"/>
        </w:pBdr>
        <w:spacing w:before="400" w:after="200"/>
      </w:pPr>
      <w:r>
        <w:rPr>
          <w:rFonts w:ascii="Arial" w:cs="Arial" w:eastAsia="Arial" w:hAnsi="Arial"/>
          <w:b/>
          <w:bCs/>
          <w:color w:val="1A1A2E"/>
          <w:sz w:val="32"/>
          <w:szCs w:val="32"/>
        </w:rPr>
        <w:t xml:space="preserve">Part I: The Original Sin — Data as Uncompensated Currency</w:t>
      </w:r>
    </w:p>
    <w:p>
      <w:pPr>
        <w:spacing w:after="160" w:line="300"/>
        <w:jc w:val="both"/>
      </w:pPr>
      <w:r>
        <w:rPr>
          <w:rFonts w:ascii="Arial" w:cs="Arial" w:eastAsia="Arial" w:hAnsi="Arial"/>
          <w:sz w:val="22"/>
          <w:szCs w:val="22"/>
        </w:rPr>
        <w:t xml:space="preserve">The architecture of the modern digital economy rests on a foundational asymmetry: personal data flows upward from individuals to institutions at no cost to the institutions and no compensation to the individuals. This is not a secret. It is not even disputed. The phrase “if the product is free, you are the product” has been in common circulation since the early 2010s. Academics including Shoshana Zuboff have documented the mechanics of what she terms “surveillance capitalism” — the systematic extraction of behavioural data for predictive modelling and commercial profit.</w:t>
      </w:r>
    </w:p>
    <w:p>
      <w:pPr>
        <w:spacing w:after="160" w:line="300"/>
        <w:jc w:val="both"/>
      </w:pPr>
      <w:r>
        <w:rPr>
          <w:rFonts w:ascii="Arial" w:cs="Arial" w:eastAsia="Arial" w:hAnsi="Arial"/>
          <w:sz w:val="22"/>
          <w:szCs w:val="22"/>
        </w:rPr>
        <w:t xml:space="preserve">What has been less clearly articulated is the implication: that personal data is not merely valuable, but is the primary currency of the twenty-first century economy. Every commission-free trading platform, every social media network, every energy supplier, every enforcement agent, and every credit reference agency operates within a system in which the individual’s data generates revenue for others. The individual generates the data. The institution captures it. The system monetises it. The individual receives nothing.</w:t>
      </w:r>
    </w:p>
    <w:p>
      <w:pPr>
        <w:spacing w:after="160" w:line="300"/>
        <w:jc w:val="both"/>
      </w:pPr>
      <w:r>
        <w:rPr>
          <w:rFonts w:ascii="Arial" w:cs="Arial" w:eastAsia="Arial" w:hAnsi="Arial"/>
          <w:sz w:val="22"/>
          <w:szCs w:val="22"/>
        </w:rPr>
        <w:t xml:space="preserve">This is not an accident of design. It is the design. The entire infrastructure of digital commerce, financial services, and state enforcement is built on the assumption that individuals will generate data, accept the terms, click agree, and never interrogate the mechanics of what happens to their information after it leaves their hands.</w:t>
      </w:r>
    </w:p>
    <w:p>
      <w:pPr>
        <w:pStyle w:val="Heading2"/>
        <w:spacing w:before="300" w:after="150"/>
      </w:pPr>
      <w:r>
        <w:rPr>
          <w:rFonts w:ascii="Arial" w:cs="Arial" w:eastAsia="Arial" w:hAnsi="Arial"/>
          <w:b/>
          <w:bCs/>
          <w:color w:val="16213E"/>
          <w:sz w:val="26"/>
          <w:szCs w:val="26"/>
        </w:rPr>
        <w:t xml:space="preserve">The Compliance Framework as Afterthought</w:t>
      </w:r>
    </w:p>
    <w:p>
      <w:pPr>
        <w:spacing w:after="160" w:line="300"/>
        <w:jc w:val="both"/>
      </w:pPr>
      <w:r>
        <w:rPr>
          <w:rFonts w:ascii="Arial" w:cs="Arial" w:eastAsia="Arial" w:hAnsi="Arial"/>
          <w:sz w:val="22"/>
          <w:szCs w:val="22"/>
        </w:rPr>
        <w:t xml:space="preserve">The UK General Data Protection Regulation, retained from EU Regulation 2016/679, was enacted precisely because legislators recognised this asymmetry. The framework grants data subjects a suite of rights: the right of access (Article 15), the right to rectification (Article 16), the right to erasure (Article 17), the right to restriction of processing (Article 18), the right to data portability (Article 20), the right to object (Article 21), and protection against solely automated decision-making (Article 22).</w:t>
      </w:r>
    </w:p>
    <w:p>
      <w:pPr>
        <w:spacing w:after="160" w:line="300"/>
        <w:jc w:val="both"/>
      </w:pPr>
      <w:r>
        <w:rPr>
          <w:rFonts w:ascii="Arial" w:cs="Arial" w:eastAsia="Arial" w:hAnsi="Arial"/>
          <w:sz w:val="22"/>
          <w:szCs w:val="22"/>
        </w:rPr>
        <w:t xml:space="preserve">These rights are powerful on paper. In practice, they are treated by institutions as administrative burdens to be managed at minimum cost. Subject Access Requests are processed by compliance teams trained to disclose the minimum required. Privacy notices are drafted by lawyers to authorise the maximum processing under the broadest possible language. Consent is obtained through pre-ticked boxes, bundled terms, and interfaces designed to make refusal more effortful than acceptance.</w:t>
      </w:r>
    </w:p>
    <w:p>
      <w:pPr>
        <w:spacing w:after="160" w:line="300"/>
        <w:jc w:val="both"/>
      </w:pPr>
      <w:r>
        <w:rPr>
          <w:rFonts w:ascii="Arial" w:cs="Arial" w:eastAsia="Arial" w:hAnsi="Arial"/>
          <w:sz w:val="22"/>
          <w:szCs w:val="22"/>
        </w:rPr>
        <w:t xml:space="preserve">The result is a regulatory framework that was designed as a shield for individuals but functions, in practice, as a compliance checkbox for institutions. The shield exists. Almost nobody picks it up.</w:t>
      </w:r>
    </w:p>
    <w:p>
      <w:pPr>
        <w:spacing w:after="100"/>
      </w:pPr>
    </w:p>
    <w:p>
      <w:pPr>
        <w:pStyle w:val="Heading1"/>
        <w:pBdr>
          <w:bottom w:val="single" w:color="2E75B6" w:sz="2" w:space="4"/>
        </w:pBdr>
        <w:spacing w:before="400" w:after="200"/>
      </w:pPr>
      <w:r>
        <w:rPr>
          <w:rFonts w:ascii="Arial" w:cs="Arial" w:eastAsia="Arial" w:hAnsi="Arial"/>
          <w:b/>
          <w:bCs/>
          <w:color w:val="1A1A2E"/>
          <w:sz w:val="32"/>
          <w:szCs w:val="32"/>
        </w:rPr>
        <w:t xml:space="preserve">Part II: The SOVEREIGN/NULL Test Applied to Data</w:t>
      </w:r>
    </w:p>
    <w:p>
      <w:pPr>
        <w:spacing w:after="160" w:line="300"/>
        <w:jc w:val="both"/>
      </w:pPr>
      <w:r>
        <w:rPr>
          <w:rFonts w:ascii="Arial" w:cs="Arial" w:eastAsia="Arial" w:hAnsi="Arial"/>
          <w:sz w:val="22"/>
          <w:szCs w:val="22"/>
        </w:rPr>
        <w:t xml:space="preserve">The Burgess Principle, as established in Papers I through III, provides a binary test for the validity of state action: was the instrument individually scrutinised by a human mind with proper authority (SOVEREIGN), or was it bulk-processed without individual review (NULL)? If NULL, the instrument is void ab initio, and every action taken in reliance upon it inherits that nullity.</w:t>
      </w:r>
    </w:p>
    <w:p>
      <w:pPr>
        <w:spacing w:after="160" w:line="300"/>
        <w:jc w:val="both"/>
      </w:pPr>
      <w:r>
        <w:rPr>
          <w:rFonts w:ascii="Arial" w:cs="Arial" w:eastAsia="Arial" w:hAnsi="Arial"/>
          <w:sz w:val="22"/>
          <w:szCs w:val="22"/>
        </w:rPr>
        <w:t xml:space="preserve">This test applies with equal force to personal data processing. The question is structurally identical:</w:t>
      </w:r>
    </w:p>
    <w:p>
      <w:pPr>
        <w:pBdr>
          <w:left w:val="single" w:color="2E75B6" w:sz="6" w:space="8"/>
        </w:pBdr>
        <w:spacing w:after="200" w:line="300"/>
        <w:ind w:left="720" w:right="720"/>
      </w:pPr>
      <w:r>
        <w:rPr>
          <w:rFonts w:ascii="Arial" w:cs="Arial" w:eastAsia="Arial" w:hAnsi="Arial"/>
          <w:i/>
          <w:iCs/>
          <w:color w:val="16213E"/>
          <w:sz w:val="22"/>
          <w:szCs w:val="22"/>
        </w:rPr>
        <w:t xml:space="preserve">Was there a lawful basis, individually and specifically applied to the processing of this person’s data, authorised by a human mind with proper authority? Or was the data bulk-processed under blanket terms that no individual ever meaningfully reviewed or consented to?</w:t>
      </w:r>
    </w:p>
    <w:p>
      <w:pPr>
        <w:spacing w:after="160" w:line="300"/>
        <w:jc w:val="both"/>
      </w:pPr>
      <w:r>
        <w:rPr>
          <w:rFonts w:ascii="Arial" w:cs="Arial" w:eastAsia="Arial" w:hAnsi="Arial"/>
          <w:sz w:val="22"/>
          <w:szCs w:val="22"/>
        </w:rPr>
        <w:t xml:space="preserve">If the former: SOVEREIGN. The processing stands.</w:t>
      </w:r>
    </w:p>
    <w:p>
      <w:pPr>
        <w:spacing w:after="160" w:line="300"/>
        <w:jc w:val="both"/>
      </w:pPr>
      <w:r>
        <w:rPr>
          <w:rFonts w:ascii="Arial" w:cs="Arial" w:eastAsia="Arial" w:hAnsi="Arial"/>
          <w:sz w:val="22"/>
          <w:szCs w:val="22"/>
        </w:rPr>
        <w:t xml:space="preserve">If the latter: NULL. The processing is unlawful, and every downstream action built upon it — every disclosure to a third party, every credit reference agency entry, every automated decision, every enforcement action — inherits the nullity of the root.</w:t>
      </w:r>
    </w:p>
    <w:p>
      <w:pPr>
        <w:pStyle w:val="Heading2"/>
        <w:spacing w:before="300" w:after="150"/>
      </w:pPr>
      <w:r>
        <w:rPr>
          <w:rFonts w:ascii="Arial" w:cs="Arial" w:eastAsia="Arial" w:hAnsi="Arial"/>
          <w:b/>
          <w:bCs/>
          <w:color w:val="16213E"/>
          <w:sz w:val="26"/>
          <w:szCs w:val="26"/>
        </w:rPr>
        <w:t xml:space="preserve">The NULL Inheritance Chain in Data</w:t>
      </w:r>
    </w:p>
    <w:p>
      <w:pPr>
        <w:spacing w:after="160" w:line="300"/>
        <w:jc w:val="both"/>
      </w:pPr>
      <w:r>
        <w:rPr>
          <w:rFonts w:ascii="Arial" w:cs="Arial" w:eastAsia="Arial" w:hAnsi="Arial"/>
          <w:sz w:val="22"/>
          <w:szCs w:val="22"/>
        </w:rPr>
        <w:t xml:space="preserve">The principle of NULL inheritance is critical. Consider the following chain, drawn from my own live enforcement case:</w:t>
      </w:r>
    </w:p>
    <w:p>
      <w:pPr>
        <w:spacing w:after="160" w:line="300"/>
        <w:jc w:val="both"/>
      </w:pPr>
      <w:r>
        <w:rPr>
          <w:rFonts w:ascii="Arial" w:cs="Arial" w:eastAsia="Arial" w:hAnsi="Arial"/>
          <w:b/>
          <w:bCs/>
          <w:sz w:val="22"/>
          <w:szCs w:val="22"/>
        </w:rPr>
        <w:t xml:space="preserve">1. A council tax liability order </w:t>
      </w:r>
      <w:r>
        <w:rPr>
          <w:rFonts w:ascii="Arial" w:cs="Arial" w:eastAsia="Arial" w:hAnsi="Arial"/>
          <w:sz w:val="22"/>
          <w:szCs w:val="22"/>
        </w:rPr>
        <w:t xml:space="preserve">is obtained through a batch hearing at a magistrates’ court. Hundreds of names are read in minutes. No individual judicial consideration is applied. The order is NULL.</w:t>
      </w:r>
    </w:p>
    <w:p>
      <w:pPr>
        <w:spacing w:after="160" w:line="300"/>
        <w:jc w:val="both"/>
      </w:pPr>
      <w:r>
        <w:rPr>
          <w:rFonts w:ascii="Arial" w:cs="Arial" w:eastAsia="Arial" w:hAnsi="Arial"/>
          <w:b/>
          <w:bCs/>
          <w:sz w:val="22"/>
          <w:szCs w:val="22"/>
        </w:rPr>
        <w:t xml:space="preserve">2. The council instructs enforcement agents </w:t>
      </w:r>
      <w:r>
        <w:rPr>
          <w:rFonts w:ascii="Arial" w:cs="Arial" w:eastAsia="Arial" w:hAnsi="Arial"/>
          <w:sz w:val="22"/>
          <w:szCs w:val="22"/>
        </w:rPr>
        <w:t xml:space="preserve">on the basis of that order. The enforcement agents’ authority derives entirely from the void order. Their authority is NULL.</w:t>
      </w:r>
    </w:p>
    <w:p>
      <w:pPr>
        <w:spacing w:after="160" w:line="300"/>
        <w:jc w:val="both"/>
      </w:pPr>
      <w:r>
        <w:rPr>
          <w:rFonts w:ascii="Arial" w:cs="Arial" w:eastAsia="Arial" w:hAnsi="Arial"/>
          <w:b/>
          <w:bCs/>
          <w:sz w:val="22"/>
          <w:szCs w:val="22"/>
        </w:rPr>
        <w:t xml:space="preserve">3. The enforcement agents report the debt </w:t>
      </w:r>
      <w:r>
        <w:rPr>
          <w:rFonts w:ascii="Arial" w:cs="Arial" w:eastAsia="Arial" w:hAnsi="Arial"/>
          <w:sz w:val="22"/>
          <w:szCs w:val="22"/>
        </w:rPr>
        <w:t xml:space="preserve">to credit reference agencies. The data reported is predicated on an enforcement action derived from a void order. The credit data is NULL.</w:t>
      </w:r>
    </w:p>
    <w:p>
      <w:pPr>
        <w:spacing w:after="160" w:line="300"/>
        <w:jc w:val="both"/>
      </w:pPr>
      <w:r>
        <w:rPr>
          <w:rFonts w:ascii="Arial" w:cs="Arial" w:eastAsia="Arial" w:hAnsi="Arial"/>
          <w:b/>
          <w:bCs/>
          <w:sz w:val="22"/>
          <w:szCs w:val="22"/>
        </w:rPr>
        <w:t xml:space="preserve">4. The credit reference agency publishes the data </w:t>
      </w:r>
      <w:r>
        <w:rPr>
          <w:rFonts w:ascii="Arial" w:cs="Arial" w:eastAsia="Arial" w:hAnsi="Arial"/>
          <w:sz w:val="22"/>
          <w:szCs w:val="22"/>
        </w:rPr>
        <w:t xml:space="preserve">on my credit file. Lenders, landlords, and financial institutions rely on that data to make decisions about me. Every decision made on the basis of NULL data inherits the nullity.</w:t>
      </w:r>
    </w:p>
    <w:p>
      <w:pPr>
        <w:spacing w:after="160" w:line="300"/>
        <w:jc w:val="both"/>
      </w:pPr>
      <w:r>
        <w:rPr>
          <w:rFonts w:ascii="Arial" w:cs="Arial" w:eastAsia="Arial" w:hAnsi="Arial"/>
          <w:sz w:val="22"/>
          <w:szCs w:val="22"/>
        </w:rPr>
        <w:t xml:space="preserve">At no point in this chain did a human mind with proper authority individually review the specific case. The entire chain — from liability order to credit file entry — was automated, bulk-processed, and unscrutinised. Under the Burgess Principle, it is void from root to branch.</w:t>
      </w:r>
    </w:p>
    <w:p>
      <w:pPr>
        <w:spacing w:after="100"/>
      </w:pPr>
    </w:p>
    <w:p>
      <w:pPr>
        <w:pStyle w:val="Heading1"/>
        <w:pBdr>
          <w:bottom w:val="single" w:color="2E75B6" w:sz="2" w:space="4"/>
        </w:pBdr>
        <w:spacing w:before="400" w:after="200"/>
      </w:pPr>
      <w:r>
        <w:rPr>
          <w:rFonts w:ascii="Arial" w:cs="Arial" w:eastAsia="Arial" w:hAnsi="Arial"/>
          <w:b/>
          <w:bCs/>
          <w:color w:val="1A1A2E"/>
          <w:sz w:val="32"/>
          <w:szCs w:val="32"/>
        </w:rPr>
        <w:t xml:space="preserve">Part III: The Forensic DSAR as Sovereignty Instrument</w:t>
      </w:r>
    </w:p>
    <w:p>
      <w:pPr>
        <w:spacing w:after="160" w:line="300"/>
        <w:jc w:val="both"/>
      </w:pPr>
      <w:r>
        <w:rPr>
          <w:rFonts w:ascii="Arial" w:cs="Arial" w:eastAsia="Arial" w:hAnsi="Arial"/>
          <w:sz w:val="22"/>
          <w:szCs w:val="22"/>
        </w:rPr>
        <w:t xml:space="preserve">The standard Subject Access Request asks: “What data do you hold about me?” This is the passive use of Article 15. It treats the DSAR as a window through which the individual peers at their own data, held in someone else’s hands.</w:t>
      </w:r>
    </w:p>
    <w:p>
      <w:pPr>
        <w:spacing w:after="160" w:line="300"/>
        <w:jc w:val="both"/>
      </w:pPr>
      <w:r>
        <w:rPr>
          <w:rFonts w:ascii="Arial" w:cs="Arial" w:eastAsia="Arial" w:hAnsi="Arial"/>
          <w:sz w:val="22"/>
          <w:szCs w:val="22"/>
        </w:rPr>
        <w:t xml:space="preserve">This paper proposes a fundamentally different use of the same statutory instrument. The forensic DSAR does not ask “what data do you hold?” It asks:</w:t>
      </w:r>
    </w:p>
    <w:p>
      <w:pPr>
        <w:pBdr>
          <w:left w:val="single" w:color="2E75B6" w:sz="6" w:space="8"/>
        </w:pBdr>
        <w:spacing w:after="200" w:line="300"/>
        <w:ind w:left="720" w:right="720"/>
      </w:pPr>
      <w:r>
        <w:rPr>
          <w:rFonts w:ascii="Arial" w:cs="Arial" w:eastAsia="Arial" w:hAnsi="Arial"/>
          <w:i/>
          <w:iCs/>
          <w:color w:val="16213E"/>
          <w:sz w:val="22"/>
          <w:szCs w:val="22"/>
        </w:rPr>
        <w:t xml:space="preserve">Who profited from my data? Under what authority was it processed? Can you prove that authority was lawfully obtained? Who was on the other side of the transaction? Was a human being with proper authority involved at any decision point, or was the entire chain automated?</w:t>
      </w:r>
    </w:p>
    <w:p>
      <w:pPr>
        <w:spacing w:after="160" w:line="300"/>
        <w:jc w:val="both"/>
      </w:pPr>
      <w:r>
        <w:rPr>
          <w:rFonts w:ascii="Arial" w:cs="Arial" w:eastAsia="Arial" w:hAnsi="Arial"/>
          <w:sz w:val="22"/>
          <w:szCs w:val="22"/>
        </w:rPr>
        <w:t xml:space="preserve">The forensic DSAR transforms Article 15 from a transparency tool into a sovereignty instrument. It does not merely request access to data. It compels disclosure of the entire processing pipeline — and then attaches liability to every link in the chain where authority is absent.</w:t>
      </w:r>
    </w:p>
    <w:p>
      <w:pPr>
        <w:pStyle w:val="Heading2"/>
        <w:spacing w:before="300" w:after="150"/>
      </w:pPr>
      <w:r>
        <w:rPr>
          <w:rFonts w:ascii="Arial" w:cs="Arial" w:eastAsia="Arial" w:hAnsi="Arial"/>
          <w:b/>
          <w:bCs/>
          <w:color w:val="16213E"/>
          <w:sz w:val="26"/>
          <w:szCs w:val="26"/>
        </w:rPr>
        <w:t xml:space="preserve">Coordinated Deployment Across Multiple Institutions</w:t>
      </w:r>
    </w:p>
    <w:p>
      <w:pPr>
        <w:spacing w:after="160" w:line="300"/>
        <w:jc w:val="both"/>
      </w:pPr>
      <w:r>
        <w:rPr>
          <w:rFonts w:ascii="Arial" w:cs="Arial" w:eastAsia="Arial" w:hAnsi="Arial"/>
          <w:sz w:val="22"/>
          <w:szCs w:val="22"/>
        </w:rPr>
        <w:t xml:space="preserve">Between December 2025 and March 2026, I deployed forensic DSARs and related statutory instruments across the following institutions simultaneously:</w:t>
      </w:r>
    </w:p>
    <w:p>
      <w:pPr>
        <w:pStyle w:val="ListParagraph"/>
        <w:numPr>
          <w:ilvl w:val="0"/>
          <w:numId w:val="2"/>
        </w:numPr>
        <w:spacing w:after="80" w:line="300"/>
      </w:pPr>
      <w:r>
        <w:rPr>
          <w:rFonts w:ascii="Arial" w:cs="Arial" w:eastAsia="Arial" w:hAnsi="Arial"/>
          <w:sz w:val="22"/>
          <w:szCs w:val="22"/>
        </w:rPr>
        <w:t xml:space="preserve">E.ON Next — challenging a void warrant and forced entry, with DSAR targeting the lawful basis for data processing in connection with enforcement.</w:t>
      </w:r>
    </w:p>
    <w:p>
      <w:pPr>
        <w:pStyle w:val="ListParagraph"/>
        <w:numPr>
          <w:ilvl w:val="0"/>
          <w:numId w:val="2"/>
        </w:numPr>
        <w:spacing w:after="80" w:line="300"/>
      </w:pPr>
      <w:r>
        <w:rPr>
          <w:rFonts w:ascii="Arial" w:cs="Arial" w:eastAsia="Arial" w:hAnsi="Arial"/>
          <w:sz w:val="22"/>
          <w:szCs w:val="22"/>
        </w:rPr>
        <w:t xml:space="preserve">Darlington Borough Council — SAR across 14 departments, specifically targeting data shared in connection with Penalty Charge Notices, enforcement agents, county courts, and credit reference agencies, including batch submissions to the Traffic Enforcement Centre.</w:t>
      </w:r>
    </w:p>
    <w:p>
      <w:pPr>
        <w:pStyle w:val="ListParagraph"/>
        <w:numPr>
          <w:ilvl w:val="0"/>
          <w:numId w:val="2"/>
        </w:numPr>
        <w:spacing w:after="80" w:line="300"/>
      </w:pPr>
      <w:r>
        <w:rPr>
          <w:rFonts w:ascii="Arial" w:cs="Arial" w:eastAsia="Arial" w:hAnsi="Arial"/>
          <w:sz w:val="22"/>
          <w:szCs w:val="22"/>
        </w:rPr>
        <w:t xml:space="preserve">Equita (enforcement agents) — formal dispute demanding the full enforcement chain from liability order to instruction, with DSAR targeting all data held, shared, and received.</w:t>
      </w:r>
    </w:p>
    <w:p>
      <w:pPr>
        <w:pStyle w:val="ListParagraph"/>
        <w:numPr>
          <w:ilvl w:val="0"/>
          <w:numId w:val="2"/>
        </w:numPr>
        <w:spacing w:after="80" w:line="300"/>
      </w:pPr>
      <w:r>
        <w:rPr>
          <w:rFonts w:ascii="Arial" w:cs="Arial" w:eastAsia="Arial" w:hAnsi="Arial"/>
          <w:sz w:val="22"/>
          <w:szCs w:val="22"/>
        </w:rPr>
        <w:t xml:space="preserve">Revolut — complaint challenging account restrictions, followed by standalone DSAR targeting third-party disclosures and lawful basis for each.</w:t>
      </w:r>
    </w:p>
    <w:p>
      <w:pPr>
        <w:pStyle w:val="ListParagraph"/>
        <w:numPr>
          <w:ilvl w:val="0"/>
          <w:numId w:val="2"/>
        </w:numPr>
        <w:spacing w:after="80" w:line="300"/>
      </w:pPr>
      <w:r>
        <w:rPr>
          <w:rFonts w:ascii="Arial" w:cs="Arial" w:eastAsia="Arial" w:hAnsi="Arial"/>
          <w:sz w:val="22"/>
          <w:szCs w:val="22"/>
        </w:rPr>
        <w:t xml:space="preserve">Trading 212 — forensic DSAR targeting share lending, order routing, payment for order flow, CFD counterparty positioning, algorithmic profiling, and internal risk scoring.</w:t>
      </w:r>
    </w:p>
    <w:p>
      <w:pPr>
        <w:pStyle w:val="ListParagraph"/>
        <w:numPr>
          <w:ilvl w:val="0"/>
          <w:numId w:val="2"/>
        </w:numPr>
        <w:spacing w:after="80" w:line="300"/>
      </w:pPr>
      <w:r>
        <w:rPr>
          <w:rFonts w:ascii="Arial" w:cs="Arial" w:eastAsia="Arial" w:hAnsi="Arial"/>
          <w:sz w:val="22"/>
          <w:szCs w:val="22"/>
        </w:rPr>
        <w:t xml:space="preserve">Lowell (debt purchaser) — dispute of a statute-barred debt with DSAR targeting the full data chain from original creditor to current holder.</w:t>
      </w:r>
    </w:p>
    <w:p>
      <w:pPr>
        <w:pStyle w:val="ListParagraph"/>
        <w:numPr>
          <w:ilvl w:val="0"/>
          <w:numId w:val="2"/>
        </w:numPr>
        <w:spacing w:after="80" w:line="300"/>
      </w:pPr>
      <w:r>
        <w:rPr>
          <w:rFonts w:ascii="Arial" w:cs="Arial" w:eastAsia="Arial" w:hAnsi="Arial"/>
          <w:sz w:val="22"/>
          <w:szCs w:val="22"/>
        </w:rPr>
        <w:t xml:space="preserve">British Gas — DSAR targeting all personal data, with challenge to scope-narrowing and insistence on full Article 15 supplementary information.</w:t>
      </w:r>
    </w:p>
    <w:p>
      <w:pPr>
        <w:pStyle w:val="ListParagraph"/>
        <w:numPr>
          <w:ilvl w:val="0"/>
          <w:numId w:val="2"/>
        </w:numPr>
        <w:spacing w:after="80" w:line="300"/>
      </w:pPr>
      <w:r>
        <w:rPr>
          <w:rFonts w:ascii="Arial" w:cs="Arial" w:eastAsia="Arial" w:hAnsi="Arial"/>
          <w:sz w:val="22"/>
          <w:szCs w:val="22"/>
        </w:rPr>
        <w:t xml:space="preserve">Equifax — GDPR accuracy challenge on inaccurate CCJ entries.</w:t>
      </w:r>
    </w:p>
    <w:p>
      <w:pPr>
        <w:pStyle w:val="ListParagraph"/>
        <w:numPr>
          <w:ilvl w:val="0"/>
          <w:numId w:val="2"/>
        </w:numPr>
        <w:spacing w:after="80" w:line="300"/>
      </w:pPr>
      <w:r>
        <w:rPr>
          <w:rFonts w:ascii="Arial" w:cs="Arial" w:eastAsia="Arial" w:hAnsi="Arial"/>
          <w:sz w:val="22"/>
          <w:szCs w:val="22"/>
        </w:rPr>
        <w:t xml:space="preserve">HMCTS — complaint and FOI request targeting warrant processing procedures.</w:t>
      </w:r>
    </w:p>
    <w:p>
      <w:pPr>
        <w:pStyle w:val="ListParagraph"/>
        <w:numPr>
          <w:ilvl w:val="0"/>
          <w:numId w:val="2"/>
        </w:numPr>
        <w:spacing w:after="160" w:line="300"/>
      </w:pPr>
      <w:r>
        <w:rPr>
          <w:rFonts w:ascii="Arial" w:cs="Arial" w:eastAsia="Arial" w:hAnsi="Arial"/>
          <w:sz w:val="22"/>
          <w:szCs w:val="22"/>
        </w:rPr>
        <w:t xml:space="preserve">TM Legal / Perch Capital — challenge to statute-barred EDF debt.</w:t>
      </w:r>
    </w:p>
    <w:p>
      <w:pPr>
        <w:pStyle w:val="ListParagraph"/>
        <w:numPr>
          <w:ilvl w:val="0"/>
          <w:numId w:val="2"/>
        </w:numPr>
        <w:spacing w:after="160" w:line="300"/>
      </w:pPr>
      <w:r>
        <w:rPr>
          <w:rFonts w:ascii="Arial" w:cs="Arial" w:eastAsia="Arial" w:hAnsi="Arial"/>
          <w:sz w:val="22"/>
          <w:szCs w:val="22"/>
        </w:rPr>
        <w:t xml:space="preserve">Sonova AG / Phonak — formal inquiry to CEO Eric Bernard on algorithmic authority in hearing aid fitting architecture, challenging proprietary first-fit algorithms (Adaptive Phonak Digital), the AutoSense OS automated operating system (700 real-time decisions per second over sensory experience), the default use of proprietary over evidence-based fitting formulas, the invisible firmware data layer, and the systematic omission of Real Ear Measurement verification. Acknowledged 6 March 2026.</w:t>
      </w:r>
    </w:p>
    <w:p>
      <w:pPr>
        <w:pStyle w:val="ListParagraph"/>
        <w:numPr>
          <w:ilvl w:val="0"/>
          <w:numId w:val="2"/>
        </w:numPr>
        <w:spacing w:after="160" w:line="300"/>
      </w:pPr>
      <w:r>
        <w:rPr>
          <w:rFonts w:ascii="Arial" w:cs="Arial" w:eastAsia="Arial" w:hAnsi="Arial"/>
          <w:sz w:val="22"/>
          <w:szCs w:val="22"/>
        </w:rPr>
        <w:t xml:space="preserve">Apple Inc / Apple Distribution International — data sovereignty engagement and certification mark licensing submission for integration of the SOVEREIGN/NULL verification standard into consumer technology platforms governing algorithmic authority over users.</w:t>
      </w:r>
    </w:p>
    <w:p>
      <w:pPr>
        <w:spacing w:after="160" w:line="300"/>
        <w:jc w:val="both"/>
      </w:pPr>
      <w:r>
        <w:rPr>
          <w:rFonts w:ascii="Arial" w:cs="Arial" w:eastAsia="Arial" w:hAnsi="Arial"/>
          <w:sz w:val="22"/>
          <w:szCs w:val="22"/>
        </w:rPr>
        <w:t xml:space="preserve">Each DSAR was designed not as an isolated request but as a probe into a different node of the same system. The council’s SAR disclosure feeds into the Equita challenge. Equita’s disclosure feeds into the Equifax accuracy challenge. The Trading 212 DSAR maps the pipeline through which retail order flow data enters institutional systems. The Revolut DSAR tests whether financial data was shared without lawful basis. The Sonova/Phonak inquiry extends the doctrine from data processing into algorithmic governance of sensory experience — testing whether proprietary algorithms exercising real-time authority over a citizen’s hearing were individually authorised by a clinical mind. The Apple engagement converts the Principle from a challenge into a standard, offering the SOVEREIGN/NULL test as a licensable certification mark for integration into consumer technology.</w:t>
      </w:r>
    </w:p>
    <w:p>
      <w:pPr>
        <w:spacing w:after="160" w:line="300"/>
        <w:jc w:val="both"/>
      </w:pPr>
      <w:r>
        <w:rPr>
          <w:rFonts w:ascii="Arial" w:cs="Arial" w:eastAsia="Arial" w:hAnsi="Arial"/>
          <w:sz w:val="22"/>
          <w:szCs w:val="22"/>
        </w:rPr>
        <w:t xml:space="preserve">No institution sees the full picture. Each sees only its own DSAR. But I hold the complete map.</w:t>
      </w:r>
    </w:p>
    <w:p>
      <w:pPr>
        <w:spacing w:after="100"/>
      </w:pPr>
    </w:p>
    <w:p>
      <w:pPr>
        <w:pStyle w:val="Heading1"/>
        <w:pBdr>
          <w:bottom w:val="single" w:color="2E75B6" w:sz="2" w:space="4"/>
        </w:pBdr>
        <w:spacing w:before="400" w:after="200"/>
      </w:pPr>
      <w:r>
        <w:rPr>
          <w:rFonts w:ascii="Arial" w:cs="Arial" w:eastAsia="Arial" w:hAnsi="Arial"/>
          <w:b/>
          <w:bCs/>
          <w:color w:val="1A1A2E"/>
          <w:sz w:val="32"/>
          <w:szCs w:val="32"/>
        </w:rPr>
        <w:t xml:space="preserve">Part IV: The Compliance Feedback Loop</w:t>
      </w:r>
    </w:p>
    <w:p>
      <w:pPr>
        <w:spacing w:after="160" w:line="300"/>
        <w:jc w:val="both"/>
      </w:pPr>
      <w:r>
        <w:rPr>
          <w:rFonts w:ascii="Arial" w:cs="Arial" w:eastAsia="Arial" w:hAnsi="Arial"/>
          <w:sz w:val="22"/>
          <w:szCs w:val="22"/>
        </w:rPr>
        <w:t xml:space="preserve">The central insight of this paper is that the regulatory compliance framework, when used forensically and at scale by an individual, creates a feedback loop that reverses the flow of value.</w:t>
      </w:r>
    </w:p>
    <w:p>
      <w:pPr>
        <w:pStyle w:val="Heading2"/>
        <w:spacing w:before="300" w:after="150"/>
      </w:pPr>
      <w:r>
        <w:rPr>
          <w:rFonts w:ascii="Arial" w:cs="Arial" w:eastAsia="Arial" w:hAnsi="Arial"/>
          <w:b/>
          <w:bCs/>
          <w:color w:val="16213E"/>
          <w:sz w:val="26"/>
          <w:szCs w:val="26"/>
        </w:rPr>
        <w:t xml:space="preserve">The Traditional Flow</w:t>
      </w:r>
    </w:p>
    <w:p>
      <w:pPr>
        <w:spacing w:after="160" w:line="300"/>
        <w:jc w:val="both"/>
      </w:pPr>
      <w:r>
        <w:rPr>
          <w:rFonts w:ascii="Arial" w:cs="Arial" w:eastAsia="Arial" w:hAnsi="Arial"/>
          <w:sz w:val="22"/>
          <w:szCs w:val="22"/>
        </w:rPr>
        <w:t xml:space="preserve">In the traditional model, data flows upward: individual generates data → institution captures data → institution processes and monetises data → individual receives nothing. The compliance framework exists as a theoretical constraint on this flow, but in practice it operates as a cost of doing business — a small administrative overhead absorbed into the revenue generated by the processing.</w:t>
      </w:r>
    </w:p>
    <w:p>
      <w:pPr>
        <w:pStyle w:val="Heading2"/>
        <w:spacing w:before="300" w:after="150"/>
      </w:pPr>
      <w:r>
        <w:rPr>
          <w:rFonts w:ascii="Arial" w:cs="Arial" w:eastAsia="Arial" w:hAnsi="Arial"/>
          <w:b/>
          <w:bCs/>
          <w:color w:val="16213E"/>
          <w:sz w:val="26"/>
          <w:szCs w:val="26"/>
        </w:rPr>
        <w:t xml:space="preserve">The Reversed Flow</w:t>
      </w:r>
    </w:p>
    <w:p>
      <w:pPr>
        <w:spacing w:after="160" w:line="300"/>
        <w:jc w:val="both"/>
      </w:pPr>
      <w:r>
        <w:rPr>
          <w:rFonts w:ascii="Arial" w:cs="Arial" w:eastAsia="Arial" w:hAnsi="Arial"/>
          <w:sz w:val="22"/>
          <w:szCs w:val="22"/>
        </w:rPr>
        <w:t xml:space="preserve">When the compliance framework is used forensically, the flow reverses: individual deploys DSAR → institution must allocate resources to respond → every failure to respond correctly generates a compensable breach → every inaccurate entry generates an Article 82 claim → every failure to accommodate disability generates a Vento band award → the cost of non-compliance exceeds the revenue generated by processing.</w:t>
      </w:r>
    </w:p>
    <w:p>
      <w:pPr>
        <w:spacing w:after="160" w:line="300"/>
        <w:jc w:val="both"/>
      </w:pPr>
      <w:r>
        <w:rPr>
          <w:rFonts w:ascii="Arial" w:cs="Arial" w:eastAsia="Arial" w:hAnsi="Arial"/>
          <w:sz w:val="22"/>
          <w:szCs w:val="22"/>
        </w:rPr>
        <w:t xml:space="preserve">This is the feedback loop. The system was designed on the assumption that compliance costs are lower than processing revenue. That assumption holds only when nobody challenges the processing. The moment an individual challenges it — forensically, simultaneously, across multiple institutions — the economics invert. It becomes cheaper for the institution to settle, correct, delete, and compensate than to defend.</w:t>
      </w:r>
    </w:p>
    <w:p>
      <w:pPr>
        <w:pStyle w:val="Heading2"/>
        <w:spacing w:before="300" w:after="150"/>
      </w:pPr>
      <w:r>
        <w:rPr>
          <w:rFonts w:ascii="Arial" w:cs="Arial" w:eastAsia="Arial" w:hAnsi="Arial"/>
          <w:b/>
          <w:bCs/>
          <w:color w:val="16213E"/>
          <w:sz w:val="26"/>
          <w:szCs w:val="26"/>
        </w:rPr>
        <w:t xml:space="preserve">The Multiplier Effect</w:t>
      </w:r>
    </w:p>
    <w:p>
      <w:pPr>
        <w:spacing w:after="160" w:line="300"/>
        <w:jc w:val="both"/>
      </w:pPr>
      <w:r>
        <w:rPr>
          <w:rFonts w:ascii="Arial" w:cs="Arial" w:eastAsia="Arial" w:hAnsi="Arial"/>
          <w:sz w:val="22"/>
          <w:szCs w:val="22"/>
        </w:rPr>
        <w:t xml:space="preserve">The feedback loop is amplified by three factors:</w:t>
      </w:r>
    </w:p>
    <w:p>
      <w:pPr>
        <w:spacing w:after="160" w:line="300"/>
        <w:jc w:val="both"/>
      </w:pPr>
      <w:r>
        <w:rPr>
          <w:rFonts w:ascii="Arial" w:cs="Arial" w:eastAsia="Arial" w:hAnsi="Arial"/>
          <w:b/>
          <w:bCs/>
          <w:sz w:val="22"/>
          <w:szCs w:val="22"/>
        </w:rPr>
        <w:t xml:space="preserve">Cross-institutional evidence accumulation. </w:t>
      </w:r>
      <w:r>
        <w:rPr>
          <w:rFonts w:ascii="Arial" w:cs="Arial" w:eastAsia="Arial" w:hAnsi="Arial"/>
          <w:sz w:val="22"/>
          <w:szCs w:val="22"/>
        </w:rPr>
        <w:t xml:space="preserve">Each DSAR disclosure generates evidence that can be used against other institutions in the chain. The council’s disclosure of batch TEC submissions proves the liability order was not individually scrutinised. This undermines the enforcement agent’s authority. This undermines the credit reference agency’s data accuracy. One disclosure cascades across every front.</w:t>
      </w:r>
    </w:p>
    <w:p>
      <w:pPr>
        <w:spacing w:after="160" w:line="300"/>
        <w:jc w:val="both"/>
      </w:pPr>
      <w:r>
        <w:rPr>
          <w:rFonts w:ascii="Arial" w:cs="Arial" w:eastAsia="Arial" w:hAnsi="Arial"/>
          <w:b/>
          <w:bCs/>
          <w:sz w:val="22"/>
          <w:szCs w:val="22"/>
        </w:rPr>
        <w:t xml:space="preserve">The Equality Act as force multiplier. </w:t>
      </w:r>
      <w:r>
        <w:rPr>
          <w:rFonts w:ascii="Arial" w:cs="Arial" w:eastAsia="Arial" w:hAnsi="Arial"/>
          <w:sz w:val="22"/>
          <w:szCs w:val="22"/>
        </w:rPr>
        <w:t xml:space="preserve">Where the data subject is disabled, every institution that fails to make reasonable adjustments in its communications generates an independent Equality Act claim. This is not contingent on the underlying data dispute. It is a separate, standalone liability that compounds across every institution that makes the same failure. I have sensorineural hearing loss. Every telephone call, every SMS, every voicemail, and every request to call a helpline constitutes a failure to make reasonable adjustments — each one independently compensable under the Vento bands.</w:t>
      </w:r>
    </w:p>
    <w:p>
      <w:pPr>
        <w:spacing w:after="160" w:line="300"/>
        <w:jc w:val="both"/>
      </w:pPr>
      <w:r>
        <w:rPr>
          <w:rFonts w:ascii="Arial" w:cs="Arial" w:eastAsia="Arial" w:hAnsi="Arial"/>
          <w:b/>
          <w:bCs/>
          <w:sz w:val="22"/>
          <w:szCs w:val="22"/>
        </w:rPr>
        <w:t xml:space="preserve">Statutory clock pressure. </w:t>
      </w:r>
      <w:r>
        <w:rPr>
          <w:rFonts w:ascii="Arial" w:cs="Arial" w:eastAsia="Arial" w:hAnsi="Arial"/>
          <w:sz w:val="22"/>
          <w:szCs w:val="22"/>
        </w:rPr>
        <w:t xml:space="preserve">Each DSAR carries a 30-day statutory deadline. Each complaint carries its own response window. When an individual deploys multiple instruments simultaneously, the institution faces a cluster of overlapping deadlines. Missing any one of them is itself a breach. The administrative pressure alone can exceed the institution’s capacity to respond, generating further breaches by default.</w:t>
      </w:r>
    </w:p>
    <w:p>
      <w:pPr>
        <w:spacing w:after="100"/>
      </w:pPr>
    </w:p>
    <w:p>
      <w:pPr>
        <w:pStyle w:val="Heading1"/>
        <w:pBdr>
          <w:bottom w:val="single" w:color="2E75B6" w:sz="2" w:space="4"/>
        </w:pBdr>
        <w:spacing w:before="400" w:after="200"/>
      </w:pPr>
      <w:r>
        <w:rPr>
          <w:rFonts w:ascii="Arial" w:cs="Arial" w:eastAsia="Arial" w:hAnsi="Arial"/>
          <w:b/>
          <w:bCs/>
          <w:color w:val="1A1A2E"/>
          <w:sz w:val="32"/>
          <w:szCs w:val="32"/>
        </w:rPr>
        <w:t xml:space="preserve">Part V: How I Saw the Machine — A Personal Account</w:t>
      </w:r>
    </w:p>
    <w:p>
      <w:pPr>
        <w:spacing w:after="160" w:line="300"/>
        <w:jc w:val="both"/>
      </w:pPr>
      <w:r>
        <w:rPr>
          <w:rFonts w:ascii="Arial" w:cs="Arial" w:eastAsia="Arial" w:hAnsi="Arial"/>
          <w:sz w:val="22"/>
          <w:szCs w:val="22"/>
        </w:rPr>
        <w:t xml:space="preserve">I want to explain how I arrived at this. Not because the personal story validates the legal argument — the law stands on its own — but because understanding how I came to see the system explains why the system was designed not to be seen.</w:t>
      </w:r>
    </w:p>
    <w:p>
      <w:pPr>
        <w:spacing w:after="160" w:line="300"/>
        <w:jc w:val="both"/>
      </w:pPr>
      <w:r>
        <w:rPr>
          <w:rFonts w:ascii="Arial" w:cs="Arial" w:eastAsia="Arial" w:hAnsi="Arial"/>
          <w:sz w:val="22"/>
          <w:szCs w:val="22"/>
        </w:rPr>
        <w:t xml:space="preserve">I am deaf. I have sensorineural hearing loss. For most of my life, institutions have communicated with me through channels I cannot fully access — telephone calls, automated voice systems, helplines that require you to listen and respond verbally. Every time I could not engage with one of those channels, the system recorded that as my failure. I did not respond. I did not call back. I did not engage. The system logged my silence as non-compliance, and non-compliance triggered escalation: enforcement letters, penalty notices, default entries, agents at the door.</w:t>
      </w:r>
    </w:p>
    <w:p>
      <w:pPr>
        <w:spacing w:after="160" w:line="300"/>
        <w:jc w:val="both"/>
      </w:pPr>
      <w:r>
        <w:rPr>
          <w:rFonts w:ascii="Arial" w:cs="Arial" w:eastAsia="Arial" w:hAnsi="Arial"/>
          <w:sz w:val="22"/>
          <w:szCs w:val="22"/>
        </w:rPr>
        <w:t xml:space="preserve">What I came to understand is that my deafness gave me something the system did not intend to give anyone: a vantage point outside the noise. When you cannot hear the phone ring, you stop reacting to it. When you stop reacting, you start observing. And when you observe the system from the outside rather than responding to it from within, you begin to see its actual structure.</w:t>
      </w:r>
    </w:p>
    <w:p>
      <w:pPr>
        <w:spacing w:after="160" w:line="300"/>
        <w:jc w:val="both"/>
      </w:pPr>
      <w:r>
        <w:rPr>
          <w:rFonts w:ascii="Arial" w:cs="Arial" w:eastAsia="Arial" w:hAnsi="Arial"/>
          <w:sz w:val="22"/>
          <w:szCs w:val="22"/>
        </w:rPr>
        <w:t xml:space="preserve">The structure is this: the system does not run on money. Money is the output, not the fuel. The system runs on data. Every interaction generates data. Every default generates data. Every enforcement action generates data. Every credit file entry generates data. And every piece of data flows in one direction — upward, from the individual to the institution — where it is processed, aggregated, scored, sold, and monetised. The individual sees none of this. The individual sees only the demands: pay this, call this number, respond by this date. The demands are the surface. The data extraction is the substance.</w:t>
      </w:r>
    </w:p>
    <w:p>
      <w:pPr>
        <w:spacing w:after="160" w:line="300"/>
        <w:jc w:val="both"/>
      </w:pPr>
      <w:r>
        <w:rPr>
          <w:rFonts w:ascii="Arial" w:cs="Arial" w:eastAsia="Arial" w:hAnsi="Arial"/>
          <w:sz w:val="22"/>
          <w:szCs w:val="22"/>
        </w:rPr>
        <w:t xml:space="preserve">Money is what they tell you the game is about. Data is what the game actually runs on. Once I saw that, everything changed.</w:t>
      </w:r>
    </w:p>
    <w:p>
      <w:pPr>
        <w:pStyle w:val="Heading2"/>
        <w:spacing w:before="300" w:after="150"/>
      </w:pPr>
      <w:r>
        <w:rPr>
          <w:rFonts w:ascii="Arial" w:cs="Arial" w:eastAsia="Arial" w:hAnsi="Arial"/>
          <w:b/>
          <w:bCs/>
          <w:color w:val="16213E"/>
          <w:sz w:val="26"/>
          <w:szCs w:val="26"/>
        </w:rPr>
        <w:t xml:space="preserve">The Barbershop and the Algorithm</w:t>
      </w:r>
    </w:p>
    <w:p>
      <w:pPr>
        <w:spacing w:after="160" w:line="300"/>
        <w:jc w:val="both"/>
      </w:pPr>
      <w:r>
        <w:rPr>
          <w:rFonts w:ascii="Arial" w:cs="Arial" w:eastAsia="Arial" w:hAnsi="Arial"/>
          <w:sz w:val="22"/>
          <w:szCs w:val="22"/>
        </w:rPr>
        <w:t xml:space="preserve">I operate a barbershop in Darlington. I am one of six self-employed barbers who work from the shop, which trades under my business name. I am not a lawyer, not an academic, not a policy researcher. I cut hair. But running a small business teaches you something that institutional life obscures: you see the whole chain. You see the customer, the service, the cash, the tax, the council, the utilities, the enforcement, the credit file. You see it end to end because you are every department.</w:t>
      </w:r>
    </w:p>
    <w:p>
      <w:pPr>
        <w:spacing w:after="160" w:line="300"/>
        <w:jc w:val="both"/>
      </w:pPr>
      <w:r>
        <w:rPr>
          <w:rFonts w:ascii="Arial" w:cs="Arial" w:eastAsia="Arial" w:hAnsi="Arial"/>
          <w:sz w:val="22"/>
          <w:szCs w:val="22"/>
        </w:rPr>
        <w:t xml:space="preserve">When E.ON Next forced open my door under a warrant that turned out to be unsigned, undated, and blank where the magistrate’s name should be — but with three magistrates’ names hidden in the PDF metadata — I did not see a utility dispute. I saw the system revealing its own architecture. A document that pretends to carry judicial authority on its face while hiding the names of the judges in its data layer is not a mistake. It is a design that separates what the citizen sees from what the machine processes. The face is for the citizen. The metadata is for the system. And nobody was supposed to look at both.</w:t>
      </w:r>
    </w:p>
    <w:p>
      <w:pPr>
        <w:spacing w:after="160" w:line="300"/>
        <w:jc w:val="both"/>
      </w:pPr>
      <w:r>
        <w:rPr>
          <w:rFonts w:ascii="Arial" w:cs="Arial" w:eastAsia="Arial" w:hAnsi="Arial"/>
          <w:sz w:val="22"/>
          <w:szCs w:val="22"/>
        </w:rPr>
        <w:t xml:space="preserve">I looked at both. And once you see that separation — once you understand that the visible document and the invisible data layer serve different masters — you cannot unsee it. Every institution operates the same way. The letter you receive is the surface. The data they process about you is the substance. The letter tells you what they want you to do. The data records what they have already done.</w:t>
      </w:r>
    </w:p>
    <w:p>
      <w:pPr>
        <w:pStyle w:val="Heading2"/>
        <w:spacing w:before="300" w:after="150"/>
      </w:pPr>
      <w:r>
        <w:rPr>
          <w:rFonts w:ascii="Arial" w:cs="Arial" w:eastAsia="Arial" w:hAnsi="Arial"/>
          <w:b/>
          <w:bCs/>
          <w:color w:val="16213E"/>
          <w:sz w:val="26"/>
          <w:szCs w:val="26"/>
        </w:rPr>
        <w:t xml:space="preserve">From Silence to Sovereignty</w:t>
      </w:r>
    </w:p>
    <w:p>
      <w:pPr>
        <w:spacing w:after="160" w:line="300"/>
        <w:jc w:val="both"/>
      </w:pPr>
      <w:r>
        <w:rPr>
          <w:rFonts w:ascii="Arial" w:cs="Arial" w:eastAsia="Arial" w:hAnsi="Arial"/>
          <w:sz w:val="22"/>
          <w:szCs w:val="22"/>
        </w:rPr>
        <w:t xml:space="preserve">My hearing loss meant that institutions had been processing my non-response as non-compliance for years. Debts escalated because I could not hear the phone call. Enforcement proceeded because I did not call the helpline. Credit file entries accumulated because the dispute process required a telephone conversation I could not have. Every stage of this process generated data. Every piece of data flowed upward. Every upward flow generated revenue for someone — the enforcement agent’s fee, the debt purchaser’s margin, the credit reference agency’s subscription income.</w:t>
      </w:r>
    </w:p>
    <w:p>
      <w:pPr>
        <w:spacing w:after="160" w:line="300"/>
        <w:jc w:val="both"/>
      </w:pPr>
      <w:r>
        <w:rPr>
          <w:rFonts w:ascii="Arial" w:cs="Arial" w:eastAsia="Arial" w:hAnsi="Arial"/>
          <w:sz w:val="22"/>
          <w:szCs w:val="22"/>
        </w:rPr>
        <w:t xml:space="preserve">The feedback loop I describe in Part IV is not an abstract model. I lived inside it for years without knowing what it was. My data was the fuel. My silence was the permission. My inability to access their communication channels was the mechanism that kept the loop turning.</w:t>
      </w:r>
    </w:p>
    <w:p>
      <w:pPr>
        <w:spacing w:after="160" w:line="300"/>
        <w:jc w:val="both"/>
      </w:pPr>
      <w:r>
        <w:rPr>
          <w:rFonts w:ascii="Arial" w:cs="Arial" w:eastAsia="Arial" w:hAnsi="Arial"/>
          <w:sz w:val="22"/>
          <w:szCs w:val="22"/>
        </w:rPr>
        <w:t xml:space="preserve">What changed was not my circumstances. What changed was my understanding. The moment I recognised that data — not money — was the true currency, every interaction with every institution became legible in a new way. The Revolut restriction was not a banking decision; it was a data event. The Trading 212 order flow was not a trade; it was a data transfer. The Instagram shadowban was not a content moderation decision; it was an algorithmic data output. The Equita text message was not a debt collection attempt; it was a data-generating interaction designed to produce either payment or further non-compliance data, both of which have value to someone in the chain.</w:t>
      </w:r>
    </w:p>
    <w:p>
      <w:pPr>
        <w:spacing w:after="160" w:line="300"/>
        <w:jc w:val="both"/>
      </w:pPr>
      <w:r>
        <w:rPr>
          <w:rFonts w:ascii="Arial" w:cs="Arial" w:eastAsia="Arial" w:hAnsi="Arial"/>
          <w:sz w:val="22"/>
          <w:szCs w:val="22"/>
        </w:rPr>
        <w:t xml:space="preserve">Once you see data as the currency, the compliance framework stops being a complaints process and becomes a financial instrument. Every DSAR is a demand for an accounting of where your currency went. Every failure to account for it is a debt owed back to you. The feedback loop reverses not because the law changed, but because the individual’s understanding changed.</w:t>
      </w:r>
    </w:p>
    <w:p>
      <w:pPr>
        <w:pStyle w:val="Heading2"/>
        <w:spacing w:before="300" w:after="150"/>
      </w:pPr>
      <w:r>
        <w:rPr>
          <w:rFonts w:ascii="Arial" w:cs="Arial" w:eastAsia="Arial" w:hAnsi="Arial"/>
          <w:b/>
          <w:bCs/>
          <w:color w:val="16213E"/>
          <w:sz w:val="26"/>
          <w:szCs w:val="26"/>
        </w:rPr>
        <w:t xml:space="preserve">Why This Was Hidden</w:t>
      </w:r>
    </w:p>
    <w:p>
      <w:pPr>
        <w:spacing w:after="160" w:line="300"/>
        <w:jc w:val="both"/>
      </w:pPr>
      <w:r>
        <w:rPr>
          <w:rFonts w:ascii="Arial" w:cs="Arial" w:eastAsia="Arial" w:hAnsi="Arial"/>
          <w:sz w:val="22"/>
          <w:szCs w:val="22"/>
        </w:rPr>
        <w:t xml:space="preserve">The system was not designed to be invisible. It was designed to be uninteresting. The genius of the architecture is not that it hides the data extraction — the privacy notices are published, the terms and conditions are available, the regulatory framework is public. The genius is that it makes the extraction so boring, so bureaucratic, so wrapped in jargon and legalese, that nobody looks. The warrant is boring. The liability order is boring. The credit file is boring. The privacy notice is boring. The DSAR response is boring. Every layer of the system is designed to be tedious enough that the individual stops reading before they reach the part that matters.</w:t>
      </w:r>
    </w:p>
    <w:p>
      <w:pPr>
        <w:spacing w:after="160" w:line="300"/>
        <w:jc w:val="both"/>
      </w:pPr>
      <w:r>
        <w:rPr>
          <w:rFonts w:ascii="Arial" w:cs="Arial" w:eastAsia="Arial" w:hAnsi="Arial"/>
          <w:sz w:val="22"/>
          <w:szCs w:val="22"/>
        </w:rPr>
        <w:t xml:space="preserve">I did not stop reading. Partly because I am stubborn. Partly because I had no choice — when you cannot hear the phone call, the written document is all you have, and you read every word of it. My deafness forced me into the written record, and the written record is where the system’s architecture lives. The metadata in the warrant. The batch hearing in the magistrates’ court. The blanket terms in the privacy notice. The algorithmic profiling buried in the DSAR response. It is all there, in writing, for anyone who reads to the end.</w:t>
      </w:r>
    </w:p>
    <w:p>
      <w:pPr>
        <w:spacing w:after="160" w:line="300"/>
        <w:jc w:val="both"/>
      </w:pPr>
      <w:r>
        <w:rPr>
          <w:rFonts w:ascii="Arial" w:cs="Arial" w:eastAsia="Arial" w:hAnsi="Arial"/>
          <w:sz w:val="22"/>
          <w:szCs w:val="22"/>
        </w:rPr>
        <w:t xml:space="preserve">The true currency of the modern economy is not hidden. It is in plain sight, buried under enough tedium that almost everyone looks away. I did not look away. This paper is the result.</w:t>
      </w:r>
    </w:p>
    <w:p>
      <w:pPr>
        <w:spacing w:after="100"/>
      </w:pPr>
    </w:p>
    <w:p>
      <w:pPr>
        <w:pStyle w:val="Heading1"/>
        <w:pBdr>
          <w:bottom w:val="single" w:color="2E75B6" w:sz="2" w:space="4"/>
        </w:pBdr>
        <w:spacing w:before="400" w:after="200"/>
      </w:pPr>
      <w:r>
        <w:rPr>
          <w:rFonts w:ascii="Arial" w:cs="Arial" w:eastAsia="Arial" w:hAnsi="Arial"/>
          <w:b/>
          <w:bCs/>
          <w:color w:val="1A1A2E"/>
          <w:sz w:val="32"/>
          <w:szCs w:val="32"/>
        </w:rPr>
        <w:t xml:space="preserve">Part VI: The Aladdin Problem — Data Sovereignty in Financial Markets</w:t>
      </w:r>
    </w:p>
    <w:p>
      <w:pPr>
        <w:spacing w:after="160" w:line="300"/>
        <w:jc w:val="both"/>
      </w:pPr>
      <w:r>
        <w:rPr>
          <w:rFonts w:ascii="Arial" w:cs="Arial" w:eastAsia="Arial" w:hAnsi="Arial"/>
          <w:sz w:val="22"/>
          <w:szCs w:val="22"/>
        </w:rPr>
        <w:t xml:space="preserve">The application of data sovereignty principles to financial markets exposes a particularly acute asymmetry. Systems such as BlackRock’s Aladdin (Asset, Liability, Debt and Derivative Investment Network) process risk analytics across trillions of dollars of assets under management. These systems ingest market data, order flow patterns, and positioning data to model probability distributions of future price movement.</w:t>
      </w:r>
    </w:p>
    <w:p>
      <w:pPr>
        <w:spacing w:after="160" w:line="300"/>
        <w:jc w:val="both"/>
      </w:pPr>
      <w:r>
        <w:rPr>
          <w:rFonts w:ascii="Arial" w:cs="Arial" w:eastAsia="Arial" w:hAnsi="Arial"/>
          <w:sz w:val="22"/>
          <w:szCs w:val="22"/>
        </w:rPr>
        <w:t xml:space="preserve">At the base of this system sits the retail investor. Every trade placed through a commission-free platform generates order flow data. That data reveals positioning, sentiment, timing, and exposure. Individually, each trade is noise. Aggregated across millions of retail users, it becomes a signal — a signal that institutional systems can incorporate into pricing models before the retail investor sees the price move.</w:t>
      </w:r>
    </w:p>
    <w:p>
      <w:pPr>
        <w:spacing w:after="160" w:line="300"/>
        <w:jc w:val="both"/>
      </w:pPr>
      <w:r>
        <w:rPr>
          <w:rFonts w:ascii="Arial" w:cs="Arial" w:eastAsia="Arial" w:hAnsi="Arial"/>
          <w:sz w:val="22"/>
          <w:szCs w:val="22"/>
        </w:rPr>
        <w:t xml:space="preserve">The forensic DSAR applied to a trading platform asks the question that exposes this pipeline: Who receives my order flow data? Who profits from it? Under what lawful basis? Is there a conflict of interest when my CFD provider takes the opposite side of my trade internally? Has automated profiling been applied to my trading activity?</w:t>
      </w:r>
    </w:p>
    <w:p>
      <w:pPr>
        <w:spacing w:after="160" w:line="300"/>
        <w:jc w:val="both"/>
      </w:pPr>
      <w:r>
        <w:rPr>
          <w:rFonts w:ascii="Arial" w:cs="Arial" w:eastAsia="Arial" w:hAnsi="Arial"/>
          <w:sz w:val="22"/>
          <w:szCs w:val="22"/>
        </w:rPr>
        <w:t xml:space="preserve">These questions do not dismantle institutional systems. No individual DSAR will disrupt a platform processing trillions in assets. But the questions — and the statutory obligation to answer them — force disclosure of the mechanics that the system was built on the assumption nobody would ever ask about. The forensic DSAR does not need to be powerful enough to change the system. It only needs to be powerful enough to make the system’s mechanics visible. Visibility is the precondition for accountability.</w:t>
      </w:r>
    </w:p>
    <w:p>
      <w:pPr>
        <w:spacing w:after="100"/>
      </w:pPr>
    </w:p>
    <w:p>
      <w:pPr>
        <w:pStyle w:val="Heading1"/>
        <w:pBdr>
          <w:bottom w:val="single" w:color="2E75B6" w:sz="2" w:space="4"/>
        </w:pBdr>
        <w:spacing w:before="400" w:after="200"/>
      </w:pPr>
      <w:r>
        <w:rPr>
          <w:rFonts w:ascii="Arial" w:cs="Arial" w:eastAsia="Arial" w:hAnsi="Arial"/>
          <w:b/>
          <w:bCs/>
          <w:color w:val="1A1A2E"/>
          <w:sz w:val="32"/>
          <w:szCs w:val="32"/>
        </w:rPr>
        <w:t xml:space="preserve">Part VII: The State Must Be Human</w:t>
      </w:r>
    </w:p>
    <w:p>
      <w:pPr>
        <w:pBdr>
          <w:left w:val="single" w:color="2E75B6" w:sz="6" w:space="8"/>
        </w:pBdr>
        <w:spacing w:after="200" w:line="300"/>
        <w:ind w:left="720" w:right="720"/>
      </w:pPr>
      <w:r>
        <w:rPr>
          <w:rFonts w:ascii="Arial" w:cs="Arial" w:eastAsia="Arial" w:hAnsi="Arial"/>
          <w:i/>
          <w:iCs/>
          <w:color w:val="16213E"/>
          <w:sz w:val="22"/>
          <w:szCs w:val="22"/>
        </w:rPr>
        <w:t xml:space="preserve">“The state must be human. Machines must not have authority over citizens.” — Simon Thorley, Liberal Democrat, Darlington</w:t>
      </w:r>
    </w:p>
    <w:p>
      <w:pPr>
        <w:spacing w:after="160" w:line="300"/>
        <w:jc w:val="both"/>
      </w:pPr>
      <w:r>
        <w:rPr>
          <w:rFonts w:ascii="Arial" w:cs="Arial" w:eastAsia="Arial" w:hAnsi="Arial"/>
          <w:sz w:val="22"/>
          <w:szCs w:val="22"/>
        </w:rPr>
        <w:t xml:space="preserve">This principle, contributed during the political engagement phase of The Burgess Principle campaign, encapsulates the doctrinal core across all four papers. Whether the context is a warrant issued without judicial scrutiny, a liability order obtained through a batch hearing, a credit file entry derived from automated processing, or a social media account restricted by algorithmic decision-making, the question is the same:</w:t>
      </w:r>
    </w:p>
    <w:p>
      <w:pPr>
        <w:pBdr>
          <w:left w:val="single" w:color="2E75B6" w:sz="6" w:space="8"/>
        </w:pBdr>
        <w:spacing w:after="200" w:line="300"/>
        <w:ind w:left="720" w:right="720"/>
      </w:pPr>
      <w:r>
        <w:rPr>
          <w:rFonts w:ascii="Arial" w:cs="Arial" w:eastAsia="Arial" w:hAnsi="Arial"/>
          <w:i/>
          <w:iCs/>
          <w:color w:val="16213E"/>
          <w:sz w:val="22"/>
          <w:szCs w:val="22"/>
        </w:rPr>
        <w:t xml:space="preserve">Did a human being with proper authority make a decision about this person? Or did a machine make the decision and nobody checked?</w:t>
      </w:r>
    </w:p>
    <w:p>
      <w:pPr>
        <w:spacing w:after="160" w:line="300"/>
        <w:jc w:val="both"/>
      </w:pPr>
      <w:r>
        <w:rPr>
          <w:rFonts w:ascii="Arial" w:cs="Arial" w:eastAsia="Arial" w:hAnsi="Arial"/>
          <w:sz w:val="22"/>
          <w:szCs w:val="22"/>
        </w:rPr>
        <w:t xml:space="preserve">The UK GDPR provides the statutory framework for asking this question. Article 15 compels disclosure of whether automated decision-making has been applied. Article 22 provides the right to contest solely automated decisions. Article 82 provides compensation for unlawful processing. The Equality Act 2010 ensures that the asking of the question is itself accessible to all, and that failure to make it accessible is independently actionable.</w:t>
      </w:r>
    </w:p>
    <w:p>
      <w:pPr>
        <w:spacing w:after="160" w:line="300"/>
        <w:jc w:val="both"/>
      </w:pPr>
      <w:r>
        <w:rPr>
          <w:rFonts w:ascii="Arial" w:cs="Arial" w:eastAsia="Arial" w:hAnsi="Arial"/>
          <w:sz w:val="22"/>
          <w:szCs w:val="22"/>
        </w:rPr>
        <w:t xml:space="preserve">Together, these instruments constitute a complete toolkit for individual data sovereignty. They exist. They are in force. They carry statutory deadlines and enforceable remedies. The only missing ingredient has been systematic, coordinated, forensic use by individuals who understand what they are holding.</w:t>
      </w:r>
    </w:p>
    <w:p>
      <w:pPr>
        <w:spacing w:after="100"/>
      </w:pPr>
    </w:p>
    <w:p>
      <w:pPr>
        <w:pStyle w:val="Heading1"/>
        <w:pBdr>
          <w:bottom w:val="single" w:color="2E75B6" w:sz="2" w:space="4"/>
        </w:pBdr>
        <w:spacing w:before="400" w:after="200"/>
      </w:pPr>
      <w:r>
        <w:rPr>
          <w:rFonts w:ascii="Arial" w:cs="Arial" w:eastAsia="Arial" w:hAnsi="Arial"/>
          <w:b/>
          <w:bCs/>
          <w:color w:val="1A1A2E"/>
          <w:sz w:val="32"/>
          <w:szCs w:val="32"/>
        </w:rPr>
        <w:t xml:space="preserve">Part VIII: Toward a Framework for Individual Data Sovereignty</w:t>
      </w:r>
    </w:p>
    <w:p>
      <w:pPr>
        <w:spacing w:after="160" w:line="300"/>
        <w:jc w:val="both"/>
      </w:pPr>
      <w:r>
        <w:rPr>
          <w:rFonts w:ascii="Arial" w:cs="Arial" w:eastAsia="Arial" w:hAnsi="Arial"/>
          <w:sz w:val="22"/>
          <w:szCs w:val="22"/>
        </w:rPr>
        <w:t xml:space="preserve">This paper does not propose new legislation. It does not call for regulatory reform. It argues that the existing framework is sufficient — if used.</w:t>
      </w:r>
    </w:p>
    <w:p>
      <w:pPr>
        <w:spacing w:after="160" w:line="300"/>
        <w:jc w:val="both"/>
      </w:pPr>
      <w:r>
        <w:rPr>
          <w:rFonts w:ascii="Arial" w:cs="Arial" w:eastAsia="Arial" w:hAnsi="Arial"/>
          <w:sz w:val="22"/>
          <w:szCs w:val="22"/>
        </w:rPr>
        <w:t xml:space="preserve">The framework proposed is as follows:</w:t>
      </w:r>
    </w:p>
    <w:p>
      <w:pPr>
        <w:spacing w:before="200" w:after="100"/>
      </w:pPr>
      <w:r>
        <w:rPr>
          <w:rFonts w:ascii="Arial" w:cs="Arial" w:eastAsia="Arial" w:hAnsi="Arial"/>
          <w:b/>
          <w:bCs/>
          <w:color w:val="2E75B6"/>
          <w:sz w:val="22"/>
          <w:szCs w:val="22"/>
        </w:rPr>
        <w:t xml:space="preserve">Step 1: Map the Data Chain</w:t>
      </w:r>
    </w:p>
    <w:p>
      <w:pPr>
        <w:spacing w:after="160" w:line="300"/>
        <w:jc w:val="both"/>
      </w:pPr>
      <w:r>
        <w:rPr>
          <w:rFonts w:ascii="Arial" w:cs="Arial" w:eastAsia="Arial" w:hAnsi="Arial"/>
          <w:sz w:val="22"/>
          <w:szCs w:val="22"/>
        </w:rPr>
        <w:t xml:space="preserve">Identify every institution that holds personal data relating to the individual. This includes financial institutions, energy suppliers, local authorities, enforcement agents, credit reference agencies, social media platforms, debt purchasers, and any other entity that processes personal data. For each institution, identify the data flows: where did the data originate, who has it been shared with, and what decisions have been made on the basis of it.</w:t>
      </w:r>
    </w:p>
    <w:p>
      <w:pPr>
        <w:spacing w:before="200" w:after="100"/>
      </w:pPr>
      <w:r>
        <w:rPr>
          <w:rFonts w:ascii="Arial" w:cs="Arial" w:eastAsia="Arial" w:hAnsi="Arial"/>
          <w:b/>
          <w:bCs/>
          <w:color w:val="2E75B6"/>
          <w:sz w:val="22"/>
          <w:szCs w:val="22"/>
        </w:rPr>
        <w:t xml:space="preserve">Step 2: Deploy Forensic DSARs</w:t>
      </w:r>
    </w:p>
    <w:p>
      <w:pPr>
        <w:spacing w:after="160" w:line="300"/>
        <w:jc w:val="both"/>
      </w:pPr>
      <w:r>
        <w:rPr>
          <w:rFonts w:ascii="Arial" w:cs="Arial" w:eastAsia="Arial" w:hAnsi="Arial"/>
          <w:sz w:val="22"/>
          <w:szCs w:val="22"/>
        </w:rPr>
        <w:t xml:space="preserve">Send targeted Subject Access Requests to each institution simultaneously. Each DSAR should be designed not merely to retrieve data but to compel disclosure of the processing mechanics: the lawful basis for each instance of processing, the identity of all third-party recipients, the existence of automated decision-making or profiling, and the full chain of authority from data capture to current processing.</w:t>
      </w:r>
    </w:p>
    <w:p>
      <w:pPr>
        <w:spacing w:before="200" w:after="100"/>
      </w:pPr>
      <w:r>
        <w:rPr>
          <w:rFonts w:ascii="Arial" w:cs="Arial" w:eastAsia="Arial" w:hAnsi="Arial"/>
          <w:b/>
          <w:bCs/>
          <w:color w:val="2E75B6"/>
          <w:sz w:val="22"/>
          <w:szCs w:val="22"/>
        </w:rPr>
        <w:t xml:space="preserve">Step 3: Apply the SOVEREIGN/NULL Test</w:t>
      </w:r>
    </w:p>
    <w:p>
      <w:pPr>
        <w:spacing w:after="160" w:line="300"/>
        <w:jc w:val="both"/>
      </w:pPr>
      <w:r>
        <w:rPr>
          <w:rFonts w:ascii="Arial" w:cs="Arial" w:eastAsia="Arial" w:hAnsi="Arial"/>
          <w:sz w:val="22"/>
          <w:szCs w:val="22"/>
        </w:rPr>
        <w:t xml:space="preserve">For each response received, apply the binary test. Was the processing individually authorised by a human mind with proper authority? If yes: SOVEREIGN. If no: NULL. Where the processing is NULL, identify every downstream action that relies on that processing and trace the nullity through the chain.</w:t>
      </w:r>
    </w:p>
    <w:p>
      <w:pPr>
        <w:spacing w:before="200" w:after="100"/>
      </w:pPr>
      <w:r>
        <w:rPr>
          <w:rFonts w:ascii="Arial" w:cs="Arial" w:eastAsia="Arial" w:hAnsi="Arial"/>
          <w:b/>
          <w:bCs/>
          <w:color w:val="2E75B6"/>
          <w:sz w:val="22"/>
          <w:szCs w:val="22"/>
        </w:rPr>
        <w:t xml:space="preserve">Step 4: Assert the Equality Act</w:t>
      </w:r>
    </w:p>
    <w:p>
      <w:pPr>
        <w:spacing w:after="160" w:line="300"/>
        <w:jc w:val="both"/>
      </w:pPr>
      <w:r>
        <w:rPr>
          <w:rFonts w:ascii="Arial" w:cs="Arial" w:eastAsia="Arial" w:hAnsi="Arial"/>
          <w:sz w:val="22"/>
          <w:szCs w:val="22"/>
        </w:rPr>
        <w:t xml:space="preserve">Where the data subject is disabled, ensure that every institution has been notified of the required reasonable adjustments. Every failure to adjust is an independent claim. Every telephone call to a deaf person, every inaccessible authentication method, every requirement to call a helpline rather than communicate in writing is a separate Vento band award. This is not ancillary to the data sovereignty claim. It is a force multiplier that compounds across every institution in the chain.</w:t>
      </w:r>
    </w:p>
    <w:p>
      <w:pPr>
        <w:spacing w:before="200" w:after="100"/>
      </w:pPr>
      <w:r>
        <w:rPr>
          <w:rFonts w:ascii="Arial" w:cs="Arial" w:eastAsia="Arial" w:hAnsi="Arial"/>
          <w:b/>
          <w:bCs/>
          <w:color w:val="2E75B6"/>
          <w:sz w:val="22"/>
          <w:szCs w:val="22"/>
        </w:rPr>
        <w:t xml:space="preserve">Step 5: Enforce the Feedback Loop</w:t>
      </w:r>
    </w:p>
    <w:p>
      <w:pPr>
        <w:spacing w:after="160" w:line="300"/>
        <w:jc w:val="both"/>
      </w:pPr>
      <w:r>
        <w:rPr>
          <w:rFonts w:ascii="Arial" w:cs="Arial" w:eastAsia="Arial" w:hAnsi="Arial"/>
          <w:sz w:val="22"/>
          <w:szCs w:val="22"/>
        </w:rPr>
        <w:t xml:space="preserve">When institutions fail to comply — when DSARs are unanswered, when responses dodge the questions asked, when data is inaccurate, when adjustments are not made — each failure is a compensable breach. Deploy escalation instruments: Financial Ombudsman Service referrals, ICO complaints, Equality and Human Rights Commission reports, Letters Before Action. Each escalation generates further compliance obligations for the institution and further evidence for the individual.</w:t>
      </w:r>
    </w:p>
    <w:p>
      <w:pPr>
        <w:spacing w:before="200" w:after="100"/>
      </w:pPr>
      <w:r>
        <w:rPr>
          <w:rFonts w:ascii="Arial" w:cs="Arial" w:eastAsia="Arial" w:hAnsi="Arial"/>
          <w:b/>
          <w:bCs/>
          <w:color w:val="2E75B6"/>
          <w:sz w:val="22"/>
          <w:szCs w:val="22"/>
        </w:rPr>
        <w:t xml:space="preserve">Step 6: Aggregate and Connect</w:t>
      </w:r>
    </w:p>
    <w:p>
      <w:pPr>
        <w:spacing w:after="160" w:line="300"/>
        <w:jc w:val="both"/>
      </w:pPr>
      <w:r>
        <w:rPr>
          <w:rFonts w:ascii="Arial" w:cs="Arial" w:eastAsia="Arial" w:hAnsi="Arial"/>
          <w:sz w:val="22"/>
          <w:szCs w:val="22"/>
        </w:rPr>
        <w:t xml:space="preserve">The power of the forensic DSAR lies not in any single request but in the aggregation of responses across multiple institutions. Each disclosure feeds evidence into challenges against other institutions. The individual holds the complete map. No single institution sees the full picture. This informational asymmetry — for once — favours the individual.</w:t>
      </w:r>
    </w:p>
    <w:p>
      <w:pPr>
        <w:spacing w:after="100"/>
      </w:pPr>
    </w:p>
    <w:p>
      <w:pPr>
        <w:pStyle w:val="Heading1"/>
        <w:pBdr>
          <w:bottom w:val="single" w:color="2E75B6" w:sz="2" w:space="4"/>
        </w:pBdr>
        <w:spacing w:before="400" w:after="200"/>
      </w:pPr>
      <w:r>
        <w:rPr>
          <w:rFonts w:ascii="Arial" w:cs="Arial" w:eastAsia="Arial" w:hAnsi="Arial"/>
          <w:b/>
          <w:bCs/>
          <w:color w:val="1A1A2E"/>
          <w:sz w:val="32"/>
          <w:szCs w:val="32"/>
        </w:rPr>
        <w:t xml:space="preserve">Part IX: Medical Device Algorithmic Authority — The Hearing Aid as Data Instrument</w:t>
      </w:r>
    </w:p>
    <w:p>
      <w:pPr>
        <w:spacing w:after="160" w:line="300"/>
        <w:jc w:val="both"/>
      </w:pPr>
      <w:r>
        <w:rPr>
          <w:rFonts w:ascii="Arial" w:cs="Arial" w:eastAsia="Arial" w:hAnsi="Arial"/>
          <w:sz w:val="22"/>
          <w:szCs w:val="22"/>
        </w:rPr>
        <w:t xml:space="preserve">The preceding parts of this paper apply the SOVEREIGN/NULL test to data processing — the extraction, storage, sharing, and monetisation of personal information. This Part extends the test into a domain that transcends data: the algorithmic governance of sensory experience through medical devices.</w:t>
      </w:r>
    </w:p>
    <w:p>
      <w:pPr>
        <w:spacing w:after="160" w:line="300"/>
        <w:jc w:val="both"/>
      </w:pPr>
      <w:r>
        <w:rPr>
          <w:rFonts w:ascii="Arial" w:cs="Arial" w:eastAsia="Arial" w:hAnsi="Arial"/>
          <w:sz w:val="22"/>
          <w:szCs w:val="22"/>
        </w:rPr>
        <w:t xml:space="preserve">A hearing aid is a data instrument. It captures environmental sound, processes it through proprietary algorithms, and outputs a modified auditory signal into the wearer’s ear canal. But it is more than a data instrument. It is an instrument of authority. It governs what frequencies are amplified, suppressed, compressed, or shifted. It determines the directional focus of microphone arrays. Through automated operating systems, it makes real-time algorithmic decisions about how the wearer perceives their environment. This is not data processing in the conventional sense. This is algorithmic governance of a citizen’s access to sound.</w:t>
      </w:r>
    </w:p>
    <w:p>
      <w:pPr>
        <w:spacing w:after="160" w:line="300"/>
        <w:jc w:val="both"/>
      </w:pPr>
      <w:r>
        <w:rPr>
          <w:rFonts w:ascii="Arial" w:cs="Arial" w:eastAsia="Arial" w:hAnsi="Arial"/>
          <w:b/>
          <w:bCs/>
          <w:sz w:val="22"/>
          <w:szCs w:val="22"/>
        </w:rPr>
        <w:t xml:space="preserve">The Architecture of Algorithmic Authority in Hearing Aids</w:t>
      </w:r>
    </w:p>
    <w:p>
      <w:pPr>
        <w:spacing w:after="160" w:line="300"/>
        <w:jc w:val="both"/>
      </w:pPr>
      <w:r>
        <w:rPr>
          <w:rFonts w:ascii="Arial" w:cs="Arial" w:eastAsia="Arial" w:hAnsi="Arial"/>
          <w:sz w:val="22"/>
          <w:szCs w:val="22"/>
        </w:rPr>
        <w:t xml:space="preserve">I have worn Phonak hearing aids throughout my adult life. On 6 March 2026, I submitted a formal inquiry to Eric Bernard, CEO of Sonova Holding AG (Phonak’s parent company), applying The Burgess Principle to the hearing aid fitting architecture. The inquiry was acknowledged by Phonak UK (Sonova UK Limited) the same day.</w:t>
      </w:r>
    </w:p>
    <w:p>
      <w:pPr>
        <w:spacing w:after="160" w:line="300"/>
        <w:jc w:val="both"/>
      </w:pPr>
      <w:r>
        <w:rPr>
          <w:rFonts w:ascii="Arial" w:cs="Arial" w:eastAsia="Arial" w:hAnsi="Arial"/>
          <w:sz w:val="22"/>
          <w:szCs w:val="22"/>
        </w:rPr>
        <w:t xml:space="preserve">The inquiry identified five layers of algorithmic authority operating without individual human scrutiny:</w:t>
      </w:r>
    </w:p>
    <w:p>
      <w:pPr>
        <w:spacing w:after="160" w:line="300"/>
        <w:jc w:val="both"/>
      </w:pPr>
      <w:r>
        <w:rPr>
          <w:rFonts w:ascii="Arial" w:cs="Arial" w:eastAsia="Arial" w:hAnsi="Arial"/>
          <w:b/>
          <w:bCs/>
          <w:sz w:val="22"/>
          <w:szCs w:val="22"/>
        </w:rPr>
        <w:t xml:space="preserve">1. The First Fit Algorithm. </w:t>
      </w:r>
      <w:r>
        <w:rPr>
          <w:rFonts w:ascii="Arial" w:cs="Arial" w:eastAsia="Arial" w:hAnsi="Arial"/>
          <w:sz w:val="22"/>
          <w:szCs w:val="22"/>
        </w:rPr>
        <w:t xml:space="preserve">When a Phonak hearing aid is connected to Phonak Target fitting software, the proprietary Adaptive Phonak Digital (APD) formula generates an algorithmically calculated prescription from population-level data. This “first fit” is presented to the clinician as a default. Published Phonak materials confirm that the software automatically pre-selects the experience level and gain settings. The first fit is the equivalent of the blank warrant: an instrument generated by algorithm, not by individual clinical scrutiny.</w:t>
      </w:r>
    </w:p>
    <w:p>
      <w:pPr>
        <w:spacing w:after="160" w:line="300"/>
        <w:jc w:val="both"/>
      </w:pPr>
      <w:r>
        <w:rPr>
          <w:rFonts w:ascii="Arial" w:cs="Arial" w:eastAsia="Arial" w:hAnsi="Arial"/>
          <w:b/>
          <w:bCs/>
          <w:sz w:val="22"/>
          <w:szCs w:val="22"/>
        </w:rPr>
        <w:t xml:space="preserve">2. AutoSense OS. </w:t>
      </w:r>
      <w:r>
        <w:rPr>
          <w:rFonts w:ascii="Arial" w:cs="Arial" w:eastAsia="Arial" w:hAnsi="Arial"/>
          <w:sz w:val="22"/>
          <w:szCs w:val="22"/>
        </w:rPr>
        <w:t xml:space="preserve">Phonak’s automatic operating system scans the acoustic environment approximately 700 times per second and creates over 200 unique setting combinations by blending multiple programs. It classifies environments — calm, speech in noise, speech in loud noise, car, music, echo — and activates corresponding gain settings, directional microphone patterns, and noise reduction parameters without the wearer’s knowledge or consent. This is a machine-learning algorithm trained on aggregate population data exercising continuous, real-time authority over what a citizen hears. No human mind individually authorised these moment-to-moment decisions for the specific wearer.</w:t>
      </w:r>
    </w:p>
    <w:p>
      <w:pPr>
        <w:spacing w:after="160" w:line="300"/>
        <w:jc w:val="both"/>
      </w:pPr>
      <w:r>
        <w:rPr>
          <w:rFonts w:ascii="Arial" w:cs="Arial" w:eastAsia="Arial" w:hAnsi="Arial"/>
          <w:b/>
          <w:bCs/>
          <w:sz w:val="22"/>
          <w:szCs w:val="22"/>
        </w:rPr>
        <w:t xml:space="preserve">3. Proprietary Over Evidence-Based. </w:t>
      </w:r>
      <w:r>
        <w:rPr>
          <w:rFonts w:ascii="Arial" w:cs="Arial" w:eastAsia="Arial" w:hAnsi="Arial"/>
          <w:sz w:val="22"/>
          <w:szCs w:val="22"/>
        </w:rPr>
        <w:t xml:space="preserve">Phonak Target fitting software defaults to the manufacturer’s proprietary APD formula rather than the independently validated NAL-NL2 or DSL v5 prescriptive formulas recognised as the clinical gold standard, particularly for paediatric fittings. The default selection of a proprietary formula that serves the manufacturer’s commercial interests over independently validated standards is a structural choice embedded in the software architecture.</w:t>
      </w:r>
    </w:p>
    <w:p>
      <w:pPr>
        <w:spacing w:after="160" w:line="300"/>
        <w:jc w:val="both"/>
      </w:pPr>
      <w:r>
        <w:rPr>
          <w:rFonts w:ascii="Arial" w:cs="Arial" w:eastAsia="Arial" w:hAnsi="Arial"/>
          <w:b/>
          <w:bCs/>
          <w:sz w:val="22"/>
          <w:szCs w:val="22"/>
        </w:rPr>
        <w:t xml:space="preserve">4. The Invisible Data Layer. </w:t>
      </w:r>
      <w:r>
        <w:rPr>
          <w:rFonts w:ascii="Arial" w:cs="Arial" w:eastAsia="Arial" w:hAnsi="Arial"/>
          <w:sz w:val="22"/>
          <w:szCs w:val="22"/>
        </w:rPr>
        <w:t xml:space="preserve">Phonak hearing aids contain firmware defaults, AI-generated dome recommendations (trained on aggregate fitting data), signal processing parameters, and manufacturer presets that are invisible to the wearer. This mirrors the evidentiary pattern discovered in the E.ON warrant: three magistrates’ names embedded in the PDF metadata while the face of the document remained blank. In the hearing aid, the face — the prescription handed to the patient — does not disclose the algorithmic defaults operating beneath it.</w:t>
      </w:r>
    </w:p>
    <w:p>
      <w:pPr>
        <w:spacing w:after="160" w:line="300"/>
        <w:jc w:val="both"/>
      </w:pPr>
      <w:r>
        <w:rPr>
          <w:rFonts w:ascii="Arial" w:cs="Arial" w:eastAsia="Arial" w:hAnsi="Arial"/>
          <w:b/>
          <w:bCs/>
          <w:sz w:val="22"/>
          <w:szCs w:val="22"/>
        </w:rPr>
        <w:t xml:space="preserve">5. The Verification Gap. </w:t>
      </w:r>
      <w:r>
        <w:rPr>
          <w:rFonts w:ascii="Arial" w:cs="Arial" w:eastAsia="Arial" w:hAnsi="Arial"/>
          <w:sz w:val="22"/>
          <w:szCs w:val="22"/>
        </w:rPr>
        <w:t xml:space="preserve">Real Ear Measurement (REM) is the only process that individually verifies hearing aid output in the patient’s ear canal — confirming that what the device delivers matches what was prescribed. Published audiological literature, including Phonak’s own materials, acknowledges that REM is “the step most often skipped in hearing aid fitting.” Without REM, the hearing aid operates on algorithmic defaults that have never been individually verified. This is the missing signature on the warrant. The instrument was deployed without individual verification that it performs as prescribed for the specific citizen.</w:t>
      </w:r>
    </w:p>
    <w:p>
      <w:pPr>
        <w:spacing w:after="160" w:line="300"/>
        <w:jc w:val="both"/>
      </w:pPr>
      <w:r>
        <w:rPr>
          <w:rFonts w:ascii="Arial" w:cs="Arial" w:eastAsia="Arial" w:hAnsi="Arial"/>
          <w:b/>
          <w:bCs/>
          <w:sz w:val="22"/>
          <w:szCs w:val="22"/>
        </w:rPr>
        <w:t xml:space="preserve">The SOVEREIGN/NULL Test Applied</w:t>
      </w:r>
    </w:p>
    <w:p>
      <w:pPr>
        <w:spacing w:after="160" w:line="300"/>
        <w:jc w:val="both"/>
      </w:pPr>
      <w:r>
        <w:rPr>
          <w:rFonts w:ascii="Arial" w:cs="Arial" w:eastAsia="Arial" w:hAnsi="Arial"/>
          <w:sz w:val="22"/>
          <w:szCs w:val="22"/>
        </w:rPr>
        <w:t xml:space="preserve">NULL (0): Audiogram entered into manufacturer software → proprietary algorithm generates first fit → automated operating system takes over real-time sensory decisions → no REM verification → the citizen lives inside a machine-authorised frequency world that no individual human mind ever scrutinised for them.</w:t>
      </w:r>
    </w:p>
    <w:p>
      <w:pPr>
        <w:spacing w:after="160" w:line="300"/>
        <w:jc w:val="both"/>
      </w:pPr>
      <w:r>
        <w:rPr>
          <w:rFonts w:ascii="Arial" w:cs="Arial" w:eastAsia="Arial" w:hAnsi="Arial"/>
          <w:sz w:val="22"/>
          <w:szCs w:val="22"/>
        </w:rPr>
        <w:t xml:space="preserve">SOVEREIGN (1): Frequency-specific audiometry individually conducted → named clinician individually reviews and prescribes → evidence-based formula with individual adjustments → REM verification proves output matches prescription in that specific ear → operating system parameters individually reviewed and consciously authorised → the citizen lives inside a human-authorised frequency world.</w:t>
      </w:r>
    </w:p>
    <w:p>
      <w:pPr>
        <w:spacing w:after="160" w:line="300"/>
        <w:jc w:val="both"/>
      </w:pPr>
      <w:r>
        <w:rPr>
          <w:rFonts w:ascii="Arial" w:cs="Arial" w:eastAsia="Arial" w:hAnsi="Arial"/>
          <w:sz w:val="22"/>
          <w:szCs w:val="22"/>
        </w:rPr>
        <w:t xml:space="preserve">I hold an unsigned NHS audiograph — no named clinician, no individual sign-off. I hold a Phonak hearing aid running proprietary algorithms that were never individually authorised for me. The parallel with the blank warrant is exact: the face of the instrument does not disclose the authority behind it, and the data layer contains decisions that no individual human mind made for the specific citizen.</w:t>
      </w:r>
    </w:p>
    <w:p>
      <w:pPr>
        <w:spacing w:after="160" w:line="300"/>
        <w:jc w:val="both"/>
      </w:pPr>
      <w:r>
        <w:rPr>
          <w:rFonts w:ascii="Arial" w:cs="Arial" w:eastAsia="Arial" w:hAnsi="Arial"/>
          <w:b/>
          <w:bCs/>
          <w:sz w:val="22"/>
          <w:szCs w:val="22"/>
        </w:rPr>
        <w:t xml:space="preserve">From Data Sovereignty to Sensory Sovereignty</w:t>
      </w:r>
    </w:p>
    <w:p>
      <w:pPr>
        <w:spacing w:after="160" w:line="300"/>
        <w:jc w:val="both"/>
      </w:pPr>
      <w:r>
        <w:rPr>
          <w:rFonts w:ascii="Arial" w:cs="Arial" w:eastAsia="Arial" w:hAnsi="Arial"/>
          <w:sz w:val="22"/>
          <w:szCs w:val="22"/>
        </w:rPr>
        <w:t xml:space="preserve">The medical device extension represents a qualitative leap in the Principle’s application. Parts I through VIII of this paper address data — information about the citizen that is processed by institutions. Part IX addresses something more fundamental: algorithmic authority over the citizen’s body. The hearing aid does not process data about what I hear. It determines what I hear. The distinction is critical. Data sovereignty asks who controls information about you. Sensory sovereignty asks who controls what you experience. The Burgess Principle, applied to hearing aids, establishes that the same binary test governs both: was a human mind individually present, or was the machine left to decide?</w:t>
      </w:r>
    </w:p>
    <w:p>
      <w:pPr>
        <w:spacing w:after="160" w:line="300"/>
        <w:jc w:val="both"/>
      </w:pPr>
      <w:r>
        <w:rPr>
          <w:rFonts w:ascii="Arial" w:cs="Arial" w:eastAsia="Arial" w:hAnsi="Arial"/>
          <w:b/>
          <w:bCs/>
          <w:sz w:val="22"/>
          <w:szCs w:val="22"/>
        </w:rPr>
        <w:t xml:space="preserve">The Licensing Remedy</w:t>
      </w:r>
    </w:p>
    <w:p>
      <w:pPr>
        <w:spacing w:after="160" w:line="300"/>
        <w:jc w:val="both"/>
      </w:pPr>
      <w:r>
        <w:rPr>
          <w:rFonts w:ascii="Arial" w:cs="Arial" w:eastAsia="Arial" w:hAnsi="Arial"/>
          <w:sz w:val="22"/>
          <w:szCs w:val="22"/>
        </w:rPr>
        <w:t xml:space="preserve">The medical device extension and the concurrent engagement with Apple Inc demonstrate that the Principle is not solely a defensive instrument. It is a standard capable of integration into product architecture. The optimal remedy for any manufacturer whose products exercise algorithmic authority over citizens is to licence UK certification mark UK00004343685 and integrate the SOVEREIGN/NULL verification standard into their software — creating a point in the workflow where a named human mind individually confirms that the output has been scrutinised and authorised for the specific individual. For hearing aids, this means a verification checkpoint in the fitting software confirming that a named clinician has individually reviewed the prescription, verified the output with Real Ear Measurement, and consciously authorised the operating system parameters for the specific patient. For consumer technology, this means a transparency and consent framework ensuring that algorithmic decisions affecting the user’s experience are individually authorised rather than bulk-processed under blanket terms. The Principle converts from challenge to standard. The certification mark converts from IP to infrastructure.</w:t>
      </w:r>
    </w:p>
    <w:p>
      <w:pPr>
        <w:spacing w:after="100"/>
      </w:pPr>
    </w:p>
    <w:p>
      <w:pPr>
        <w:pStyle w:val="Heading1"/>
        <w:pBdr>
          <w:bottom w:val="single" w:color="2E75B6" w:sz="2" w:space="4"/>
        </w:pBdr>
        <w:spacing w:before="400" w:after="200"/>
      </w:pPr>
      <w:r>
        <w:rPr>
          <w:rFonts w:ascii="Arial" w:cs="Arial" w:eastAsia="Arial" w:hAnsi="Arial"/>
          <w:b/>
          <w:bCs/>
          <w:color w:val="1A1A2E"/>
          <w:sz w:val="32"/>
          <w:szCs w:val="32"/>
        </w:rPr>
        <w:t xml:space="preserve">Conclusion</w:t>
      </w:r>
    </w:p>
    <w:p>
      <w:pPr>
        <w:spacing w:after="160" w:line="300"/>
        <w:jc w:val="both"/>
      </w:pPr>
      <w:r>
        <w:rPr>
          <w:rFonts w:ascii="Arial" w:cs="Arial" w:eastAsia="Arial" w:hAnsi="Arial"/>
          <w:sz w:val="22"/>
          <w:szCs w:val="22"/>
        </w:rPr>
        <w:t xml:space="preserve">The modern economy runs on personal data. That data has been extracted from individuals without meaningful consent, processed through automated systems without human oversight, and monetised by institutions that bear no obligation to share the value with the people who generated it.</w:t>
      </w:r>
    </w:p>
    <w:p>
      <w:pPr>
        <w:spacing w:after="160" w:line="300"/>
        <w:jc w:val="both"/>
      </w:pPr>
      <w:r>
        <w:rPr>
          <w:rFonts w:ascii="Arial" w:cs="Arial" w:eastAsia="Arial" w:hAnsi="Arial"/>
          <w:sz w:val="22"/>
          <w:szCs w:val="22"/>
        </w:rPr>
        <w:t xml:space="preserve">The regulatory framework to challenge this exists. It has existed since 2018. It carries statutory force, enforceable deadlines, and compensable remedies. It was designed to protect individuals. It has been used, overwhelmingly, as a compliance checklist by institutions.</w:t>
      </w:r>
    </w:p>
    <w:p>
      <w:pPr>
        <w:spacing w:after="160" w:line="300"/>
        <w:jc w:val="both"/>
      </w:pPr>
      <w:r>
        <w:rPr>
          <w:rFonts w:ascii="Arial" w:cs="Arial" w:eastAsia="Arial" w:hAnsi="Arial"/>
          <w:sz w:val="22"/>
          <w:szCs w:val="22"/>
        </w:rPr>
        <w:t xml:space="preserve">This paper demonstrates that the same framework, used forensically and at scale by one person, reverses the flow. The data that was extracted for free becomes the subject of compulsory disclosure. The processing that was automated without oversight becomes the subject of compensable claims. The institutions that profited from the asymmetry bear the cost of the correction.</w:t>
      </w:r>
    </w:p>
    <w:p>
      <w:pPr>
        <w:spacing w:after="160" w:line="300"/>
        <w:jc w:val="both"/>
      </w:pPr>
      <w:r>
        <w:rPr>
          <w:rFonts w:ascii="Arial" w:cs="Arial" w:eastAsia="Arial" w:hAnsi="Arial"/>
          <w:sz w:val="22"/>
          <w:szCs w:val="22"/>
        </w:rPr>
        <w:t xml:space="preserve">The Burgess Principle, applied to data sovereignty, asks one question of every institution that processes personal data:</w:t>
      </w:r>
    </w:p>
    <w:p>
      <w:pPr>
        <w:pBdr>
          <w:left w:val="single" w:color="2E75B6" w:sz="6" w:space="8"/>
        </w:pBdr>
        <w:spacing w:after="200" w:line="300"/>
        <w:ind w:left="720" w:right="720"/>
      </w:pPr>
      <w:r>
        <w:rPr>
          <w:rFonts w:ascii="Arial" w:cs="Arial" w:eastAsia="Arial" w:hAnsi="Arial"/>
          <w:i/>
          <w:iCs/>
          <w:color w:val="16213E"/>
          <w:sz w:val="22"/>
          <w:szCs w:val="22"/>
        </w:rPr>
        <w:t xml:space="preserve">Was there a human being with proper authority at every decision point? Or did the machine decide and nobody checked?</w:t>
      </w:r>
    </w:p>
    <w:p>
      <w:pPr>
        <w:spacing w:after="160" w:line="300"/>
        <w:jc w:val="both"/>
      </w:pPr>
      <w:r>
        <w:rPr>
          <w:rFonts w:ascii="Arial" w:cs="Arial" w:eastAsia="Arial" w:hAnsi="Arial"/>
          <w:sz w:val="22"/>
          <w:szCs w:val="22"/>
        </w:rPr>
        <w:t xml:space="preserve">Where the answer is the latter, the processing is NULL. And I hold the tools to prove it.</w:t>
      </w:r>
    </w:p>
    <w:p>
      <w:pPr>
        <w:spacing w:after="100"/>
      </w:pPr>
    </w:p>
    <w:p>
      <w:pPr>
        <w:spacing w:after="100"/>
      </w:pPr>
    </w:p>
    <w:p>
      <w:pPr>
        <w:pBdr>
          <w:top w:val="single" w:color="2E75B6" w:sz="2" w:space="8"/>
        </w:pBdr>
        <w:spacing w:before="400"/>
      </w:pPr>
      <w:r>
        <w:rPr>
          <w:rFonts w:ascii="Arial" w:cs="Arial" w:eastAsia="Arial" w:hAnsi="Arial"/>
          <w:b/>
          <w:bCs/>
          <w:sz w:val="22"/>
          <w:szCs w:val="22"/>
        </w:rPr>
        <w:t xml:space="preserve">Lewis James Burgess</w:t>
      </w:r>
    </w:p>
    <w:p>
      <w:pPr>
        <w:spacing w:after="160" w:line="300"/>
        <w:jc w:val="both"/>
      </w:pPr>
      <w:r>
        <w:rPr>
          <w:rFonts w:ascii="Arial" w:cs="Arial" w:eastAsia="Arial" w:hAnsi="Arial"/>
          <w:sz w:val="22"/>
          <w:szCs w:val="22"/>
        </w:rPr>
        <w:t xml:space="preserve">Self-Represented | Independent Researcher</w:t>
      </w:r>
    </w:p>
    <w:p>
      <w:pPr>
        <w:spacing w:after="160" w:line="300"/>
        <w:jc w:val="both"/>
      </w:pPr>
      <w:r>
        <w:rPr>
          <w:rFonts w:ascii="Arial" w:cs="Arial" w:eastAsia="Arial" w:hAnsi="Arial"/>
          <w:sz w:val="22"/>
          <w:szCs w:val="22"/>
        </w:rPr>
        <w:t xml:space="preserve">March 2026</w:t>
      </w:r>
    </w:p>
    <w:p>
      <w:pPr>
        <w:spacing w:after="100"/>
      </w:pPr>
    </w:p>
    <w:p>
      <w:r>
        <w:rPr>
          <w:rFonts w:ascii="Arial" w:cs="Arial" w:eastAsia="Arial" w:hAnsi="Arial"/>
          <w:b/>
          <w:bCs/>
          <w:color w:val="2E75B6"/>
          <w:sz w:val="20"/>
          <w:szCs w:val="20"/>
        </w:rPr>
        <w:t xml:space="preserve">The Burgess Principle: </w:t>
      </w:r>
      <w:r>
        <w:rPr>
          <w:rFonts w:ascii="Arial" w:cs="Arial" w:eastAsia="Arial" w:hAnsi="Arial"/>
          <w:color w:val="2E75B6"/>
          <w:sz w:val="20"/>
          <w:szCs w:val="20"/>
        </w:rPr>
        <w:t xml:space="preserve">github.com/ljbudgie/Burgessprinciple</w:t>
      </w:r>
    </w:p>
    <w:p>
      <w:pPr>
        <w:spacing w:before="40"/>
      </w:pPr>
      <w:r>
        <w:rPr>
          <w:rFonts w:ascii="Arial" w:cs="Arial" w:eastAsia="Arial" w:hAnsi="Arial"/>
          <w:b/>
          <w:bCs/>
          <w:color w:val="2E75B6"/>
          <w:sz w:val="20"/>
          <w:szCs w:val="20"/>
        </w:rPr>
        <w:t xml:space="preserve">UK Certification Mark: </w:t>
      </w:r>
      <w:r>
        <w:rPr>
          <w:rFonts w:ascii="Arial" w:cs="Arial" w:eastAsia="Arial" w:hAnsi="Arial"/>
          <w:color w:val="2E75B6"/>
          <w:sz w:val="20"/>
          <w:szCs w:val="20"/>
        </w:rPr>
        <w:t xml:space="preserve">UK00004343685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The Burgess Principle — Paper IV: Data Sovereignty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2026-03-06T17:37:59.069Z</dcterms:created>
  <dcterms:modified xsi:type="dcterms:W3CDTF">2026-03-06T17:37:59.070Z</dcterms:modified>
</cp:coreProperties>
</file>

<file path=docProps/custom.xml><?xml version="1.0" encoding="utf-8"?>
<Properties xmlns="http://schemas.openxmlformats.org/officeDocument/2006/custom-properties" xmlns:vt="http://schemas.openxmlformats.org/officeDocument/2006/docPropsVTypes"/>
</file>