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c="http://schemas.openxmlformats.org/drawingml/2006/char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1881" w:rsidRDefault="008F0730" w14:paraId="00100000" w14:textId="00100001">
      <w:pPr>
        <w:spacing w:before="2100" w:after="480"/>
        <w:jc w:val="center"/>
      </w:pPr>
      <w:r>
        <w:rPr>
          <w:b/>
          <w:color w:val="007C83"/>
          <w:spacing w:val="30"/>
          <w:sz w:val="18"/>
        </w:rPr>
        <w:t>PROJECT DELIVERY OFFICE</w:t>
      </w:r>
    </w:p>
    <w:p w:rsidR="00CD1881" w:rsidRDefault="008F0730" w14:paraId="00100002" w14:textId="00100003">
      <w:pPr>
        <w:keepLines/>
        <w:spacing w:after="240" w:line="252" w:lineRule="auto"/>
        <w:jc w:val="center"/>
      </w:pPr>
      <w:r>
        <w:rPr>
          <w:rFonts w:ascii="Aptos Display" w:hAnsi="Aptos Display" w:eastAsia="Aptos Display"/>
          <w:b/>
          <w:color w:val="1F4E79"/>
          <w:sz w:val="56"/>
        </w:rPr>
        <w:t>Riverside Renovation Delivery Strategy</w:t>
      </w:r>
    </w:p>
    <w:p w:rsidR="00CD1881" w:rsidRDefault="008F0730" w14:paraId="00100004" w14:textId="00100005">
      <w:pPr>
        <w:spacing w:after="560"/>
        <w:jc w:val="center"/>
      </w:pPr>
      <w:r>
        <w:rPr>
          <w:color w:val="4B5563"/>
          <w:sz w:val="30"/>
        </w:rPr>
        <w:t>Execution roadmap and control framework</w:t>
      </w:r>
    </w:p>
    <w:p w:rsidR="00CD1881" w:rsidRDefault="008F0730" w14:paraId="00100006" w14:textId="00100007">
      <w:pPr>
        <w:spacing w:before="120" w:after="840"/>
        <w:jc w:val="center"/>
      </w:pPr>
      <w:r>
        <w:rPr>
          <w:b/>
          <w:color w:val="1F4E79"/>
          <w:spacing w:val="20"/>
          <w:sz w:val="18"/>
        </w:rPr>
        <w:t>SCOPE | SEQUENCE | COST | RISK</w:t>
      </w:r>
    </w:p>
    <w:p w:rsidR="00CD1881" w:rsidRDefault="008F0730" w14:paraId="00100008" w14:textId="00100009">
      <w:pPr>
        <w:jc w:val="center"/>
      </w:pPr>
      <w:r>
        <w:rPr>
          <w:b/>
        </w:rPr>
        <w:t>Prepared by Project Delivery Office</w:t>
      </w:r>
    </w:p>
    <w:p w:rsidR="00CD1881" w:rsidRDefault="008F0730" w14:paraId="0010000A" w14:textId="0010000B">
      <w:pPr>
        <w:jc w:val="center"/>
      </w:pPr>
      <w:r>
        <w:rPr>
          <w:color w:val="5B6770"/>
          <w:sz w:val="21"/>
        </w:rPr>
        <w:t>July 22, 2026</w:t>
      </w:r>
    </w:p>
    <w:p w:rsidR="00CD1881" w:rsidRDefault="008F0730" w14:paraId="0010000C" w14:textId="0010000D">
      <w:r>
        <w:br w:type="page"/>
      </w:r>
    </w:p>
    <w:p w:rsidR="00CD1881" w:rsidRDefault="008F0730" w14:paraId="0010000E" w14:textId="0010000F">
      <w:r>
        <w:lastRenderedPageBreak/>
        <w:t>Table of Contents</w:t>
      </w:r>
    </w:p>
    <w:p w:rsidR="00944F61" w:rsidRDefault="008F0730" w14:paraId="00100010" w14:textId="00100011">
      <w:pPr>
        <w:pStyle w:val="TOC1"/>
        <w:tabs>
          <w:tab w:val="right" w:leader="dot" w:pos="9868"/>
        </w:tabs>
        <w:rPr>
          <w:noProof/>
        </w:rPr>
      </w:pPr>
      <w:r>
        <w:fldChar w:fldCharType="begin"/>
      </w:r>
      <w:r>
        <w:instrText xml:space="preserve"> TOC \o "1-2" \h \u </w:instrText>
      </w:r>
      <w:r>
        <w:fldChar w:fldCharType="separate"/>
      </w:r>
      <w:hyperlink w:history="1" w:anchor="_Toc235642755">
        <w:r w:rsidRPr="00D53C0D" w:rsidR="00944F61">
          <w:rPr>
            <w:rStyle w:val="Hyperlink"/>
            <w:noProof/>
          </w:rPr>
          <w:t>1. Project Context</w:t>
        </w:r>
        <w:r w:rsidR="00944F61">
          <w:rPr>
            <w:noProof/>
          </w:rPr>
          <w:tab/>
        </w:r>
        <w:r w:rsidR="00944F61">
          <w:rPr>
            <w:noProof/>
          </w:rPr>
          <w:fldChar w:fldCharType="begin"/>
        </w:r>
        <w:r w:rsidR="00944F61">
          <w:rPr>
            <w:noProof/>
          </w:rPr>
          <w:instrText xml:space="preserve"> PAGEREF _Toc235642755 \h </w:instrText>
        </w:r>
        <w:r w:rsidR="00944F61">
          <w:rPr>
            <w:noProof/>
          </w:rPr>
        </w:r>
        <w:r w:rsidR="00944F61">
          <w:rPr>
            <w:noProof/>
          </w:rPr>
          <w:fldChar w:fldCharType="separate"/>
        </w:r>
        <w:r w:rsidR="00944F61">
          <w:rPr>
            <w:noProof/>
          </w:rPr>
          <w:t>3</w:t>
        </w:r>
        <w:r w:rsidR="00944F61">
          <w:rPr>
            <w:noProof/>
          </w:rPr>
          <w:fldChar w:fldCharType="end"/>
        </w:r>
      </w:hyperlink>
    </w:p>
    <w:p w:rsidR="00944F61" w:rsidRDefault="00944F61" w14:paraId="00100012" w14:textId="00100013">
      <w:pPr>
        <w:pStyle w:val="TOC2"/>
        <w:tabs>
          <w:tab w:val="right" w:leader="dot" w:pos="9868"/>
        </w:tabs>
        <w:rPr>
          <w:noProof/>
        </w:rPr>
      </w:pPr>
      <w:hyperlink w:history="1" w:anchor="_Toc235642756">
        <w:r w:rsidRPr="00D53C0D">
          <w:rPr>
            <w:rStyle w:val="Hyperlink"/>
            <w:noProof/>
          </w:rPr>
          <w:t>Current Delivery Position</w:t>
        </w:r>
        <w:r>
          <w:rPr>
            <w:noProof/>
          </w:rPr>
          <w:tab/>
        </w:r>
        <w:r>
          <w:rPr>
            <w:noProof/>
          </w:rPr>
          <w:fldChar w:fldCharType="begin"/>
        </w:r>
        <w:r>
          <w:rPr>
            <w:noProof/>
          </w:rPr>
          <w:instrText xml:space="preserve"> PAGEREF _Toc235642756 \h </w:instrText>
        </w:r>
        <w:r>
          <w:rPr>
            <w:noProof/>
          </w:rPr>
        </w:r>
        <w:r>
          <w:rPr>
            <w:noProof/>
          </w:rPr>
          <w:fldChar w:fldCharType="separate"/>
        </w:r>
        <w:r>
          <w:rPr>
            <w:noProof/>
          </w:rPr>
          <w:t>3</w:t>
        </w:r>
        <w:r>
          <w:rPr>
            <w:noProof/>
          </w:rPr>
          <w:fldChar w:fldCharType="end"/>
        </w:r>
      </w:hyperlink>
    </w:p>
    <w:p w:rsidR="00944F61" w:rsidRDefault="00944F61" w14:paraId="00100014" w14:textId="00100015">
      <w:pPr>
        <w:pStyle w:val="TOC2"/>
        <w:tabs>
          <w:tab w:val="right" w:leader="dot" w:pos="9868"/>
        </w:tabs>
        <w:rPr>
          <w:noProof/>
        </w:rPr>
      </w:pPr>
      <w:hyperlink w:history="1" w:anchor="_Toc235642757">
        <w:r w:rsidRPr="00D53C0D">
          <w:rPr>
            <w:rStyle w:val="Hyperlink"/>
            <w:noProof/>
          </w:rPr>
          <w:t>Operating Constraints</w:t>
        </w:r>
        <w:r>
          <w:rPr>
            <w:noProof/>
          </w:rPr>
          <w:tab/>
        </w:r>
        <w:r>
          <w:rPr>
            <w:noProof/>
          </w:rPr>
          <w:fldChar w:fldCharType="begin"/>
        </w:r>
        <w:r>
          <w:rPr>
            <w:noProof/>
          </w:rPr>
          <w:instrText xml:space="preserve"> PAGEREF _Toc235642757 \h </w:instrText>
        </w:r>
        <w:r>
          <w:rPr>
            <w:noProof/>
          </w:rPr>
        </w:r>
        <w:r>
          <w:rPr>
            <w:noProof/>
          </w:rPr>
          <w:fldChar w:fldCharType="separate"/>
        </w:r>
        <w:r>
          <w:rPr>
            <w:noProof/>
          </w:rPr>
          <w:t>3</w:t>
        </w:r>
        <w:r>
          <w:rPr>
            <w:noProof/>
          </w:rPr>
          <w:fldChar w:fldCharType="end"/>
        </w:r>
      </w:hyperlink>
    </w:p>
    <w:p w:rsidR="00944F61" w:rsidRDefault="00944F61" w14:paraId="00100016" w14:textId="00100017">
      <w:pPr>
        <w:pStyle w:val="TOC1"/>
        <w:tabs>
          <w:tab w:val="right" w:leader="dot" w:pos="9868"/>
        </w:tabs>
        <w:rPr>
          <w:noProof/>
        </w:rPr>
      </w:pPr>
      <w:hyperlink w:history="1" w:anchor="_Toc235642758">
        <w:r w:rsidRPr="00D53C0D">
          <w:rPr>
            <w:rStyle w:val="Hyperlink"/>
            <w:noProof/>
          </w:rPr>
          <w:t>2. Delivery Strategy</w:t>
        </w:r>
        <w:r>
          <w:rPr>
            <w:noProof/>
          </w:rPr>
          <w:tab/>
        </w:r>
        <w:r>
          <w:rPr>
            <w:noProof/>
          </w:rPr>
          <w:fldChar w:fldCharType="begin"/>
        </w:r>
        <w:r>
          <w:rPr>
            <w:noProof/>
          </w:rPr>
          <w:instrText xml:space="preserve"> PAGEREF _Toc235642758 \h </w:instrText>
        </w:r>
        <w:r>
          <w:rPr>
            <w:noProof/>
          </w:rPr>
        </w:r>
        <w:r>
          <w:rPr>
            <w:noProof/>
          </w:rPr>
          <w:fldChar w:fldCharType="separate"/>
        </w:r>
        <w:r>
          <w:rPr>
            <w:noProof/>
          </w:rPr>
          <w:t>4</w:t>
        </w:r>
        <w:r>
          <w:rPr>
            <w:noProof/>
          </w:rPr>
          <w:fldChar w:fldCharType="end"/>
        </w:r>
      </w:hyperlink>
    </w:p>
    <w:p w:rsidR="00944F61" w:rsidRDefault="00944F61" w14:paraId="00100018" w14:textId="00100019">
      <w:pPr>
        <w:pStyle w:val="TOC2"/>
        <w:tabs>
          <w:tab w:val="right" w:leader="dot" w:pos="9868"/>
        </w:tabs>
        <w:rPr>
          <w:noProof/>
        </w:rPr>
      </w:pPr>
      <w:hyperlink w:history="1" w:anchor="_Toc235642759">
        <w:r w:rsidRPr="00D53C0D">
          <w:rPr>
            <w:rStyle w:val="Hyperlink"/>
            <w:noProof/>
          </w:rPr>
          <w:t>Sequenced Workfronts</w:t>
        </w:r>
        <w:r>
          <w:rPr>
            <w:noProof/>
          </w:rPr>
          <w:tab/>
        </w:r>
        <w:r>
          <w:rPr>
            <w:noProof/>
          </w:rPr>
          <w:fldChar w:fldCharType="begin"/>
        </w:r>
        <w:r>
          <w:rPr>
            <w:noProof/>
          </w:rPr>
          <w:instrText xml:space="preserve"> PAGEREF _Toc235642759 \h </w:instrText>
        </w:r>
        <w:r>
          <w:rPr>
            <w:noProof/>
          </w:rPr>
        </w:r>
        <w:r>
          <w:rPr>
            <w:noProof/>
          </w:rPr>
          <w:fldChar w:fldCharType="separate"/>
        </w:r>
        <w:r>
          <w:rPr>
            <w:noProof/>
          </w:rPr>
          <w:t>4</w:t>
        </w:r>
        <w:r>
          <w:rPr>
            <w:noProof/>
          </w:rPr>
          <w:fldChar w:fldCharType="end"/>
        </w:r>
      </w:hyperlink>
    </w:p>
    <w:p w:rsidR="00944F61" w:rsidRDefault="00944F61" w14:paraId="0010001A" w14:textId="0010001B">
      <w:pPr>
        <w:pStyle w:val="TOC2"/>
        <w:tabs>
          <w:tab w:val="right" w:leader="dot" w:pos="9868"/>
        </w:tabs>
        <w:rPr>
          <w:noProof/>
        </w:rPr>
      </w:pPr>
      <w:hyperlink w:history="1" w:anchor="_Toc235642760">
        <w:r w:rsidRPr="00D53C0D">
          <w:rPr>
            <w:rStyle w:val="Hyperlink"/>
            <w:noProof/>
          </w:rPr>
          <w:t>Milestones and Controls</w:t>
        </w:r>
        <w:r>
          <w:rPr>
            <w:noProof/>
          </w:rPr>
          <w:tab/>
        </w:r>
        <w:r>
          <w:rPr>
            <w:noProof/>
          </w:rPr>
          <w:fldChar w:fldCharType="begin"/>
        </w:r>
        <w:r>
          <w:rPr>
            <w:noProof/>
          </w:rPr>
          <w:instrText xml:space="preserve"> PAGEREF _Toc235642760 \h </w:instrText>
        </w:r>
        <w:r>
          <w:rPr>
            <w:noProof/>
          </w:rPr>
        </w:r>
        <w:r>
          <w:rPr>
            <w:noProof/>
          </w:rPr>
          <w:fldChar w:fldCharType="separate"/>
        </w:r>
        <w:r>
          <w:rPr>
            <w:noProof/>
          </w:rPr>
          <w:t>4</w:t>
        </w:r>
        <w:r>
          <w:rPr>
            <w:noProof/>
          </w:rPr>
          <w:fldChar w:fldCharType="end"/>
        </w:r>
      </w:hyperlink>
    </w:p>
    <w:p w:rsidR="00944F61" w:rsidRDefault="00944F61" w14:paraId="0010001C" w14:textId="0010001D">
      <w:pPr>
        <w:pStyle w:val="TOC1"/>
        <w:tabs>
          <w:tab w:val="right" w:leader="dot" w:pos="9868"/>
        </w:tabs>
        <w:rPr>
          <w:noProof/>
        </w:rPr>
      </w:pPr>
      <w:hyperlink w:history="1" w:anchor="_Toc235642761">
        <w:r w:rsidRPr="00D53C0D">
          <w:rPr>
            <w:rStyle w:val="Hyperlink"/>
            <w:noProof/>
          </w:rPr>
          <w:t>3. Budget Controls</w:t>
        </w:r>
        <w:r>
          <w:rPr>
            <w:noProof/>
          </w:rPr>
          <w:tab/>
        </w:r>
        <w:r>
          <w:rPr>
            <w:noProof/>
          </w:rPr>
          <w:fldChar w:fldCharType="begin"/>
        </w:r>
        <w:r>
          <w:rPr>
            <w:noProof/>
          </w:rPr>
          <w:instrText xml:space="preserve"> PAGEREF _Toc235642761 \h </w:instrText>
        </w:r>
        <w:r>
          <w:rPr>
            <w:noProof/>
          </w:rPr>
        </w:r>
        <w:r>
          <w:rPr>
            <w:noProof/>
          </w:rPr>
          <w:fldChar w:fldCharType="separate"/>
        </w:r>
        <w:r>
          <w:rPr>
            <w:noProof/>
          </w:rPr>
          <w:t>5</w:t>
        </w:r>
        <w:r>
          <w:rPr>
            <w:noProof/>
          </w:rPr>
          <w:fldChar w:fldCharType="end"/>
        </w:r>
      </w:hyperlink>
    </w:p>
    <w:p w:rsidR="00944F61" w:rsidRDefault="00944F61" w14:paraId="0010001E" w14:textId="0010001F">
      <w:pPr>
        <w:pStyle w:val="TOC2"/>
        <w:tabs>
          <w:tab w:val="right" w:leader="dot" w:pos="9868"/>
        </w:tabs>
        <w:rPr>
          <w:noProof/>
        </w:rPr>
      </w:pPr>
      <w:hyperlink w:history="1" w:anchor="_Toc235642762">
        <w:r w:rsidRPr="00D53C0D">
          <w:rPr>
            <w:rStyle w:val="Hyperlink"/>
            <w:noProof/>
          </w:rPr>
          <w:t>Control Baseline</w:t>
        </w:r>
        <w:r>
          <w:rPr>
            <w:noProof/>
          </w:rPr>
          <w:tab/>
        </w:r>
        <w:r>
          <w:rPr>
            <w:noProof/>
          </w:rPr>
          <w:fldChar w:fldCharType="begin"/>
        </w:r>
        <w:r>
          <w:rPr>
            <w:noProof/>
          </w:rPr>
          <w:instrText xml:space="preserve"> PAGEREF _Toc235642762 \h </w:instrText>
        </w:r>
        <w:r>
          <w:rPr>
            <w:noProof/>
          </w:rPr>
        </w:r>
        <w:r>
          <w:rPr>
            <w:noProof/>
          </w:rPr>
          <w:fldChar w:fldCharType="separate"/>
        </w:r>
        <w:r>
          <w:rPr>
            <w:noProof/>
          </w:rPr>
          <w:t>5</w:t>
        </w:r>
        <w:r>
          <w:rPr>
            <w:noProof/>
          </w:rPr>
          <w:fldChar w:fldCharType="end"/>
        </w:r>
      </w:hyperlink>
    </w:p>
    <w:p w:rsidR="00944F61" w:rsidRDefault="00944F61" w14:paraId="00100020" w14:textId="00100021">
      <w:pPr>
        <w:pStyle w:val="TOC2"/>
        <w:tabs>
          <w:tab w:val="right" w:leader="dot" w:pos="9868"/>
        </w:tabs>
        <w:rPr>
          <w:noProof/>
        </w:rPr>
      </w:pPr>
      <w:hyperlink w:history="1" w:anchor="_Toc235642763">
        <w:r w:rsidRPr="00D53C0D">
          <w:rPr>
            <w:rStyle w:val="Hyperlink"/>
            <w:noProof/>
          </w:rPr>
          <w:t>Cost Variance Metric</w:t>
        </w:r>
        <w:r>
          <w:rPr>
            <w:noProof/>
          </w:rPr>
          <w:tab/>
        </w:r>
        <w:r>
          <w:rPr>
            <w:noProof/>
          </w:rPr>
          <w:fldChar w:fldCharType="begin"/>
        </w:r>
        <w:r>
          <w:rPr>
            <w:noProof/>
          </w:rPr>
          <w:instrText xml:space="preserve"> PAGEREF _Toc235642763 \h </w:instrText>
        </w:r>
        <w:r>
          <w:rPr>
            <w:noProof/>
          </w:rPr>
        </w:r>
        <w:r>
          <w:rPr>
            <w:noProof/>
          </w:rPr>
          <w:fldChar w:fldCharType="separate"/>
        </w:r>
        <w:r>
          <w:rPr>
            <w:noProof/>
          </w:rPr>
          <w:t>5</w:t>
        </w:r>
        <w:r>
          <w:rPr>
            <w:noProof/>
          </w:rPr>
          <w:fldChar w:fldCharType="end"/>
        </w:r>
      </w:hyperlink>
    </w:p>
    <w:p w:rsidR="00944F61" w:rsidRDefault="00944F61" w14:paraId="00100022" w14:textId="00100023">
      <w:pPr>
        <w:pStyle w:val="TOC1"/>
        <w:tabs>
          <w:tab w:val="right" w:leader="dot" w:pos="9868"/>
        </w:tabs>
        <w:rPr>
          <w:noProof/>
        </w:rPr>
      </w:pPr>
      <w:hyperlink w:history="1" w:anchor="_Toc235642764">
        <w:r w:rsidRPr="00D53C0D">
          <w:rPr>
            <w:rStyle w:val="Hyperlink"/>
            <w:noProof/>
          </w:rPr>
          <w:t>4. Risk and Performance Outlook</w:t>
        </w:r>
        <w:r>
          <w:rPr>
            <w:noProof/>
          </w:rPr>
          <w:tab/>
        </w:r>
        <w:r>
          <w:rPr>
            <w:noProof/>
          </w:rPr>
          <w:fldChar w:fldCharType="begin"/>
        </w:r>
        <w:r>
          <w:rPr>
            <w:noProof/>
          </w:rPr>
          <w:instrText xml:space="preserve"> PAGEREF _Toc235642764 \h </w:instrText>
        </w:r>
        <w:r>
          <w:rPr>
            <w:noProof/>
          </w:rPr>
        </w:r>
        <w:r>
          <w:rPr>
            <w:noProof/>
          </w:rPr>
          <w:fldChar w:fldCharType="separate"/>
        </w:r>
        <w:r>
          <w:rPr>
            <w:noProof/>
          </w:rPr>
          <w:t>6</w:t>
        </w:r>
        <w:r>
          <w:rPr>
            <w:noProof/>
          </w:rPr>
          <w:fldChar w:fldCharType="end"/>
        </w:r>
      </w:hyperlink>
    </w:p>
    <w:p w:rsidR="00944F61" w:rsidRDefault="00944F61" w14:paraId="00100024" w14:textId="00100025">
      <w:pPr>
        <w:pStyle w:val="TOC2"/>
        <w:tabs>
          <w:tab w:val="right" w:leader="dot" w:pos="9868"/>
        </w:tabs>
        <w:rPr>
          <w:noProof/>
        </w:rPr>
      </w:pPr>
      <w:hyperlink w:history="1" w:anchor="_Toc235642765">
        <w:r w:rsidRPr="00D53C0D">
          <w:rPr>
            <w:rStyle w:val="Hyperlink"/>
            <w:noProof/>
          </w:rPr>
          <w:t>Leading Indicators</w:t>
        </w:r>
        <w:r>
          <w:rPr>
            <w:noProof/>
          </w:rPr>
          <w:tab/>
        </w:r>
        <w:r>
          <w:rPr>
            <w:noProof/>
          </w:rPr>
          <w:fldChar w:fldCharType="begin"/>
        </w:r>
        <w:r>
          <w:rPr>
            <w:noProof/>
          </w:rPr>
          <w:instrText xml:space="preserve"> PAGEREF _Toc235642765 \h </w:instrText>
        </w:r>
        <w:r>
          <w:rPr>
            <w:noProof/>
          </w:rPr>
        </w:r>
        <w:r>
          <w:rPr>
            <w:noProof/>
          </w:rPr>
          <w:fldChar w:fldCharType="separate"/>
        </w:r>
        <w:r>
          <w:rPr>
            <w:noProof/>
          </w:rPr>
          <w:t>6</w:t>
        </w:r>
        <w:r>
          <w:rPr>
            <w:noProof/>
          </w:rPr>
          <w:fldChar w:fldCharType="end"/>
        </w:r>
      </w:hyperlink>
    </w:p>
    <w:p w:rsidR="00944F61" w:rsidRDefault="00944F61" w14:paraId="00100026" w14:textId="00100027">
      <w:pPr>
        <w:pStyle w:val="TOC2"/>
        <w:tabs>
          <w:tab w:val="right" w:leader="dot" w:pos="9868"/>
        </w:tabs>
        <w:rPr>
          <w:noProof/>
        </w:rPr>
      </w:pPr>
      <w:hyperlink w:history="1" w:anchor="_Toc235642766">
        <w:r w:rsidRPr="00D53C0D">
          <w:rPr>
            <w:rStyle w:val="Hyperlink"/>
            <w:noProof/>
          </w:rPr>
          <w:t>Performance Trajectory</w:t>
        </w:r>
        <w:r>
          <w:rPr>
            <w:noProof/>
          </w:rPr>
          <w:tab/>
        </w:r>
        <w:r>
          <w:rPr>
            <w:noProof/>
          </w:rPr>
          <w:fldChar w:fldCharType="begin"/>
        </w:r>
        <w:r>
          <w:rPr>
            <w:noProof/>
          </w:rPr>
          <w:instrText xml:space="preserve"> PAGEREF _Toc235642766 \h </w:instrText>
        </w:r>
        <w:r>
          <w:rPr>
            <w:noProof/>
          </w:rPr>
        </w:r>
        <w:r>
          <w:rPr>
            <w:noProof/>
          </w:rPr>
          <w:fldChar w:fldCharType="separate"/>
        </w:r>
        <w:r>
          <w:rPr>
            <w:noProof/>
          </w:rPr>
          <w:t>6</w:t>
        </w:r>
        <w:r>
          <w:rPr>
            <w:noProof/>
          </w:rPr>
          <w:fldChar w:fldCharType="end"/>
        </w:r>
      </w:hyperlink>
    </w:p>
    <w:p w:rsidR="00944F61" w:rsidRDefault="00944F61" w14:paraId="00100028" w14:textId="00100029">
      <w:pPr>
        <w:pStyle w:val="TOC2"/>
        <w:tabs>
          <w:tab w:val="right" w:leader="dot" w:pos="9868"/>
        </w:tabs>
        <w:rPr>
          <w:noProof/>
        </w:rPr>
      </w:pPr>
      <w:hyperlink w:history="1" w:anchor="_Toc235642767">
        <w:r w:rsidRPr="00D53C0D">
          <w:rPr>
            <w:rStyle w:val="Hyperlink"/>
            <w:noProof/>
          </w:rPr>
          <w:t>Management Outlook</w:t>
        </w:r>
        <w:r>
          <w:rPr>
            <w:noProof/>
          </w:rPr>
          <w:tab/>
        </w:r>
        <w:r>
          <w:rPr>
            <w:noProof/>
          </w:rPr>
          <w:fldChar w:fldCharType="begin"/>
        </w:r>
        <w:r>
          <w:rPr>
            <w:noProof/>
          </w:rPr>
          <w:instrText xml:space="preserve"> PAGEREF _Toc235642767 \h </w:instrText>
        </w:r>
        <w:r>
          <w:rPr>
            <w:noProof/>
          </w:rPr>
        </w:r>
        <w:r>
          <w:rPr>
            <w:noProof/>
          </w:rPr>
          <w:fldChar w:fldCharType="separate"/>
        </w:r>
        <w:r>
          <w:rPr>
            <w:noProof/>
          </w:rPr>
          <w:t>6</w:t>
        </w:r>
        <w:r>
          <w:rPr>
            <w:noProof/>
          </w:rPr>
          <w:fldChar w:fldCharType="end"/>
        </w:r>
      </w:hyperlink>
    </w:p>
    <w:p w:rsidR="00CD1881" w:rsidRDefault="008F0730" w14:paraId="0010002A" w14:textId="0010002B">
      <w:r>
        <w:fldChar w:fldCharType="end"/>
      </w:r>
    </w:p>
    <w:p w:rsidR="00CD1881" w:rsidRDefault="008F0730" w14:paraId="0010002C" w14:textId="0010002D">
      <w:pPr>
        <w:pStyle w:val="Heading1"/>
      </w:pPr>
      <w:bookmarkStart w:name="_Toc235642755" w:id="0"/>
      <w:r>
        <w:lastRenderedPageBreak/>
        <w:t>1. Project Context</w:t>
      </w:r>
      <w:bookmarkEnd w:id="0"/>
    </w:p>
    <w:p w:rsidR="00CD1881" w:rsidRDefault="008F0730" w14:paraId="0010002E" w14:textId="0010002F">
      <w:pPr>
        <w:ind w:firstLine="440" w:firstLineChars="200"/>
        <w:jc w:val="both"/>
      </w:pPr>
      <w:r>
        <w:t>Riverside Renovation is transitioning from demolition and structural stabilization into coordinated framing and building-systems work. Interior demolition is complete, structural repairs are approximately 80% complete, and framing is advancing against the released floor-by-floor sequence. The delivery challenge is now the disciplined conversion of verified conditions into buildable work packages without reopening completed areas.</w:t>
      </w:r>
    </w:p>
    <w:p w:rsidR="00CD1881" w:rsidRDefault="008F0730" w14:paraId="00100030" w14:textId="00100031">
      <w:pPr>
        <w:pStyle w:val="Heading2"/>
      </w:pPr>
      <w:bookmarkStart w:name="_Toc235642756" w:id="1"/>
      <w:r>
        <w:t>Current Delivery Position</w:t>
      </w:r>
      <w:bookmarkEnd w:id="1"/>
    </w:p>
    <w:p w:rsidR="00CD1881" w:rsidRDefault="008F0730" w14:paraId="00100032" w14:textId="00100033">
      <w:pPr>
        <w:ind w:firstLine="440" w:firstLineChars="200"/>
        <w:jc w:val="both"/>
      </w:pPr>
      <w:r>
        <w:t>Near-term value depends on protecting the MEP coordination review, closing structural punch items, and releasing rough-in packages in the correct zones. These tasks are tightly coupled: late design decisions create field rework, while premature release can consume contingency and disrupt tenant access. The strategy therefore treats information readiness as a production constraint equal to labor, materials, and space.</w:t>
      </w:r>
    </w:p>
    <w:p w:rsidR="00CD1881" w:rsidRDefault="008F0730" w14:paraId="00100034" w14:textId="00100035">
      <w:pPr>
        <w:pStyle w:val="Heading2"/>
      </w:pPr>
      <w:bookmarkStart w:name="_Toc235642757" w:id="2"/>
      <w:r>
        <w:t>Operating Constraints</w:t>
      </w:r>
      <w:bookmarkEnd w:id="2"/>
    </w:p>
    <w:p w:rsidR="00CD1881" w:rsidRDefault="008F0730" w14:paraId="00100036" w14:textId="00100037">
      <w:pPr>
        <w:ind w:firstLine="440" w:firstLineChars="200"/>
        <w:jc w:val="both"/>
      </w:pPr>
      <w:r>
        <w:t>The site remains partially occupied, so access routes, noisy-work windows, and life-safety controls must remain stable while construction fronts move. Hidden utility conflicts and long-lead fixtures remain the principal execution constraints. Weekly look-ahead planning pairs a six-week constraint log with two-week crew commitments, allowing leadership to distinguish unresolved prerequisites from true productivity loss.</w:t>
      </w:r>
    </w:p>
    <w:p w:rsidR="00CD1881" w:rsidRDefault="008F0730" w14:paraId="00100038" w14:textId="00100039">
      <w:pPr>
        <w:pStyle w:val="Heading1"/>
      </w:pPr>
      <w:bookmarkStart w:name="_Toc235642758" w:id="3"/>
      <w:r>
        <w:lastRenderedPageBreak/>
        <w:t>2. Delivery Strategy</w:t>
      </w:r>
      <w:bookmarkEnd w:id="3"/>
    </w:p>
    <w:p w:rsidR="00CD1881" w:rsidRDefault="008F0730" w14:paraId="0010003A" w14:textId="0010003B">
      <w:pPr>
        <w:ind w:firstLine="440" w:firstLineChars="200"/>
        <w:jc w:val="both"/>
      </w:pPr>
      <w:r>
        <w:t>The delivery strategy organizes work into controlled zones that progress from verified scope to ready-for-install release, installation, inspection, and closure. Each zone has an accountable owner and a definition of ready; no package enters production without coordinated drawings, confirmed access, material availability, and an approved inspection path. This reduces work in progress and prevents teams from masking unresolved constraints with premature starts.</w:t>
      </w:r>
    </w:p>
    <w:p w:rsidR="00CD1881" w:rsidRDefault="008F0730" w14:paraId="0010003C" w14:textId="0010003D">
      <w:pPr>
        <w:pStyle w:val="Heading2"/>
      </w:pPr>
      <w:bookmarkStart w:name="_Toc235642759" w:id="4"/>
      <w:r>
        <w:t>Sequenced Workfronts</w:t>
      </w:r>
      <w:bookmarkEnd w:id="4"/>
    </w:p>
    <w:p w:rsidR="00CD1881" w:rsidRDefault="008F0730" w14:paraId="0010003E" w14:textId="0010003F">
      <w:pPr>
        <w:ind w:firstLine="440" w:firstLineChars="200"/>
        <w:jc w:val="both"/>
      </w:pPr>
      <w:r>
        <w:t>Structural completion remains the first gate, followed by framing closure and MEP rough-in. Exterior and weather-sensitive tasks are resequenced around forecast risk so interior crews can maintain flow. Daily coordination resolves same-day interface questions, while the weekly control meeting decides scope, schedule, and contingency actions that exceed the authority of a single workstream.</w:t>
      </w:r>
    </w:p>
    <w:p w:rsidR="00CD1881" w:rsidRDefault="008F0730" w14:paraId="00100040" w14:textId="00100041">
      <w:pPr>
        <w:ind w:firstLine="440" w:firstLineChars="200"/>
        <w:jc w:val="both"/>
      </w:pPr>
      <w:r>
        <w:t>Decision rights follow the work. Package owners can resolve means-and-methods issues within approved scope; the Project Delivery Office governs changes to baseline cost, milestone dates, or access commitments. Decisions are time-boxed and recorded with an owner, due date, and evidence requirement so unresolved questions do not circulate between design, procurement, and field teams.</w:t>
      </w:r>
    </w:p>
    <w:p w:rsidR="00CD1881" w:rsidRDefault="008F0730" w14:paraId="00100042" w14:textId="00100043">
      <w:pPr>
        <w:pStyle w:val="Heading2"/>
      </w:pPr>
      <w:bookmarkStart w:name="_Toc235642760" w:id="5"/>
      <w:r>
        <w:t>Milestones and Controls</w:t>
      </w:r>
      <w:bookmarkEnd w:id="5"/>
    </w:p>
    <w:p w:rsidR="00CD1881" w:rsidRDefault="008F0730" w14:paraId="00100044" w14:textId="00100045">
      <w:pPr>
        <w:ind w:firstLine="440" w:firstLineChars="200"/>
      </w:pPr>
      <w:r>
        <w:t>The following control points convert the strategy into auditable release decisions. Each milestone requires objective evidence before the next workfront is authorized.</w:t>
      </w:r>
    </w:p>
    <w:tbl>
      <w:tblPr>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90" w:type="dxa"/>
          <w:left w:w="90" w:type="dxa"/>
          <w:bottom w:w="90" w:type="dxa"/>
          <w:right w:w="90" w:type="dxa"/>
        </w:tblCellMar>
        <w:tblLook w:val="04A0" w:firstRow="1" w:lastRow="0" w:firstColumn="1" w:lastColumn="0" w:noHBand="0" w:noVBand="1"/>
        <w:tblCaption w:val="Riverside Renovation milestone control table"/>
        <w:tblDescription w:val="Project control points, dates, owners, and required evidence"/>
      </w:tblPr>
      <w:tblGrid>
        <w:gridCol w:w="1700"/>
        <w:gridCol w:w="1300"/>
        <w:gridCol w:w="1400"/>
        <w:gridCol w:w="2800"/>
      </w:tblGrid>
      <w:tr w:rsidR="00CD1881">
        <w:trPr>
          <w:cantSplit/>
          <w:tblHeader/>
          <w:jc w:val="center"/>
        </w:trPr>
        <w:tc>
          <w:tcPr>
            <w:tcW w:w="1700" w:type="dxa"/>
            <w:shd w:val="clear" w:color="auto" w:fill="1F4E79"/>
            <w:vAlign w:val="center"/>
          </w:tcPr>
          <w:p w:rsidR="00CD1881" w:rsidRDefault="008F0730" w14:paraId="00100046" w14:textId="00100047">
            <w:pPr>
              <w:rPr>
                <w:b/>
                <w:color w:val="FFFFFF"/>
                <w:sz w:val="18"/>
              </w:rPr>
            </w:pPr>
            <w:r>
              <w:rPr>
                <w:b/>
                <w:color w:val="FFFFFF"/>
                <w:sz w:val="18"/>
              </w:rPr>
              <w:t>Control point</w:t>
            </w:r>
          </w:p>
        </w:tc>
        <w:tc>
          <w:tcPr>
            <w:tcW w:w="1300" w:type="dxa"/>
            <w:shd w:val="clear" w:color="auto" w:fill="1F4E79"/>
            <w:vAlign w:val="center"/>
          </w:tcPr>
          <w:p w:rsidR="00CD1881" w:rsidRDefault="008F0730" w14:paraId="00100048" w14:textId="00100049">
            <w:pPr>
              <w:jc w:val="center"/>
              <w:rPr>
                <w:b/>
                <w:color w:val="FFFFFF"/>
                <w:sz w:val="18"/>
              </w:rPr>
            </w:pPr>
            <w:r>
              <w:rPr>
                <w:b/>
                <w:color w:val="FFFFFF"/>
                <w:sz w:val="18"/>
              </w:rPr>
              <w:t>Target</w:t>
            </w:r>
          </w:p>
        </w:tc>
        <w:tc>
          <w:tcPr>
            <w:tcW w:w="1400" w:type="dxa"/>
            <w:shd w:val="clear" w:color="auto" w:fill="1F4E79"/>
            <w:vAlign w:val="center"/>
          </w:tcPr>
          <w:p w:rsidR="00CD1881" w:rsidRDefault="008F0730" w14:paraId="0010004A" w14:textId="0010004B">
            <w:pPr>
              <w:rPr>
                <w:b/>
                <w:color w:val="FFFFFF"/>
                <w:sz w:val="18"/>
              </w:rPr>
            </w:pPr>
            <w:r>
              <w:rPr>
                <w:b/>
                <w:color w:val="FFFFFF"/>
                <w:sz w:val="18"/>
              </w:rPr>
              <w:t>Owner</w:t>
            </w:r>
          </w:p>
        </w:tc>
        <w:tc>
          <w:tcPr>
            <w:tcW w:w="2800" w:type="dxa"/>
            <w:shd w:val="clear" w:color="auto" w:fill="1F4E79"/>
            <w:vAlign w:val="center"/>
          </w:tcPr>
          <w:p w:rsidR="00CD1881" w:rsidRDefault="008F0730" w14:paraId="0010004C" w14:textId="0010004D">
            <w:pPr>
              <w:rPr>
                <w:b/>
                <w:color w:val="FFFFFF"/>
                <w:sz w:val="18"/>
              </w:rPr>
            </w:pPr>
            <w:r>
              <w:rPr>
                <w:b/>
                <w:color w:val="FFFFFF"/>
                <w:sz w:val="18"/>
              </w:rPr>
              <w:t>Required evidence</w:t>
            </w:r>
          </w:p>
        </w:tc>
      </w:tr>
      <w:tr w:rsidR="00CD1881">
        <w:trPr>
          <w:cantSplit/>
          <w:jc w:val="center"/>
        </w:trPr>
        <w:tc>
          <w:tcPr>
            <w:tcW w:w="1700" w:type="dxa"/>
            <w:vAlign w:val="center"/>
          </w:tcPr>
          <w:p w:rsidR="00CD1881" w:rsidRDefault="008F0730" w14:paraId="0010004E" w14:textId="0010004F">
            <w:pPr>
              <w:rPr>
                <w:sz w:val="18"/>
              </w:rPr>
            </w:pPr>
            <w:r>
              <w:rPr>
                <w:sz w:val="18"/>
              </w:rPr>
              <w:t>Design and procurement freeze</w:t>
            </w:r>
          </w:p>
        </w:tc>
        <w:tc>
          <w:tcPr>
            <w:tcW w:w="1300" w:type="dxa"/>
            <w:vAlign w:val="center"/>
          </w:tcPr>
          <w:p w:rsidR="00CD1881" w:rsidRDefault="008F0730" w14:paraId="00100050" w14:textId="00100051">
            <w:pPr>
              <w:jc w:val="center"/>
              <w:rPr>
                <w:sz w:val="18"/>
              </w:rPr>
            </w:pPr>
            <w:r>
              <w:rPr>
                <w:sz w:val="18"/>
              </w:rPr>
              <w:t>31 Jul 2026</w:t>
            </w:r>
          </w:p>
        </w:tc>
        <w:tc>
          <w:tcPr>
            <w:tcW w:w="1400" w:type="dxa"/>
            <w:vAlign w:val="center"/>
          </w:tcPr>
          <w:p w:rsidR="00CD1881" w:rsidRDefault="008F0730" w14:paraId="00100052" w14:textId="00100053">
            <w:pPr>
              <w:rPr>
                <w:sz w:val="18"/>
              </w:rPr>
            </w:pPr>
            <w:r>
              <w:rPr>
                <w:sz w:val="18"/>
              </w:rPr>
              <w:t>Delivery Lead</w:t>
            </w:r>
          </w:p>
        </w:tc>
        <w:tc>
          <w:tcPr>
            <w:tcW w:w="2800" w:type="dxa"/>
            <w:vAlign w:val="center"/>
          </w:tcPr>
          <w:p w:rsidR="00CD1881" w:rsidRDefault="008F0730" w14:paraId="00100054" w14:textId="00100055">
            <w:pPr>
              <w:rPr>
                <w:sz w:val="18"/>
              </w:rPr>
            </w:pPr>
            <w:r>
              <w:rPr>
                <w:sz w:val="18"/>
              </w:rPr>
              <w:t>Approved scope matrix and released purchase orders</w:t>
            </w:r>
          </w:p>
        </w:tc>
      </w:tr>
      <w:tr w:rsidR="00CD1881">
        <w:trPr>
          <w:cantSplit/>
          <w:jc w:val="center"/>
        </w:trPr>
        <w:tc>
          <w:tcPr>
            <w:tcW w:w="1700" w:type="dxa"/>
            <w:shd w:val="clear" w:color="auto" w:fill="EAF2F8"/>
            <w:vAlign w:val="center"/>
          </w:tcPr>
          <w:p w:rsidR="00CD1881" w:rsidRDefault="008F0730" w14:paraId="00100056" w14:textId="00100057">
            <w:pPr>
              <w:rPr>
                <w:sz w:val="18"/>
              </w:rPr>
            </w:pPr>
            <w:r>
              <w:rPr>
                <w:sz w:val="18"/>
              </w:rPr>
              <w:t>Structural repairs complete</w:t>
            </w:r>
          </w:p>
        </w:tc>
        <w:tc>
          <w:tcPr>
            <w:tcW w:w="1300" w:type="dxa"/>
            <w:shd w:val="clear" w:color="auto" w:fill="EAF2F8"/>
            <w:vAlign w:val="center"/>
          </w:tcPr>
          <w:p w:rsidR="00CD1881" w:rsidRDefault="008F0730" w14:paraId="00100058" w14:textId="00100059">
            <w:pPr>
              <w:jc w:val="center"/>
              <w:rPr>
                <w:sz w:val="18"/>
              </w:rPr>
            </w:pPr>
            <w:r>
              <w:rPr>
                <w:sz w:val="18"/>
              </w:rPr>
              <w:t>15 Aug 2026</w:t>
            </w:r>
          </w:p>
        </w:tc>
        <w:tc>
          <w:tcPr>
            <w:tcW w:w="1400" w:type="dxa"/>
            <w:shd w:val="clear" w:color="auto" w:fill="EAF2F8"/>
            <w:vAlign w:val="center"/>
          </w:tcPr>
          <w:p w:rsidR="00CD1881" w:rsidRDefault="008F0730" w14:paraId="0010005A" w14:textId="0010005B">
            <w:pPr>
              <w:rPr>
                <w:sz w:val="18"/>
              </w:rPr>
            </w:pPr>
            <w:r>
              <w:rPr>
                <w:sz w:val="18"/>
              </w:rPr>
              <w:t>Site Manager</w:t>
            </w:r>
          </w:p>
        </w:tc>
        <w:tc>
          <w:tcPr>
            <w:tcW w:w="2800" w:type="dxa"/>
            <w:shd w:val="clear" w:color="auto" w:fill="EAF2F8"/>
            <w:vAlign w:val="center"/>
          </w:tcPr>
          <w:p w:rsidR="00CD1881" w:rsidRDefault="008F0730" w14:paraId="0010005C" w14:textId="0010005D">
            <w:pPr>
              <w:rPr>
                <w:sz w:val="18"/>
              </w:rPr>
            </w:pPr>
            <w:r>
              <w:rPr>
                <w:sz w:val="18"/>
              </w:rPr>
              <w:t>Signed inspection checklist and closure photographs</w:t>
            </w:r>
          </w:p>
        </w:tc>
      </w:tr>
      <w:tr w:rsidR="00CD1881">
        <w:trPr>
          <w:cantSplit/>
          <w:jc w:val="center"/>
        </w:trPr>
        <w:tc>
          <w:tcPr>
            <w:tcW w:w="1700" w:type="dxa"/>
            <w:vAlign w:val="center"/>
          </w:tcPr>
          <w:p w:rsidR="00CD1881" w:rsidRDefault="008F0730" w14:paraId="0010005E" w14:textId="0010005F">
            <w:pPr>
              <w:rPr>
                <w:sz w:val="18"/>
              </w:rPr>
            </w:pPr>
            <w:r>
              <w:rPr>
                <w:sz w:val="18"/>
              </w:rPr>
              <w:t>MEP rough-in release</w:t>
            </w:r>
          </w:p>
        </w:tc>
        <w:tc>
          <w:tcPr>
            <w:tcW w:w="1300" w:type="dxa"/>
            <w:vAlign w:val="center"/>
          </w:tcPr>
          <w:p w:rsidR="00CD1881" w:rsidRDefault="008F0730" w14:paraId="00100060" w14:textId="00100061">
            <w:pPr>
              <w:jc w:val="center"/>
              <w:rPr>
                <w:sz w:val="18"/>
              </w:rPr>
            </w:pPr>
            <w:r>
              <w:rPr>
                <w:sz w:val="18"/>
              </w:rPr>
              <w:t>12 Sep 2026</w:t>
            </w:r>
          </w:p>
        </w:tc>
        <w:tc>
          <w:tcPr>
            <w:tcW w:w="1400" w:type="dxa"/>
            <w:vAlign w:val="center"/>
          </w:tcPr>
          <w:p w:rsidR="00CD1881" w:rsidRDefault="008F0730" w14:paraId="00100062" w14:textId="00100063">
            <w:pPr>
              <w:rPr>
                <w:sz w:val="18"/>
              </w:rPr>
            </w:pPr>
            <w:r>
              <w:rPr>
                <w:sz w:val="18"/>
              </w:rPr>
              <w:t>MEP Lead</w:t>
            </w:r>
          </w:p>
        </w:tc>
        <w:tc>
          <w:tcPr>
            <w:tcW w:w="2800" w:type="dxa"/>
            <w:vAlign w:val="center"/>
          </w:tcPr>
          <w:p w:rsidR="00CD1881" w:rsidRDefault="008F0730" w14:paraId="00100064" w14:textId="00100065">
            <w:pPr>
              <w:rPr>
                <w:sz w:val="18"/>
              </w:rPr>
            </w:pPr>
            <w:r>
              <w:rPr>
                <w:sz w:val="18"/>
              </w:rPr>
              <w:t>Coordinated drawings and open-interface log</w:t>
            </w:r>
          </w:p>
        </w:tc>
      </w:tr>
      <w:tr w:rsidR="00CD1881">
        <w:trPr>
          <w:cantSplit/>
          <w:jc w:val="center"/>
        </w:trPr>
        <w:tc>
          <w:tcPr>
            <w:tcW w:w="1700" w:type="dxa"/>
            <w:shd w:val="clear" w:color="auto" w:fill="EAF2F8"/>
            <w:vAlign w:val="center"/>
          </w:tcPr>
          <w:p w:rsidR="00CD1881" w:rsidRDefault="008F0730" w14:paraId="00100066" w14:textId="00100067">
            <w:pPr>
              <w:rPr>
                <w:sz w:val="18"/>
              </w:rPr>
            </w:pPr>
            <w:r>
              <w:rPr>
                <w:sz w:val="18"/>
              </w:rPr>
              <w:t>Readiness and handover review</w:t>
            </w:r>
          </w:p>
        </w:tc>
        <w:tc>
          <w:tcPr>
            <w:tcW w:w="1300" w:type="dxa"/>
            <w:shd w:val="clear" w:color="auto" w:fill="EAF2F8"/>
            <w:vAlign w:val="center"/>
          </w:tcPr>
          <w:p w:rsidR="00CD1881" w:rsidRDefault="008F0730" w14:paraId="00100068" w14:textId="00100069">
            <w:pPr>
              <w:jc w:val="center"/>
              <w:rPr>
                <w:sz w:val="18"/>
              </w:rPr>
            </w:pPr>
            <w:r>
              <w:rPr>
                <w:sz w:val="18"/>
              </w:rPr>
              <w:t>03 Oct 2026</w:t>
            </w:r>
          </w:p>
        </w:tc>
        <w:tc>
          <w:tcPr>
            <w:tcW w:w="1400" w:type="dxa"/>
            <w:shd w:val="clear" w:color="auto" w:fill="EAF2F8"/>
            <w:vAlign w:val="center"/>
          </w:tcPr>
          <w:p w:rsidR="00CD1881" w:rsidRDefault="008F0730" w14:paraId="0010006A" w14:textId="0010006B">
            <w:pPr>
              <w:rPr>
                <w:sz w:val="18"/>
              </w:rPr>
            </w:pPr>
            <w:r>
              <w:rPr>
                <w:sz w:val="18"/>
              </w:rPr>
              <w:t>Project Director</w:t>
            </w:r>
          </w:p>
        </w:tc>
        <w:tc>
          <w:tcPr>
            <w:tcW w:w="2800" w:type="dxa"/>
            <w:shd w:val="clear" w:color="auto" w:fill="EAF2F8"/>
            <w:vAlign w:val="center"/>
          </w:tcPr>
          <w:p w:rsidR="00CD1881" w:rsidRDefault="008F0730" w14:paraId="0010006C" w14:textId="0010006D">
            <w:pPr>
              <w:rPr>
                <w:sz w:val="18"/>
              </w:rPr>
            </w:pPr>
            <w:r>
              <w:rPr>
                <w:sz w:val="18"/>
              </w:rPr>
              <w:t>Commissioning plan, punch list, and owner acceptance criteria</w:t>
            </w:r>
          </w:p>
        </w:tc>
      </w:tr>
    </w:tbl>
    <w:p w:rsidR="00CD1881" w:rsidRDefault="008F0730" w14:paraId="0010006E" w14:textId="0010006F">
      <w:pPr>
        <w:spacing w:before="100"/>
        <w:ind w:firstLine="440" w:firstLineChars="200"/>
      </w:pPr>
      <w:r>
        <w:t>Milestone status is reported as not ready, ready with conditions, or released. Conditional release is time-limited and identifies the residual risk, approving authority, and date by which the condition will be removed.</w:t>
      </w:r>
    </w:p>
    <w:p w:rsidR="00CD1881" w:rsidRDefault="008F0730" w14:paraId="00100070" w14:textId="00100071">
      <w:pPr>
        <w:pStyle w:val="Heading1"/>
      </w:pPr>
      <w:bookmarkStart w:name="_Toc235642761" w:id="6"/>
      <w:r>
        <w:lastRenderedPageBreak/>
        <w:t>3. Budget Controls</w:t>
      </w:r>
      <w:bookmarkEnd w:id="6"/>
    </w:p>
    <w:p w:rsidR="00CD1881" w:rsidRDefault="008F0730" w14:paraId="00100072" w14:textId="00100073">
      <w:pPr>
        <w:ind w:firstLine="440" w:firstLineChars="200"/>
        <w:jc w:val="both"/>
      </w:pPr>
      <w:r>
        <w:t>The budget control framework links the cost baseline to the same work packages used for planning and field release. Commitments, approved changes, forecast to complete, and contingency draws are reconciled weekly at cost-code level. This creates a single version of the forecast and prevents unapproved field direction from being buried in general progress.</w:t>
      </w:r>
    </w:p>
    <w:p w:rsidR="00CD1881" w:rsidRDefault="008F0730" w14:paraId="00100074" w14:textId="00100075">
      <w:pPr>
        <w:pStyle w:val="Heading2"/>
      </w:pPr>
      <w:bookmarkStart w:name="_Toc235642762" w:id="7"/>
      <w:r>
        <w:t>Control Baseline</w:t>
      </w:r>
      <w:bookmarkEnd w:id="7"/>
    </w:p>
    <w:p w:rsidR="00CD1881" w:rsidRDefault="008F0730" w14:paraId="00100076" w14:textId="00100077">
      <w:pPr>
        <w:ind w:firstLine="440" w:firstLineChars="200"/>
        <w:jc w:val="both"/>
      </w:pPr>
      <w:r>
        <w:t>Every potential change receives a cause code, responsible owner, rough-order cost, schedule consequence, and decision date within two business days of discovery. The Project Delivery Office maintains separate logs for committed cost, pending exposure, and management reserve. Forecast movement is supported by quantities, supplier quotations, labor production, or approved scope decisions.</w:t>
      </w:r>
    </w:p>
    <w:p w:rsidR="00CD1881" w:rsidRDefault="008F0730" w14:paraId="00100078" w14:textId="00100079">
      <w:pPr>
        <w:ind w:firstLine="440" w:firstLineChars="200"/>
        <w:jc w:val="both"/>
      </w:pPr>
      <w:r>
        <w:t>Three thresholds trigger escalation: a work-package forecast increase above 2%, contingency consumption ahead of physical progress, or an unresolved exposure older than ten business days. Corrective action may include scope clarification, procurement substitution, resequencing, or a documented draw from contingency; it may not rely on optimistic productivity assumptions.</w:t>
      </w:r>
    </w:p>
    <w:p w:rsidR="00CD1881" w:rsidRDefault="008F0730" w14:paraId="0010007A" w14:textId="0010007B">
      <w:pPr>
        <w:pStyle w:val="Heading2"/>
      </w:pPr>
      <w:bookmarkStart w:name="_Toc235642763" w:id="8"/>
      <w:r>
        <w:t>Cost Variance Metric</w:t>
      </w:r>
      <w:bookmarkEnd w:id="8"/>
    </w:p>
    <w:p w:rsidR="00CD1881" w:rsidRDefault="008F0730" w14:paraId="0010007C" w14:textId="0010007D">
      <w:pPr>
        <w:ind w:firstLine="440" w:firstLineChars="200"/>
      </w:pPr>
      <w:r>
        <w:t>Cost variance provides a direct check on whether delivered value is keeping pace with expenditure. The control team calculates the metric at work-package level before rolling it into the project forecast.</w:t>
      </w:r>
    </w:p>
    <w:p w:rsidR="00CD1881" w:rsidRDefault="008F0730" w14:paraId="0010007E" w14:textId="0010007F">
      <m:oMathPara>
        <m:oMath>
          <m:r>
            <w:rPr>
              <w:rFonts w:ascii="Cambria Math" w:hAnsi="Cambria Math"/>
            </w:rPr>
            <m:t>CV</m:t>
          </m:r>
          <m:r>
            <w:rPr>
              <w:rFonts w:ascii="Cambria Math" w:hAnsi="Cambria Math"/>
            </w:rPr>
            <m:t xml:space="preserve"> = </m:t>
          </m:r>
          <m:r>
            <w:rPr>
              <w:rFonts w:ascii="Cambria Math" w:hAnsi="Cambria Math"/>
            </w:rPr>
            <m:t>EV</m:t>
          </m:r>
          <m:r>
            <w:rPr>
              <w:rFonts w:ascii="Cambria Math" w:hAnsi="Cambria Math"/>
            </w:rPr>
            <m:t xml:space="preserve"> - </m:t>
          </m:r>
          <m:r>
            <w:rPr>
              <w:rFonts w:ascii="Cambria Math" w:hAnsi="Cambria Math"/>
            </w:rPr>
            <m:t>AC</m:t>
          </m:r>
        </m:oMath>
      </m:oMathPara>
    </w:p>
    <w:p w:rsidR="00CD1881" w:rsidRDefault="008F0730" w14:paraId="00100080" w14:textId="00100081">
      <w:pPr>
        <w:ind w:firstLine="440" w:firstLineChars="200"/>
        <w:jc w:val="both"/>
      </w:pPr>
      <w:r>
        <w:t>Earned Value (EV) is the budgeted value of verified work completed, and Actual Cost (AC) is the cost incurred for that work. A positive Cost Variance (CV) indicates favorable cost performance; a negative value signals that expenditure is running ahead of earned progress.</w:t>
      </w:r>
    </w:p>
    <w:p w:rsidR="00CD1881" w:rsidRDefault="008F0730" w14:paraId="00100082" w14:textId="00100083">
      <w:pPr>
        <w:ind w:firstLine="440" w:firstLineChars="200"/>
        <w:jc w:val="both"/>
      </w:pPr>
      <w:r>
        <w:t>The metric is interpreted with schedule and exposure data rather than in isolation. A favorable variance created by deferred invoices or unrecorded commitments is not treated as savings. The forecast is adjusted only when the underlying quantity, rate, productivity, or scope evidence supports the change.</w:t>
      </w:r>
    </w:p>
    <w:p w:rsidR="00CD1881" w:rsidRDefault="008F0730" w14:paraId="00100084" w14:textId="00100085">
      <w:pPr>
        <w:pStyle w:val="Heading1"/>
      </w:pPr>
      <w:bookmarkStart w:name="_Toc235642764" w:id="9"/>
      <w:r>
        <w:lastRenderedPageBreak/>
        <w:t>4. Risk and Performance Outlook</w:t>
      </w:r>
      <w:bookmarkEnd w:id="9"/>
    </w:p>
    <w:p w:rsidR="00CD1881" w:rsidRDefault="008F0730" w14:paraId="00100086" w14:textId="00100087">
      <w:pPr>
        <w:ind w:firstLine="440" w:firstLineChars="200"/>
        <w:jc w:val="both"/>
      </w:pPr>
      <w:r>
        <w:t>The current outlook is controllable but depends on closing coordination decisions before rough-in activity peaks. Schedule confidence is strongest where work packages have complete design, verified field conditions, and material on hand; it is weakest at interfaces involving concealed utilities, tenant access, and weather-sensitive exterior work. The control response is to make those interfaces visible early and hold contingency for defined events.</w:t>
      </w:r>
    </w:p>
    <w:p w:rsidR="00CD1881" w:rsidRDefault="008F0730" w14:paraId="00100088" w14:textId="00100089">
      <w:pPr>
        <w:pStyle w:val="Heading2"/>
      </w:pPr>
      <w:bookmarkStart w:name="_Toc235642765" w:id="10"/>
      <w:r>
        <w:t>Leading Indicators</w:t>
      </w:r>
      <w:bookmarkEnd w:id="10"/>
    </w:p>
    <w:p w:rsidR="00CD1881" w:rsidRDefault="008F0730" w14:paraId="0010008A" w14:textId="0010008B">
      <w:pPr>
        <w:ind w:firstLine="440" w:firstLineChars="200"/>
        <w:jc w:val="both"/>
      </w:pPr>
      <w:r>
        <w:t>Management will track constraint aging, planned-percent-complete, rework hours, open requests for information, procurement promise reliability, safety observations, and cost exposure. Trend is more important than a single weekly value: two consecutive declines in plan reliability or a rising backlog of unresolved constraints prompts focused recovery planning before the headline schedule moves.</w:t>
      </w:r>
    </w:p>
    <w:p w:rsidR="00CD1881" w:rsidRDefault="008F0730" w14:paraId="0010008C" w14:textId="0010008D">
      <w:pPr>
        <w:pStyle w:val="Heading2"/>
      </w:pPr>
      <w:bookmarkStart w:name="_Toc235642766" w:id="11"/>
      <w:r>
        <w:t>Performance Trajectory</w:t>
      </w:r>
      <w:bookmarkEnd w:id="11"/>
    </w:p>
    <w:p w:rsidR="00CD1881" w:rsidRDefault="008F0730" w14:paraId="0010008E" w14:textId="0010008F">
      <w:pPr>
        <w:ind w:firstLine="440" w:firstLineChars="200"/>
      </w:pPr>
      <w:r>
        <w:t>The chart compares planned and reported progress across the major work packages. The data is maintained as part of the weekly control cycle and focuses recovery on the interfaces that constrain downstream release.</w:t>
      </w:r>
    </w:p>
    <w:p w:rsidR="00CD1881" w:rsidRDefault="008F0730" w14:paraId="00100090" w14:textId="00100091">
      <w:r>
        <w:rPr>
          <w:noProof/>
        </w:rPr>
        <w:drawing>
          <wp:inline distT="0" distB="0" distL="0" distR="0">
            <wp:extent cx="5669280" cy="3017520"/>
            <wp:effectExtent l="0" t="0" r="0" b="0"/>
            <wp:docPr id="1" name="Work Package Progress: Plan vs Actu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CD1881" w:rsidRDefault="008F0730" w14:paraId="00100092" w14:textId="00100093">
      <w:pPr>
        <w:pStyle w:val="Heading2"/>
      </w:pPr>
      <w:bookmarkStart w:name="_Toc235642767" w:id="12"/>
      <w:r>
        <w:t>Management Outlook</w:t>
      </w:r>
      <w:bookmarkEnd w:id="12"/>
    </w:p>
    <w:p w:rsidR="00CD1881" w:rsidRDefault="008F0730" w14:paraId="00100094" w14:textId="00100095">
      <w:pPr>
        <w:ind w:firstLine="440" w:firstLineChars="200"/>
        <w:jc w:val="both"/>
      </w:pPr>
      <w:r>
        <w:t>Demolition is complete, structural repair remains five points behind plan, and downstream framing and MEP activities show a modest lag. Recovery should concentrate on closing structural inspections and freezing MEP interfaces; accelerating later packages before those gates are ready would increase rework rather than improve the completion forecast. With disciplined release gates, weekly exposure review, and prompt decisions on access and procurement, the project can absorb the current variance without surre</w:t>
      </w:r>
      <w:r>
        <w:t>ndering the handover objective.</w:t>
      </w:r>
    </w:p>
    <w:sectPr w:rsidR="00CD1881">
      <w:headerReference w:type="default" r:id="rId7"/>
      <w:footerReference w:type="default" r:id="rId8"/>
      <w:headerReference w:type="first" r:id="rId9"/>
      <w:footerReference w:type="first" r:id="rId10"/>
      <w:pgSz w:w="12240" w:h="15840"/>
      <w:pgMar w:top="1080" w:right="1181" w:bottom="1037" w:left="1181" w:header="504" w:footer="54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0730" w:rsidRDefault="008F0730" w14:paraId="001000A2" w14:textId="001000A3">
      <w:pPr>
        <w:spacing w:after="0" w:line="240" w:lineRule="auto"/>
      </w:pPr>
      <w:r>
        <w:separator/>
      </w:r>
    </w:p>
  </w:endnote>
  <w:endnote w:type="continuationSeparator" w:id="0">
    <w:p w:rsidR="008F0730" w:rsidRDefault="008F0730" w14:paraId="001000A4" w14:textId="00100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moder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881" w:rsidRDefault="008F0730" w14:paraId="0010009A" w14:textId="0010009B">
    <w:pPr>
      <w:jc w:val="center"/>
    </w:pPr>
    <w:r>
      <w:rPr>
        <w:color w:val="6B7280"/>
        <w:sz w:val="17"/>
      </w:rPr>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881" w:rsidRDefault="00CD1881" w14:paraId="0010009C" w14:textId="001000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0730" w:rsidRDefault="008F0730" w14:paraId="0010009E" w14:textId="0010009F">
      <w:pPr>
        <w:spacing w:after="0" w:line="240" w:lineRule="auto"/>
      </w:pPr>
      <w:r>
        <w:separator/>
      </w:r>
    </w:p>
  </w:footnote>
  <w:footnote w:type="continuationSeparator" w:id="0">
    <w:p w:rsidR="008F0730" w:rsidRDefault="008F0730" w14:paraId="001000A0" w14:textId="00100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881" w:rsidRDefault="008F0730" w14:paraId="00100096" w14:textId="00100097">
    <w:pPr>
      <w:jc w:val="right"/>
    </w:pPr>
    <w:r>
      <w:rPr>
        <w:b/>
        <w:color w:val="5B6770"/>
        <w:sz w:val="16"/>
      </w:rPr>
      <w:t>RIVERSIDE RENOVATION  |  DELIVERY STRATEGY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881" w:rsidRDefault="00CD1881" w14:paraId="00100098" w14:textId="0010009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881"/>
    <w:rsid w:val="008F0730"/>
    <w:rsid w:val="00944F61"/>
    <w:rsid w:val="00B33D0D"/>
    <w:rsid w:val="00CD188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C894E0-9AEA-40AB-A96E-E8FDC608B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263238"/>
        <w:sz w:val="22"/>
        <w:szCs w:val="22"/>
        <w:lang w:val="en-PH" w:eastAsia="en-PH"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ptos" w:hAnsi="Aptos" w:eastAsia="Aptos"/>
    </w:rPr>
  </w:style>
  <w:style w:type="paragraph" w:styleId="Heading1">
    <w:name w:val="heading 1"/>
    <w:basedOn w:val="Normal"/>
    <w:next w:val="Normal"/>
    <w:uiPriority w:val="9"/>
    <w:qFormat/>
    <w:pPr>
      <w:keepNext/>
      <w:keepLines/>
      <w:pageBreakBefore/>
      <w:spacing w:before="320" w:after="140"/>
      <w:outlineLvl w:val="0"/>
    </w:pPr>
    <w:rPr>
      <w:rFonts w:ascii="Aptos Display" w:hAnsi="Aptos Display" w:eastAsia="Aptos Display"/>
      <w:b/>
      <w:color w:val="1F4E79"/>
      <w:sz w:val="40"/>
    </w:rPr>
  </w:style>
  <w:style w:type="paragraph" w:styleId="Heading2">
    <w:name w:val="heading 2"/>
    <w:basedOn w:val="Normal"/>
    <w:next w:val="Normal"/>
    <w:uiPriority w:val="9"/>
    <w:unhideWhenUsed/>
    <w:qFormat/>
    <w:pPr>
      <w:keepNext/>
      <w:keepLines/>
      <w:spacing w:before="200" w:after="80"/>
      <w:outlineLvl w:val="1"/>
    </w:pPr>
    <w:rPr>
      <w:rFonts w:ascii="Aptos Display" w:hAnsi="Aptos Display" w:eastAsia="Aptos Display"/>
      <w:b/>
      <w:color w:val="007C83"/>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944F61"/>
    <w:pPr>
      <w:spacing w:after="100"/>
    </w:pPr>
  </w:style>
  <w:style w:type="paragraph" w:styleId="TOC2">
    <w:name w:val="toc 2"/>
    <w:basedOn w:val="Normal"/>
    <w:next w:val="Normal"/>
    <w:autoRedefine/>
    <w:uiPriority w:val="39"/>
    <w:unhideWhenUsed/>
    <w:rsid w:val="00944F61"/>
    <w:pPr>
      <w:spacing w:after="100"/>
      <w:ind w:left="220"/>
    </w:pPr>
  </w:style>
  <w:style w:type="character" w:styleId="Hyperlink">
    <w:name w:val="Hyperlink"/>
    <w:basedOn w:val="DefaultParagraphFont"/>
    <w:uiPriority w:val="99"/>
    <w:unhideWhenUsed/>
    <w:rsid w:val="00944F6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charts/chart1.xml><?xml version="1.0" encoding="utf-8"?>
<c:chartSpace xmlns:c16="http://schemas.microsoft.com/office/drawing/2014/chart"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c:style val="2"/>
  <c:chart>
    <c:title>
      <c:tx>
        <c:rich>
          <a:bodyPr/>
          <a:lstStyle/>
          <a:p>
            <a:pPr>
              <a:defRPr sz="1400" b="1"/>
            </a:pPr>
            <a:r>
              <a:rPr lang="en-US" sz="1400" b="1"/>
              <a:t>Work Package Progress: Plan vs Actual (%)</a:t>
            </a:r>
          </a:p>
        </c:rich>
      </c:tx>
      <c:overlay val="0"/>
    </c:title>
    <c:autoTitleDeleted val="0"/>
    <c:plotArea>
      <c:layout/>
      <c:lineChart>
        <c:grouping val="standard"/>
        <c:varyColors val="0"/>
        <c:ser>
          <c:idx val="0"/>
          <c:order val="0"/>
          <c:tx>
            <c:v>Plan</c:v>
          </c:tx>
          <c:spPr>
            <a:ln w="25400">
              <a:solidFill>
                <a:srgbClr val="1F4E79"/>
              </a:solidFill>
            </a:ln>
          </c:spPr>
          <c:marker>
            <c:symbol val="circle"/>
            <c:size val="6"/>
          </c:marker>
          <c:cat>
            <c:strLit>
              <c:ptCount val="5"/>
              <c:pt idx="0">
                <c:v>Demolition</c:v>
              </c:pt>
              <c:pt idx="1">
                <c:v>Structural repair</c:v>
              </c:pt>
              <c:pt idx="2">
                <c:v>Framing</c:v>
              </c:pt>
              <c:pt idx="3">
                <c:v>MEP rough-in</c:v>
              </c:pt>
              <c:pt idx="4">
                <c:v>Closeout readiness</c:v>
              </c:pt>
            </c:strLit>
          </c:cat>
          <c:val>
            <c:numLit>
              <c:formatCode>General</c:formatCode>
              <c:ptCount val="5"/>
              <c:pt idx="0">
                <c:v>100</c:v>
              </c:pt>
              <c:pt idx="1">
                <c:v>85</c:v>
              </c:pt>
              <c:pt idx="2">
                <c:v>70</c:v>
              </c:pt>
              <c:pt idx="3">
                <c:v>40</c:v>
              </c:pt>
              <c:pt idx="4">
                <c:v>15</c:v>
              </c:pt>
            </c:numLit>
          </c:val>
          <c:smooth val="1"/>
          <c:extLst>
            <c:ext xmlns:c16="http://schemas.microsoft.com/office/drawing/2014/chart" uri="{C3380CC4-5D6E-409C-BE32-E72D297353CC}">
              <c16:uniqueId val="{00000000-B43F-46D0-B095-A95D600B1268}"/>
            </c:ext>
          </c:extLst>
        </c:ser>
        <c:ser>
          <c:idx val="1"/>
          <c:order val="1"/>
          <c:tx>
            <c:v>Actual</c:v>
          </c:tx>
          <c:spPr>
            <a:ln w="25400">
              <a:solidFill>
                <a:srgbClr val="007C83"/>
              </a:solidFill>
            </a:ln>
          </c:spPr>
          <c:marker>
            <c:symbol val="circle"/>
            <c:size val="6"/>
          </c:marker>
          <c:cat>
            <c:strLit>
              <c:ptCount val="5"/>
              <c:pt idx="0">
                <c:v>Demolition</c:v>
              </c:pt>
              <c:pt idx="1">
                <c:v>Structural repair</c:v>
              </c:pt>
              <c:pt idx="2">
                <c:v>Framing</c:v>
              </c:pt>
              <c:pt idx="3">
                <c:v>MEP rough-in</c:v>
              </c:pt>
              <c:pt idx="4">
                <c:v>Closeout readiness</c:v>
              </c:pt>
            </c:strLit>
          </c:cat>
          <c:val>
            <c:numLit>
              <c:formatCode>General</c:formatCode>
              <c:ptCount val="5"/>
              <c:pt idx="0">
                <c:v>100</c:v>
              </c:pt>
              <c:pt idx="1">
                <c:v>80</c:v>
              </c:pt>
              <c:pt idx="2">
                <c:v>65</c:v>
              </c:pt>
              <c:pt idx="3">
                <c:v>35</c:v>
              </c:pt>
              <c:pt idx="4">
                <c:v>10</c:v>
              </c:pt>
            </c:numLit>
          </c:val>
          <c:smooth val="1"/>
          <c:extLst>
            <c:ext xmlns:c16="http://schemas.microsoft.com/office/drawing/2014/chart" uri="{C3380CC4-5D6E-409C-BE32-E72D297353CC}">
              <c16:uniqueId val="{00000001-B43F-46D0-B095-A95D600B1268}"/>
            </c:ext>
          </c:extLst>
        </c:ser>
        <c:dLbls>
          <c:showLegendKey val="0"/>
          <c:showVal val="0"/>
          <c:showCatName val="0"/>
          <c:showSerName val="0"/>
          <c:showPercent val="0"/>
          <c:showBubbleSize val="0"/>
        </c:dLbls>
        <c:marker val="1"/>
        <c:smooth val="0"/>
        <c:axId val="1"/>
        <c:axId val="2"/>
      </c:lineChart>
      <c:catAx>
        <c:axId val="1"/>
        <c:scaling>
          <c:orientation val="minMax"/>
        </c:scaling>
        <c:delete val="0"/>
        <c:axPos val="b"/>
        <c:title>
          <c:tx>
            <c:rich>
              <a:bodyPr/>
              <a:lstStyle/>
              <a:p>
                <a:pPr>
                  <a:defRPr sz="1400" b="1"/>
                </a:pPr>
                <a:r>
                  <a:rPr lang="en-US" sz="1400" b="1"/>
                  <a:t>Work package</a:t>
                </a:r>
              </a:p>
            </c:rich>
          </c:tx>
          <c:overlay val="0"/>
        </c:title>
        <c:numFmt formatCode="General" sourceLinked="0"/>
        <c:majorTickMark val="out"/>
        <c:minorTickMark val="none"/>
        <c:tickLblPos val="nextTo"/>
        <c:crossAx val="2"/>
        <c:crosses val="autoZero"/>
        <c:auto val="1"/>
        <c:lblAlgn val="ctr"/>
        <c:lblOffset val="100"/>
        <c:noMultiLvlLbl val="1"/>
      </c:catAx>
      <c:valAx>
        <c:axId val="2"/>
        <c:scaling>
          <c:orientation val="minMax"/>
          <c:max val="100"/>
          <c:min val="0"/>
        </c:scaling>
        <c:delete val="0"/>
        <c:axPos val="l"/>
        <c:majorGridlines>
          <c:spPr>
            <a:ln w="6350">
              <a:solidFill>
                <a:srgbClr val="D9E2E8"/>
              </a:solidFill>
            </a:ln>
          </c:spPr>
        </c:majorGridlines>
        <c:title>
          <c:tx>
            <c:rich>
              <a:bodyPr/>
              <a:lstStyle/>
              <a:p>
                <a:pPr>
                  <a:defRPr sz="1400" b="1"/>
                </a:pPr>
                <a:r>
                  <a:rPr lang="en-US" sz="1400" b="1"/>
                  <a:t>Progress (%)</a:t>
                </a:r>
              </a:p>
            </c:rich>
          </c:tx>
          <c:overlay val="0"/>
        </c:title>
        <c:numFmt formatCode="General" sourceLinked="1"/>
        <c:majorTickMark val="out"/>
        <c:minorTickMark val="none"/>
        <c:tickLblPos val="nextTo"/>
        <c:crossAx val="1"/>
        <c:crosses val="autoZero"/>
        <c:crossBetween val="between"/>
        <c:majorUnit val="20"/>
      </c:valAx>
      <c:spPr>
        <a:solidFill>
          <a:srgbClr val="F7FAFC"/>
        </a:solidFill>
      </c:spPr>
    </c:plotArea>
    <c:legend>
      <c:legendPos val="b"/>
      <c:overlay val="0"/>
    </c:legend>
    <c:plotVisOnly val="1"/>
    <c:dispBlanksAs val="gap"/>
    <c:showDLblsOverMax val="1"/>
  </c:chart>
  <c:spPr>
    <a:solidFill>
      <a:srgbClr val="FFFFFF"/>
    </a:solidFill>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1F4E79"/>
      </a:accent1>
      <a:accent2>
        <a:srgbClr val="007C83"/>
      </a:accent2>
      <a:accent3>
        <a:srgbClr val="6B7280"/>
      </a:accent3>
      <a:accent4>
        <a:srgbClr val="FFC000"/>
      </a:accent4>
      <a:accent5>
        <a:srgbClr val="5B9BD5"/>
      </a:accent5>
      <a:accent6>
        <a:srgbClr val="70AD47"/>
      </a:accent6>
      <a:hlink>
        <a:srgbClr val="0563C1"/>
      </a:hlink>
      <a:folHlink>
        <a:srgbClr val="954F72"/>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ap:TotalTime>
  <ap:Pages>6</ap:Pages>
  <ap:Words>1278</ap:Words>
  <ap:Characters>7285</ap:Characters>
  <ap:Application>Microsoft Office Word</ap:Application>
  <ap:DocSecurity>0</ap:DocSecurity>
  <ap:Lines>60</ap:Lines>
  <ap:Paragraphs>17</ap:Paragraphs>
  <ap:ScaleCrop>false</ap:ScaleCrop>
  <ap:Company>Ogent</ap:Company>
  <ap:LinksUpToDate>false</ap:LinksUpToDate>
  <ap:CharactersWithSpaces>8546</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Riverside Renovation Delivery Strategy</dc:title>
  <dc:subject>Execution roadmap and control framework</dc:subject>
  <dc:creator>Ogent</dc:creator>
  <lastModifiedBy>Ogent</lastModifiedBy>
  <revision>2</revision>
  <dcterms:created xsi:type="dcterms:W3CDTF">2026-07-22T11:58:00.0000000Z</dcterms:created>
  <dcterms:modified xsi:type="dcterms:W3CDTF">2026-07-22T11:59:00.0000000Z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1.0.140</vt:lpwstr>
  </op:property>
  <op:property fmtid="{D5CDD505-2E9C-101B-9397-08002B2CF9AE}" pid="3" name="OfficeCLI.LastModified">
    <vt:lpwstr>2026-07-22T13:29:31Z</vt:lpwstr>
  </op:property>
</op:Properties>
</file>