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205516bd8f540f1" /><Relationship Type="http://schemas.openxmlformats.org/package/2006/relationships/metadata/core-properties" Target="/docProps/core.xml" Id="R1b3b1705b44a4193" /><Relationship Type="http://schemas.openxmlformats.org/officeDocument/2006/relationships/extended-properties" Target="/docProps/app.xml" Id="R9e4add5cbd7245e7" /><Relationship Type="http://schemas.openxmlformats.org/officeDocument/2006/relationships/custom-properties" Target="/docProps/custom.xml" Id="R8bced1e0ca5a4f85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33">
      <w:pPr>
        <w:pStyle w:val="Heading1"/>
        <w:keepNext/>
        <w:spacing w:after="60" w:line="240" w:lineRule="auto"/>
        <w:ind w:left="1884" w:right="1884"/>
      </w:pPr>
      <w:r>
        <w:rPr>
          <w:rFonts w:ascii="Calibri" w:hAnsi="Calibri" w:eastAsia="Calibri"/>
          <w:b/>
          <w:color w:val="1F4E79"/>
          <w:sz w:val="40"/>
        </w:rPr>
        <w:t xml:space="preserve">U.S. Community Solar: Three Program Trends</w:t>
      </w:r>
    </w:p>
    <w:p w14:paraId="00100002" w14:textId="00100034">
      <w:pPr>
        <w:pStyle w:val="Normal"/>
        <w:keepNext/>
        <w:spacing w:after="80"/>
        <w:ind w:left="1884" w:right="1884"/>
      </w:pPr>
      <w:r>
        <w:rPr>
          <w:rFonts w:ascii="Calibri" w:hAnsi="Calibri" w:eastAsia="Calibri"/>
          <w:b/>
          <w:color w:val="5B6573"/>
          <w:spacing w:val="12"/>
          <w:sz w:val="15"/>
        </w:rPr>
        <w:t xml:space="preserve">RESEARCH BRIEF | Current as of July 22, 2026</w:t>
      </w:r>
    </w:p>
    <w:p w14:paraId="00100004" w14:textId="00100035">
      <w:pPr>
        <w:pStyle w:val="Normal"/>
        <w:keepLines/>
        <w:shd w:val="clear" w:fill="EAF2F8"/>
        <w:spacing w:before="40" w:after="100" w:line="240" w:lineRule="auto"/>
        <w:ind w:left="1884" w:right="1884"/>
      </w:pPr>
      <w:r>
        <w:rPr>
          <w:rFonts w:ascii="Calibri" w:hAnsi="Calibri" w:eastAsia="Calibri"/>
          <w:b/>
          <w:color w:val="1F4E79"/>
          <w:sz w:val="18"/>
        </w:rPr>
        <w:t xml:space="preserve">State policy is expanding the market, but the defining shifts are scale, enforceable affordability, and program maturation.</w:t>
      </w:r>
    </w:p>
    <w:p w14:paraId="00100006" w14:textId="00100036">
      <w:pPr>
        <w:pStyle w:val="Heading2"/>
        <w:keepNext/>
        <w:spacing w:before="60" w:after="20" w:line="240" w:lineRule="auto"/>
        <w:ind w:left="1884" w:right="1884"/>
      </w:pPr>
      <w:r>
        <w:rPr>
          <w:rFonts w:ascii="Calibri" w:hAnsi="Calibri" w:eastAsia="Calibri"/>
          <w:b/>
          <w:color w:val="007C83"/>
          <w:sz w:val="28"/>
        </w:rPr>
        <w:t xml:space="preserve">1. Reach is broadening—but capacity is concentrated</w:t>
      </w:r>
    </w:p>
    <w:p w14:paraId="00100008" w14:textId="00100039">
      <w:pPr>
        <w:pStyle w:val="Normal"/>
        <w:keepLines/>
        <w:widowControl/>
        <w:spacing w:after="60" w:line="245" w:lineRule="auto"/>
        <w:ind w:left="1884" w:right="1884"/>
        <w:jc w:val="left"/>
      </w:pPr>
      <w:r>
        <w:rPr>
          <w:rFonts w:ascii="Calibri" w:hAnsi="Calibri" w:eastAsia="Calibri"/>
          <w:color w:val="263238"/>
          <w:sz w:val="19"/>
        </w:rPr>
        <w:t xml:space="preserve">Community solar now operates in 43 states and the District of Columbia and exceeds 11 GW-AC. Yet roughly 75% of installed capacity remains in Florida, New York, Massachusetts, and Minnesota. The trend is therefore two-speed: enabling policy and project presence are spreading, while deployment depth, interconnection experience, and program continuity remain concentrated in a few mature markets. [1]</w:t>
      </w:r>
    </w:p>
    <w:p w14:paraId="0010000A" w14:textId="00100037">
      <w:pPr>
        <w:pStyle w:val="Heading2"/>
        <w:keepNext/>
        <w:spacing w:before="60" w:after="20" w:line="240" w:lineRule="auto"/>
        <w:ind w:left="1884" w:right="1884"/>
      </w:pPr>
      <w:r>
        <w:rPr>
          <w:rFonts w:ascii="Calibri" w:hAnsi="Calibri" w:eastAsia="Calibri"/>
          <w:b/>
          <w:color w:val="007C83"/>
          <w:sz w:val="28"/>
        </w:rPr>
        <w:t xml:space="preserve">2. Equity rules now carry measurable savings</w:t>
      </w:r>
    </w:p>
    <w:p w14:paraId="0010000C" w14:textId="0010003A">
      <w:pPr>
        <w:pStyle w:val="Normal"/>
        <w:keepLines/>
        <w:widowControl/>
        <w:spacing w:after="60" w:line="245" w:lineRule="auto"/>
        <w:ind w:left="1884" w:right="1884"/>
        <w:jc w:val="left"/>
      </w:pPr>
      <w:r>
        <w:rPr>
          <w:rFonts w:ascii="Calibri" w:hAnsi="Calibri" w:eastAsia="Calibri"/>
          <w:color w:val="263238"/>
          <w:sz w:val="19"/>
        </w:rPr>
        <w:t xml:space="preserve">Equity provisions are becoming operating requirements rather than broad aspirations. NLR reports that 20 of the 25 enabling jurisdictions (24 states plus D.C.) include low- and moderate-income provisions. New Jersey's 2026 expansion reserves at least 51% of capacity for LMI subscribers and guarantees them at least a 25% bill-credit discount. DOE's Clean Energy Connector likewise requires at least 20% savings and consumer protections while linking LIHEAP-qualified households to subscriptions. [1][2][3]</w:t>
      </w:r>
    </w:p>
    <w:p w14:paraId="0010000E" w14:textId="00100038">
      <w:pPr>
        <w:pStyle w:val="Heading2"/>
        <w:keepNext/>
        <w:spacing w:before="60" w:after="20" w:line="240" w:lineRule="auto"/>
        <w:ind w:left="1884" w:right="1884"/>
      </w:pPr>
      <w:r>
        <w:rPr>
          <w:rFonts w:ascii="Calibri" w:hAnsi="Calibri" w:eastAsia="Calibri"/>
          <w:b/>
          <w:color w:val="007C83"/>
          <w:sz w:val="28"/>
        </w:rPr>
        <w:t xml:space="preserve">3. State programs are moving to utility-scale ambition</w:t>
      </w:r>
    </w:p>
    <w:p w14:paraId="00100010" w14:textId="0010003B">
      <w:pPr>
        <w:pStyle w:val="Normal"/>
        <w:keepLines/>
        <w:widowControl/>
        <w:spacing w:after="60" w:line="245" w:lineRule="auto"/>
        <w:ind w:left="1884" w:right="1884"/>
        <w:jc w:val="left"/>
      </w:pPr>
      <w:r>
        <w:rPr>
          <w:rFonts w:ascii="Calibri" w:hAnsi="Calibri" w:eastAsia="Calibri"/>
          <w:color w:val="263238"/>
          <w:sz w:val="19"/>
        </w:rPr>
        <w:t xml:space="preserve">Large state programs are shifting from constrained annual blocks to larger, multi-year pipelines. New Jersey approved a 3,000 MW community-solar expansion open through 2029, including 300 MW for landfill projects. Illinois opened its 2026–27 program year with 1,000 MW across six categories and doubled the maximum community-solar project size from 5 MW to 10 MW. These moves favor scale, repeatable procurement, and more durable development pipelines. [3][4]</w:t>
      </w:r>
    </w:p>
    <w:p w14:paraId="00100012" w14:textId="0010003C">
      <w:pPr>
        <w:pStyle w:val="Normal"/>
        <w:keepNext/>
        <w:spacing w:before="60" w:after="20"/>
        <w:ind w:left="1884" w:right="1884"/>
      </w:pPr>
      <w:r>
        <w:rPr>
          <w:rFonts w:ascii="Calibri" w:hAnsi="Calibri" w:eastAsia="Calibri"/>
          <w:b/>
          <w:color w:val="1F4E79"/>
          <w:sz w:val="18"/>
        </w:rPr>
        <w:t xml:space="preserve">Sources</w:t>
      </w:r>
    </w:p>
    <w:tbl>
      <w:tblPr>
        <w:tblStyle w:val="none"/>
        <w:tblW w:w="6600" w:type="dxa"/>
        <w:jc w:val="center"/>
        <w:tblInd w:w="0" w:type="dxa"/>
        <w:tblBorders>
          <w:top w:val="none" w:sz="4"/>
          <w:left w:val="none" w:sz="4"/>
          <w:bottom w:val="none" w:sz="4"/>
          <w:right w:val="none" w:sz="4"/>
          <w:insideH w:val="none" w:sz="4"/>
          <w:insideV w:val="none" w:sz="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/>
        <w:tblCaption w:val="Sources"/>
        <w:tblDescription w:val="Primary sources supporting the three community solar trends"/>
      </w:tblPr>
      <w:tblGrid>
        <w:gridCol w:w="6600"/>
      </w:tblGrid>
      <w:tr>
        <w:tc>
          <w:tcPr>
            <w:tcW w:w="6600" w:type="dxa"/>
            <w:tcBorders>
              <w:top w:val="none" w:sz="4"/>
              <w:left w:val="none" w:sz="4"/>
              <w:bottom w:val="none" w:sz="4"/>
              <w:right w:val="none" w:sz="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10001D" w14:textId="0010003D">
            <w:pPr>
              <w:keepLines/>
              <w:spacing w:after="10" w:line="240" w:lineRule="auto"/>
              <w:ind w:left="220" w:hanging="220"/>
              <w:jc w:val="left"/>
              <w:rPr>
                <w:rFonts w:ascii="Calibri" w:hAnsi="Calibri" w:eastAsia="Calibri"/>
                <w:color w:val="40464D"/>
                <w:sz w:val="15"/>
              </w:rPr>
            </w:pPr>
            <w:r>
              <w:rPr>
                <w:rFonts w:ascii="Calibri" w:hAnsi="Calibri" w:eastAsia="Calibri"/>
                <w:color w:val="40464D"/>
                <w:sz w:val="14"/>
              </w:rPr>
              <w:t xml:space="preserve">[1] National Laboratory of the Rockies. Community Solar. Market data through June 2025; policy data through February 2025. https://www.nlr.gov/state-local-tribal/community-solar</w:t>
            </w:r>
          </w:p>
        </w:tc>
      </w:tr>
      <w:tr>
        <w:tc>
          <w:tcPr>
            <w:tcW w:w="6600" w:type="dxa"/>
            <w:tcBorders>
              <w:top w:val="none" w:sz="4"/>
              <w:left w:val="none" w:sz="4"/>
              <w:bottom w:val="none" w:sz="4"/>
              <w:right w:val="none" w:sz="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10001F" w14:textId="0010003E">
            <w:pPr>
              <w:keepLines/>
              <w:spacing w:after="10" w:line="240" w:lineRule="auto"/>
              <w:ind w:left="220" w:hanging="220"/>
              <w:jc w:val="left"/>
              <w:rPr>
                <w:rFonts w:ascii="Calibri" w:hAnsi="Calibri" w:eastAsia="Calibri"/>
                <w:color w:val="40464D"/>
                <w:sz w:val="15"/>
              </w:rPr>
            </w:pPr>
            <w:r>
              <w:rPr>
                <w:rFonts w:ascii="Calibri" w:hAnsi="Calibri" w:eastAsia="Calibri"/>
                <w:color w:val="40464D"/>
                <w:sz w:val="14"/>
              </w:rPr>
              <w:t xml:space="preserve">[2] U.S. Department of Energy. Clean Energy Connector. Status as of December 2024; accessed July 22, 2026. https://www.energy.gov/cmei/systems/clean-energy-connector</w:t>
            </w:r>
          </w:p>
        </w:tc>
      </w:tr>
      <w:tr>
        <w:tc>
          <w:tcPr>
            <w:tcW w:w="6600" w:type="dxa"/>
            <w:tcBorders>
              <w:top w:val="none" w:sz="4"/>
              <w:left w:val="none" w:sz="4"/>
              <w:bottom w:val="none" w:sz="4"/>
              <w:right w:val="none" w:sz="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100021" w14:textId="0010003F">
            <w:pPr>
              <w:keepLines/>
              <w:spacing w:after="10" w:line="240" w:lineRule="auto"/>
              <w:ind w:left="220" w:hanging="220"/>
              <w:jc w:val="left"/>
              <w:rPr>
                <w:rFonts w:ascii="Calibri" w:hAnsi="Calibri" w:eastAsia="Calibri"/>
                <w:color w:val="40464D"/>
                <w:sz w:val="15"/>
              </w:rPr>
            </w:pPr>
            <w:r>
              <w:rPr>
                <w:rFonts w:ascii="Calibri" w:hAnsi="Calibri" w:eastAsia="Calibri"/>
                <w:color w:val="40464D"/>
                <w:sz w:val="14"/>
              </w:rPr>
              <w:t xml:space="preserve">[3] New Jersey Board of Public Utilities. NJBPU Takes Major Action to Advance Governor Sherrill's Goals for Affordable, Clean Energy. March 5, 2026. https://www.nj.gov/bpu/newsroom/2026/approved/20260305.html</w:t>
            </w:r>
          </w:p>
        </w:tc>
      </w:tr>
      <w:tr>
        <w:tc>
          <w:tcPr>
            <w:tcW w:w="6600" w:type="dxa"/>
            <w:tcBorders>
              <w:top w:val="none" w:sz="4"/>
              <w:left w:val="none" w:sz="4"/>
              <w:bottom w:val="none" w:sz="4"/>
              <w:right w:val="none" w:sz="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100023" w14:textId="00100040">
            <w:pPr>
              <w:keepLines/>
              <w:spacing w:after="10" w:line="240" w:lineRule="auto"/>
              <w:ind w:left="220" w:hanging="220"/>
              <w:jc w:val="left"/>
              <w:rPr>
                <w:rFonts w:ascii="Calibri" w:hAnsi="Calibri" w:eastAsia="Calibri"/>
                <w:color w:val="40464D"/>
                <w:sz w:val="15"/>
              </w:rPr>
            </w:pPr>
            <w:r>
              <w:rPr>
                <w:rFonts w:ascii="Calibri" w:hAnsi="Calibri" w:eastAsia="Calibri"/>
                <w:color w:val="40464D"/>
                <w:sz w:val="14"/>
              </w:rPr>
              <w:t xml:space="preserve">[4] Illinois Power Agency. State Solar Incentive Program Illinois Shines Opens for Ninth Year Offering to Support 1,000 MW. June 4, 2026. https://ipa.illinois.gov/announcements/press-release--state-solar-incentive-program-illinois-shines-ope.html</w:t>
            </w:r>
          </w:p>
        </w:tc>
      </w:tr>
    </w:tbl>
    <w:sectPr>
      <w:pgSz w:w="12240" w:h="15840" w:orient="portrait"/>
      <w:pgMar w:top="792" w:right="936" w:bottom="792" w:left="936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 w:eastAsia="Calibri" w:cs="Calibri"/>
        <w:color w:val="263238"/>
        <w:sz w:val="19"/>
        <w:szCs w:val="19"/>
      </w:rPr>
    </w:rPrDefault>
    <w:pPrDefault>
      <w:pPr>
        <w:spacing w:after="0" w:line="259" w:lineRule="auto"/>
      </w:pPr>
    </w:pPrDefault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a0cf0d125b14acb" /><Relationship Type="http://schemas.openxmlformats.org/officeDocument/2006/relationships/styles" Target="/word/styles.xml" Id="R9357d9ba54d14826" /><Relationship Type="http://schemas.openxmlformats.org/officeDocument/2006/relationships/theme" Target="/word/theme/theme1.xml" Id="R5675fceb415840f5" /><Relationship Type="http://schemas.openxmlformats.org/officeDocument/2006/relationships/numbering" Target="/word/numbering.xml" Id="Rda87814f5dd9409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F4E79"/>
      </a:accent1>
      <a:accent2>
        <a:srgbClr val="007C83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OfficeCLI/1.0.140</ap:Application>
  <ap:Company>Ogent</ap:Company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Ogent</dc:creator>
  <dcterms:created xsi:type="dcterms:W3CDTF">2026-07-22T11:08:01.0000000Z</dcterms:created>
  <lastModifiedBy>Ogent</lastModifiedBy>
  <dcterms:modified xsi:type="dcterms:W3CDTF">2026-07-22T11:08:01.0000000Z</dcterms:modified>
  <dc:title>U.S. Community Solar: Three Program Trends</dc:title>
  <dc:subject>Community solar research brief current as of July 22, 2026</dc:subject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1.0.140</vt:lpwstr>
  </op:property>
  <op:property fmtid="{D5CDD505-2E9C-101B-9397-08002B2CF9AE}" pid="3" name="OfficeCLI.LastModified">
    <vt:lpwstr xmlns:vt="http://schemas.openxmlformats.org/officeDocument/2006/docPropsVTypes">2026-07-22T13:29:37Z</vt:lpwstr>
  </op:property>
</op:Properties>
</file>