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1671b70d7e646c9" /><Relationship Type="http://schemas.openxmlformats.org/package/2006/relationships/metadata/core-properties" Target="/docProps/core.xml" Id="Rdd475cfff1644354" /><Relationship Type="http://schemas.openxmlformats.org/officeDocument/2006/relationships/extended-properties" Target="/docProps/app.xml" Id="R7c2fec22bb7a49b2" /><Relationship Type="http://schemas.openxmlformats.org/officeDocument/2006/relationships/custom-properties" Target="/docProps/custom.xml" Id="Rd3b39c0a11ad42aa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4A">
      <w:pPr>
        <w:pStyle w:val="Heading1"/>
        <w:keepLines/>
        <w:spacing w:after="160" w:line="240" w:lineRule="auto"/>
      </w:pPr>
      <w:r>
        <w:rPr>
          <w:b/>
          <w:color w:val="1B5E20"/>
          <w:sz w:val="36"/>
        </w:rPr>
        <w:t xml:space="preserve">Riverside Renovation</w:t>
        <w:br/>
        <w:t xml:space="preserve">Project Status Report</w:t>
      </w:r>
    </w:p>
    <w:p w14:paraId="00100002" w14:textId="0010003B">
      <w:pPr>
        <w:pStyle w:val="Normal"/>
        <w:spacing w:after="200"/>
      </w:pPr>
      <w:r>
        <w:rPr>
          <w:color w:val="595959"/>
          <w:sz w:val="20"/>
        </w:rPr>
        <w:t xml:space="preserve">Overall status: On track | Reporting period: July 2026</w:t>
      </w:r>
    </w:p>
    <w:p w14:paraId="00100004" w14:textId="00100005">
      <w:pPr>
        <w:pStyle w:val="Normal"/>
        <w:keepNext/>
        <w:spacing w:before="80" w:after="60"/>
      </w:pPr>
      <w:r>
        <w:rPr>
          <w:b/>
          <w:color w:val="1F4E79"/>
          <w:sz w:val="26"/>
        </w:rPr>
        <w:t xml:space="preserve">Overview</w:t>
      </w:r>
    </w:p>
    <w:p w14:paraId="00100006" w14:textId="0010003F">
      <w:pPr>
        <w:pStyle w:val="Normal"/>
        <w:keepLines/>
        <w:spacing w:after="160"/>
        <w:ind w:right="960"/>
      </w:pPr>
      <w:r>
        <w:rPr>
          <w:sz w:val="22"/>
        </w:rPr>
        <w:t xml:space="preserve">Interior demolition is complete, structural repairs are 80% finished, and framing is progressing to plan. A </w:t>
      </w:r>
      <w:r>
        <w:rPr>
          <w:b/>
          <w:sz w:val="22"/>
        </w:rPr>
        <w:t xml:space="preserve">critical</w:t>
      </w:r>
      <w:r>
        <w:rPr>
          <w:sz w:val="22"/>
        </w:rPr>
        <w:t xml:space="preserve"> coordination review for mechanical, electrical, and plumbing interfaces is scheduled before rough-in begins.</w:t>
      </w:r>
    </w:p>
    <w:p w14:paraId="00100008" w14:textId="00100009">
      <w:pPr>
        <w:pStyle w:val="Normal"/>
        <w:keepNext/>
        <w:spacing w:before="80" w:after="80"/>
      </w:pPr>
      <w:r>
        <w:rPr>
          <w:b/>
          <w:color w:val="1F4E79"/>
          <w:sz w:val="26"/>
        </w:rPr>
        <w:t xml:space="preserve">Risks</w:t>
      </w:r>
    </w:p>
    <w:tbl>
      <w:tblPr>
        <w:tblStyle w:val="light1"/>
        <w:tblW w:w="6600" w:type="dxa"/>
        <w:jc w:val="center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/>
        <w:tblCaption w:val="Riverside Renovation project risk register"/>
        <w:tblDescription w:val="Current project risks with likelihood and mitigation actions"/>
      </w:tblPr>
      <w:tblGrid>
        <w:gridCol w:w="1800"/>
        <w:gridCol w:w="1400"/>
        <w:gridCol w:w="3400"/>
      </w:tblGrid>
      <w:tr>
        <w:trPr>
          <w:tblHeader/>
        </w:trPr>
        <w:tc>
          <w:tcPr>
            <w:tcW w:w="1800" w:type="dxa"/>
            <w:shd w:val="clear" w:fill="1F4E79"/>
          </w:tcPr>
          <w:p w14:paraId="0010000A" w14:textId="00100025">
            <w:pPr>
              <w:spacing w:after="0"/>
            </w:pPr>
            <w:r>
              <w:rPr>
                <w:b/>
                <w:color w:val="FFFFFF"/>
                <w:sz w:val="20"/>
              </w:rPr>
              <w:t xml:space="preserve">Risk</w:t>
            </w:r>
          </w:p>
        </w:tc>
        <w:tc>
          <w:tcPr>
            <w:tcW w:w="1400" w:type="dxa"/>
            <w:shd w:val="clear" w:fill="1F4E79"/>
          </w:tcPr>
          <w:p w14:paraId="0010000C" w14:textId="00100028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 xml:space="preserve">Likelihood</w:t>
            </w:r>
          </w:p>
        </w:tc>
        <w:tc>
          <w:tcPr>
            <w:tcW w:w="3400" w:type="dxa"/>
            <w:shd w:val="clear" w:fill="1F4E79"/>
          </w:tcPr>
          <w:p w14:paraId="0010000E" w14:textId="00100027">
            <w:pPr>
              <w:spacing w:after="0"/>
            </w:pPr>
            <w:r>
              <w:rPr>
                <w:b/>
                <w:color w:val="FFFFFF"/>
                <w:sz w:val="20"/>
              </w:rPr>
              <w:t xml:space="preserve">Mitigation</w:t>
            </w:r>
          </w:p>
        </w:tc>
      </w:tr>
      <w:tr>
        <w:trPr/>
        <w:tc>
          <w:tcPr>
            <w:tcW w:w="1800" w:type="dxa"/>
          </w:tcPr>
          <w:p w14:paraId="00100010" w14:textId="00100029">
            <w:pPr>
              <w:spacing w:after="0"/>
            </w:pPr>
            <w:r>
              <w:rPr>
                <w:sz w:val="20"/>
              </w:rPr>
              <w:t xml:space="preserve">Hidden utility conflicts</w:t>
            </w:r>
          </w:p>
        </w:tc>
        <w:tc>
          <w:tcPr>
            <w:tcW w:w="1400" w:type="dxa"/>
          </w:tcPr>
          <w:p w14:paraId="00100012" w14:textId="0010002C">
            <w:pPr>
              <w:spacing w:after="0"/>
              <w:jc w:val="center"/>
            </w:pPr>
            <w:r>
              <w:rPr>
                <w:sz w:val="20"/>
              </w:rPr>
              <w:t xml:space="preserve">High</w:t>
            </w:r>
          </w:p>
        </w:tc>
        <w:tc>
          <w:tcPr>
            <w:tcW w:w="3400" w:type="dxa"/>
          </w:tcPr>
          <w:p w14:paraId="00100014" w14:textId="0010003A">
            <w:pPr>
              <w:spacing w:after="0"/>
            </w:pPr>
            <w:r>
              <w:rPr>
                <w:sz w:val="20"/>
              </w:rPr>
              <w:t xml:space="preserve">Complete </w:t>
            </w:r>
            <w:r>
              <w:rPr>
                <w:b/>
                <w:sz w:val="20"/>
              </w:rPr>
              <w:t xml:space="preserve">critical</w:t>
            </w:r>
            <w:r>
              <w:rPr>
                <w:sz w:val="20"/>
              </w:rPr>
              <w:t xml:space="preserve"> subsurface verification before floor penetrations and reserve a response allowance.</w:t>
            </w:r>
          </w:p>
        </w:tc>
      </w:tr>
      <w:tr>
        <w:trPr/>
        <w:tc>
          <w:tcPr>
            <w:tcW w:w="1800" w:type="dxa"/>
            <w:shd w:val="clear" w:fill="EAF2F8"/>
          </w:tcPr>
          <w:p w14:paraId="00100016" w14:textId="0010002D">
            <w:pPr>
              <w:spacing w:after="0"/>
            </w:pPr>
            <w:r>
              <w:rPr>
                <w:sz w:val="20"/>
              </w:rPr>
              <w:t xml:space="preserve">Long-lead fixture delays</w:t>
            </w:r>
          </w:p>
        </w:tc>
        <w:tc>
          <w:tcPr>
            <w:tcW w:w="1400" w:type="dxa"/>
            <w:shd w:val="clear" w:fill="EAF2F8"/>
          </w:tcPr>
          <w:p w14:paraId="00100018" w14:textId="00100030">
            <w:pPr>
              <w:spacing w:after="0"/>
              <w:jc w:val="center"/>
            </w:pPr>
            <w:r>
              <w:rPr>
                <w:sz w:val="20"/>
              </w:rPr>
              <w:t xml:space="preserve">Medium</w:t>
            </w:r>
          </w:p>
        </w:tc>
        <w:tc>
          <w:tcPr>
            <w:tcW w:w="3400" w:type="dxa"/>
            <w:shd w:val="clear" w:fill="EAF2F8"/>
          </w:tcPr>
          <w:p w14:paraId="0010001A" w14:textId="0010002F">
            <w:pPr>
              <w:spacing w:after="0"/>
            </w:pPr>
            <w:r>
              <w:rPr>
                <w:sz w:val="20"/>
              </w:rPr>
              <w:t xml:space="preserve">Confirm supplier dates weekly and pre-approve equivalent fixtures.</w:t>
            </w:r>
          </w:p>
        </w:tc>
      </w:tr>
      <w:tr>
        <w:trPr/>
        <w:tc>
          <w:tcPr>
            <w:tcW w:w="1800" w:type="dxa"/>
          </w:tcPr>
          <w:p w14:paraId="0010001C" w14:textId="00100031">
            <w:pPr>
              <w:spacing w:after="0"/>
            </w:pPr>
            <w:r>
              <w:rPr>
                <w:sz w:val="20"/>
              </w:rPr>
              <w:t xml:space="preserve">Tenant access disruption</w:t>
            </w:r>
          </w:p>
        </w:tc>
        <w:tc>
          <w:tcPr>
            <w:tcW w:w="1400" w:type="dxa"/>
          </w:tcPr>
          <w:p w14:paraId="0010001E" w14:textId="00100034">
            <w:pPr>
              <w:spacing w:after="0"/>
              <w:jc w:val="center"/>
            </w:pPr>
            <w:r>
              <w:rPr>
                <w:sz w:val="20"/>
              </w:rPr>
              <w:t xml:space="preserve">Medium</w:t>
            </w:r>
          </w:p>
        </w:tc>
        <w:tc>
          <w:tcPr>
            <w:tcW w:w="3400" w:type="dxa"/>
          </w:tcPr>
          <w:p w14:paraId="00100020" w14:textId="00100033">
            <w:pPr>
              <w:spacing w:after="0"/>
            </w:pPr>
            <w:r>
              <w:rPr>
                <w:sz w:val="20"/>
              </w:rPr>
              <w:t xml:space="preserve">Sequence noisy work outside peak hours and maintain a clearly marked alternate route.</w:t>
            </w:r>
          </w:p>
        </w:tc>
      </w:tr>
      <w:tr>
        <w:trPr/>
        <w:tc>
          <w:tcPr>
            <w:tcW w:w="1800" w:type="dxa"/>
          </w:tcPr>
          <w:p w14:paraId="00100041" w14:textId="00100047">
            <w:pPr>
              <w:spacing w:after="0"/>
              <w:jc w:val="left"/>
            </w:pPr>
            <w:r>
              <w:rPr>
                <w:rFonts w:ascii="Calibri" w:hAnsi="Calibri" w:eastAsia="Calibri"/>
                <w:color w:val="263238"/>
                <w:sz w:val="20"/>
              </w:rPr>
              <w:t xml:space="preserve">Weather delays</w:t>
            </w:r>
          </w:p>
        </w:tc>
        <w:tc>
          <w:tcPr>
            <w:tcW w:w="1400" w:type="dxa"/>
          </w:tcPr>
          <w:p w14:paraId="00100043" w14:textId="00100048">
            <w:pPr>
              <w:spacing w:after="0"/>
              <w:jc w:val="center"/>
            </w:pPr>
            <w:r>
              <w:rPr>
                <w:rFonts w:ascii="Calibri" w:hAnsi="Calibri" w:eastAsia="Calibri"/>
                <w:color w:val="263238"/>
                <w:sz w:val="20"/>
              </w:rPr>
              <w:t xml:space="preserve">Medium</w:t>
            </w:r>
          </w:p>
        </w:tc>
        <w:tc>
          <w:tcPr>
            <w:tcW w:w="3400" w:type="dxa"/>
          </w:tcPr>
          <w:p w14:paraId="00100045" w14:textId="00100049">
            <w:pPr>
              <w:spacing w:after="0"/>
              <w:jc w:val="left"/>
            </w:pPr>
            <w:r>
              <w:rPr>
                <w:rFonts w:ascii="Calibri" w:hAnsi="Calibri" w:eastAsia="Calibri"/>
                <w:color w:val="263238"/>
                <w:sz w:val="20"/>
              </w:rPr>
              <w:t xml:space="preserve">Add weather contingency days and resequence exterior work when forecasts show unsafe conditions.</w:t>
            </w:r>
          </w:p>
        </w:tc>
      </w:tr>
    </w:tbl>
    <w:p w14:paraId="00100035" w14:textId="00100036">
      <w:pPr>
        <w:pStyle w:val="Normal"/>
        <w:keepNext/>
        <w:spacing w:before="200" w:after="60"/>
      </w:pPr>
      <w:r>
        <w:rPr>
          <w:b/>
          <w:color w:val="1F4E79"/>
          <w:sz w:val="26"/>
        </w:rPr>
        <w:t xml:space="preserve">Next Steps</w:t>
      </w:r>
    </w:p>
    <w:p w14:paraId="00100037" w14:textId="00100040">
      <w:pPr>
        <w:pStyle w:val="Normal"/>
        <w:keepLines/>
        <w:spacing w:after="0"/>
        <w:ind w:right="960"/>
      </w:pPr>
      <w:r>
        <w:rPr>
          <w:sz w:val="22"/>
        </w:rPr>
        <w:t xml:space="preserve">Complete the MEP coordination review, close open structural punch items, release the rough-in work packages, and issue the two-week look-ahead schedule.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 w:eastAsia="Calibri" w:cs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Heading1">
    <w:name w:val="Heading 1"/>
    <w:basedOn w:val="Normal"/>
    <w:next w:val="Normal"/>
    <w:uiPriority w:val="9"/>
    <w:qFormat/>
    <w:pPr>
      <w:keepNext xmlns:w="http://schemas.openxmlformats.org/wordprocessingml/2006/main" w:val="1"/>
      <w:keepLines xmlns:w="http://schemas.openxmlformats.org/wordprocessingml/2006/main" w:val="1"/>
      <w:spacing w:after="160"/>
      <w:outlineLvl xmlns:w="http://schemas.openxmlformats.org/wordprocessingml/2006/main" w:val="0"/>
    </w:pPr>
    <w:rPr>
      <w:rFonts w:ascii="Calibri" w:hAnsi="Calibri" w:eastAsia="Calibri"/>
      <w:b/>
      <w:color w:val="1F4E79"/>
      <w:sz w:val="3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e6fc7330bc844c21" /><Relationship Type="http://schemas.openxmlformats.org/officeDocument/2006/relationships/styles" Target="/word/styles.xml" Id="R5449958b138341bf" /><Relationship Type="http://schemas.openxmlformats.org/officeDocument/2006/relationships/theme" Target="/word/theme/theme1.xml" Id="R315c43b973ba4f69" /><Relationship Type="http://schemas.openxmlformats.org/officeDocument/2006/relationships/numbering" Target="/word/numbering.xml" Id="R26a72a9f24664a5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OfficeCLI/1.0.140</ap:Application>
  <ap:Company>Ogent</ap:Company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Ogent</dc:creator>
  <dcterms:created xsi:type="dcterms:W3CDTF">2026-07-22T10:13:56.0000000Z</dcterms:created>
  <lastModifiedBy>Ogent</lastModifiedBy>
  <dcterms:modified xsi:type="dcterms:W3CDTF">2026-07-22T10:13:56.0000000Z</dcterms:modified>
</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1.0.140</vt:lpwstr>
  </op:property>
  <op:property fmtid="{D5CDD505-2E9C-101B-9397-08002B2CF9AE}" pid="3" name="OfficeCLI.LastModified">
    <vt:lpwstr xmlns:vt="http://schemas.openxmlformats.org/officeDocument/2006/docPropsVTypes">2026-07-22T13:29:41Z</vt:lpwstr>
  </op:property>
</op:Properties>
</file>