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c="http://schemas.openxmlformats.org/drawingml/2006/chart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24685" w:rsidRDefault="00DA62C5" w14:paraId="00100000" w14:textId="00100001">
      <w:pPr>
        <w:spacing w:before="2100" w:after="480"/>
        <w:jc w:val="center"/>
      </w:pPr>
      <w:r>
        <w:rPr>
          <w:b/>
          <w:color w:val="007C83"/>
          <w:spacing w:val="30"/>
          <w:sz w:val="18"/>
        </w:rPr>
        <w:t>[ORGANIZATION]</w:t>
      </w:r>
    </w:p>
    <w:p w:rsidR="00F24685" w:rsidRDefault="00DA62C5" w14:paraId="00100002" w14:textId="00100003">
      <w:pPr>
        <w:keepLines/>
        <w:spacing w:after="240" w:line="252" w:lineRule="auto"/>
        <w:jc w:val="center"/>
      </w:pPr>
      <w:r>
        <w:rPr>
          <w:rFonts w:ascii="Aptos Display" w:hAnsi="Aptos Display" w:eastAsia="Aptos Display"/>
          <w:b/>
          <w:color w:val="1F4E79"/>
          <w:sz w:val="56"/>
        </w:rPr>
        <w:t>[REPORT TITLE]</w:t>
      </w:r>
    </w:p>
    <w:p w:rsidR="00F24685" w:rsidRDefault="00DA62C5" w14:paraId="00100004" w14:textId="00100005">
      <w:pPr>
        <w:spacing w:after="560"/>
        <w:jc w:val="center"/>
      </w:pPr>
      <w:r>
        <w:rPr>
          <w:color w:val="4B5563"/>
          <w:sz w:val="30"/>
        </w:rPr>
        <w:t>[Subtitle or reporting period]</w:t>
      </w:r>
    </w:p>
    <w:p w:rsidR="00F24685" w:rsidRDefault="00DA62C5" w14:paraId="00100006" w14:textId="00100007">
      <w:pPr>
        <w:spacing w:before="120" w:after="840"/>
        <w:jc w:val="center"/>
      </w:pPr>
      <w:r>
        <w:rPr>
          <w:b/>
          <w:color w:val="1F4E79"/>
          <w:spacing w:val="20"/>
          <w:sz w:val="18"/>
        </w:rPr>
        <w:t>CONTEXT | FINDINGS | CONTROLS | ACTIONS</w:t>
      </w:r>
    </w:p>
    <w:p w:rsidR="00F24685" w:rsidRDefault="00DA62C5" w14:paraId="00100008" w14:textId="00100009">
      <w:pPr>
        <w:jc w:val="center"/>
      </w:pPr>
      <w:r>
        <w:rPr>
          <w:b/>
        </w:rPr>
        <w:t>Prepared by [AUTHOR]</w:t>
      </w:r>
    </w:p>
    <w:p w:rsidR="00F24685" w:rsidRDefault="00DA62C5" w14:paraId="0010000A" w14:textId="0010000B">
      <w:pPr>
        <w:jc w:val="center"/>
      </w:pPr>
      <w:r>
        <w:rPr>
          <w:color w:val="5B6770"/>
          <w:sz w:val="21"/>
        </w:rPr>
        <w:t>[DATE]</w:t>
      </w:r>
    </w:p>
    <w:p w:rsidR="00F24685" w:rsidRDefault="00DA62C5" w14:paraId="0010000C" w14:textId="0010000D">
      <w:r>
        <w:br w:type="page"/>
      </w:r>
    </w:p>
    <w:p w:rsidR="00F24685" w:rsidRDefault="00DA62C5" w14:paraId="0010000E" w14:textId="0010000F">
      <w:r>
        <w:lastRenderedPageBreak/>
        <w:t>Table of Contents</w:t>
      </w:r>
    </w:p>
    <w:p w:rsidR="003B3F2B" w:rsidRDefault="00DA62C5" w14:paraId="00100010" w14:textId="00100011">
      <w:pPr>
        <w:pStyle w:val="TOC1"/>
        <w:tabs>
          <w:tab w:val="right" w:leader="dot" w:pos="9868"/>
        </w:tabs>
        <w:rPr>
          <w:noProof/>
        </w:rPr>
      </w:pPr>
      <w:r>
        <w:fldChar w:fldCharType="begin"/>
      </w:r>
      <w:r>
        <w:instrText xml:space="preserve"> TOC \o "1-2" \h \u </w:instrText>
      </w:r>
      <w:r>
        <w:fldChar w:fldCharType="separate"/>
      </w:r>
      <w:hyperlink w:history="1" w:anchor="_Toc235643427">
        <w:r w:rsidRPr="00B76414" w:rsidR="003B3F2B">
          <w:rPr>
            <w:rStyle w:val="Hyperlink"/>
            <w:noProof/>
          </w:rPr>
          <w:t>1. Executive Summary</w:t>
        </w:r>
        <w:r w:rsidR="003B3F2B">
          <w:rPr>
            <w:noProof/>
          </w:rPr>
          <w:tab/>
        </w:r>
        <w:r w:rsidR="003B3F2B">
          <w:rPr>
            <w:noProof/>
          </w:rPr>
          <w:fldChar w:fldCharType="begin"/>
        </w:r>
        <w:r w:rsidR="003B3F2B">
          <w:rPr>
            <w:noProof/>
          </w:rPr>
          <w:instrText xml:space="preserve"> PAGEREF _Toc235643427 \h </w:instrText>
        </w:r>
        <w:r w:rsidR="003B3F2B">
          <w:rPr>
            <w:noProof/>
          </w:rPr>
        </w:r>
        <w:r w:rsidR="003B3F2B">
          <w:rPr>
            <w:noProof/>
          </w:rPr>
          <w:fldChar w:fldCharType="separate"/>
        </w:r>
        <w:r w:rsidR="003B3F2B">
          <w:rPr>
            <w:noProof/>
          </w:rPr>
          <w:t>3</w:t>
        </w:r>
        <w:r w:rsidR="003B3F2B">
          <w:rPr>
            <w:noProof/>
          </w:rPr>
          <w:fldChar w:fldCharType="end"/>
        </w:r>
      </w:hyperlink>
    </w:p>
    <w:p w:rsidR="003B3F2B" w:rsidRDefault="003B3F2B" w14:paraId="00100012" w14:textId="00100013">
      <w:pPr>
        <w:pStyle w:val="TOC2"/>
        <w:tabs>
          <w:tab w:val="right" w:leader="dot" w:pos="9868"/>
        </w:tabs>
        <w:rPr>
          <w:noProof/>
        </w:rPr>
      </w:pPr>
      <w:hyperlink w:history="1" w:anchor="_Toc235643428">
        <w:r w:rsidRPr="00B76414">
          <w:rPr>
            <w:rStyle w:val="Hyperlink"/>
            <w:noProof/>
          </w:rPr>
          <w:t>Purpose and Scope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_Toc235643428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3</w:t>
        </w:r>
        <w:r>
          <w:rPr>
            <w:noProof/>
          </w:rPr>
          <w:fldChar w:fldCharType="end"/>
        </w:r>
      </w:hyperlink>
    </w:p>
    <w:p w:rsidR="003B3F2B" w:rsidRDefault="003B3F2B" w14:paraId="00100014" w14:textId="00100015">
      <w:pPr>
        <w:pStyle w:val="TOC1"/>
        <w:tabs>
          <w:tab w:val="right" w:leader="dot" w:pos="9868"/>
        </w:tabs>
        <w:rPr>
          <w:noProof/>
        </w:rPr>
      </w:pPr>
      <w:hyperlink w:history="1" w:anchor="_Toc235643429">
        <w:r w:rsidRPr="00B76414">
          <w:rPr>
            <w:rStyle w:val="Hyperlink"/>
            <w:noProof/>
          </w:rPr>
          <w:t>2. Findings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_Toc235643429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3B3F2B" w:rsidRDefault="003B3F2B" w14:paraId="00100016" w14:textId="00100017">
      <w:pPr>
        <w:pStyle w:val="TOC2"/>
        <w:tabs>
          <w:tab w:val="right" w:leader="dot" w:pos="9868"/>
        </w:tabs>
        <w:rPr>
          <w:noProof/>
        </w:rPr>
      </w:pPr>
      <w:hyperlink w:history="1" w:anchor="_Toc235643430">
        <w:r w:rsidRPr="00B76414">
          <w:rPr>
            <w:rStyle w:val="Hyperlink"/>
            <w:noProof/>
          </w:rPr>
          <w:t>Key Observations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_Toc235643430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4</w:t>
        </w:r>
        <w:r>
          <w:rPr>
            <w:noProof/>
          </w:rPr>
          <w:fldChar w:fldCharType="end"/>
        </w:r>
      </w:hyperlink>
    </w:p>
    <w:p w:rsidR="003B3F2B" w:rsidRDefault="003B3F2B" w14:paraId="00100018" w14:textId="00100019">
      <w:pPr>
        <w:pStyle w:val="TOC1"/>
        <w:tabs>
          <w:tab w:val="right" w:leader="dot" w:pos="9868"/>
        </w:tabs>
        <w:rPr>
          <w:noProof/>
        </w:rPr>
      </w:pPr>
      <w:hyperlink w:history="1" w:anchor="_Toc235643431">
        <w:r w:rsidRPr="00B76414">
          <w:rPr>
            <w:rStyle w:val="Hyperlink"/>
            <w:noProof/>
          </w:rPr>
          <w:t>3. Financial Controls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_Toc235643431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3B3F2B" w:rsidRDefault="003B3F2B" w14:paraId="0010001A" w14:textId="0010001B">
      <w:pPr>
        <w:pStyle w:val="TOC2"/>
        <w:tabs>
          <w:tab w:val="right" w:leader="dot" w:pos="9868"/>
        </w:tabs>
        <w:rPr>
          <w:noProof/>
        </w:rPr>
      </w:pPr>
      <w:hyperlink w:history="1" w:anchor="_Toc235643432">
        <w:r w:rsidRPr="00B76414">
          <w:rPr>
            <w:rStyle w:val="Hyperlink"/>
            <w:noProof/>
          </w:rPr>
          <w:t>Cost Variance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_Toc235643432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5</w:t>
        </w:r>
        <w:r>
          <w:rPr>
            <w:noProof/>
          </w:rPr>
          <w:fldChar w:fldCharType="end"/>
        </w:r>
      </w:hyperlink>
    </w:p>
    <w:p w:rsidR="003B3F2B" w:rsidRDefault="003B3F2B" w14:paraId="0010001C" w14:textId="0010001D">
      <w:pPr>
        <w:pStyle w:val="TOC1"/>
        <w:tabs>
          <w:tab w:val="right" w:leader="dot" w:pos="9868"/>
        </w:tabs>
        <w:rPr>
          <w:noProof/>
        </w:rPr>
      </w:pPr>
      <w:hyperlink w:history="1" w:anchor="_Toc235643433">
        <w:r w:rsidRPr="00B76414">
          <w:rPr>
            <w:rStyle w:val="Hyperlink"/>
            <w:noProof/>
          </w:rPr>
          <w:t>4. Outlook and Actions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_Toc235643433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3B3F2B" w:rsidRDefault="003B3F2B" w14:paraId="0010001E" w14:textId="0010001F">
      <w:pPr>
        <w:pStyle w:val="TOC2"/>
        <w:tabs>
          <w:tab w:val="right" w:leader="dot" w:pos="9868"/>
        </w:tabs>
        <w:rPr>
          <w:noProof/>
        </w:rPr>
      </w:pPr>
      <w:hyperlink w:history="1" w:anchor="_Toc235643434">
        <w:r w:rsidRPr="00B76414">
          <w:rPr>
            <w:rStyle w:val="Hyperlink"/>
            <w:noProof/>
          </w:rPr>
          <w:t>Plan versus Actual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_Toc235643434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3B3F2B" w:rsidRDefault="003B3F2B" w14:paraId="00100020" w14:textId="00100021">
      <w:pPr>
        <w:pStyle w:val="TOC2"/>
        <w:tabs>
          <w:tab w:val="right" w:leader="dot" w:pos="9868"/>
        </w:tabs>
        <w:rPr>
          <w:noProof/>
        </w:rPr>
      </w:pPr>
      <w:hyperlink w:history="1" w:anchor="_Toc235643435">
        <w:r w:rsidRPr="00B76414">
          <w:rPr>
            <w:rStyle w:val="Hyperlink"/>
            <w:noProof/>
          </w:rPr>
          <w:t>Recommended Actions</w:t>
        </w:r>
        <w:r>
          <w:rPr>
            <w:noProof/>
          </w:rPr>
          <w:tab/>
        </w:r>
        <w:r>
          <w:rPr>
            <w:noProof/>
          </w:rPr>
          <w:fldChar w:fldCharType="begin"/>
        </w:r>
        <w:r>
          <w:rPr>
            <w:noProof/>
          </w:rPr>
          <w:instrText xml:space="preserve"> PAGEREF _Toc235643435 \h </w:instrText>
        </w:r>
        <w:r>
          <w:rPr>
            <w:noProof/>
          </w:rPr>
        </w:r>
        <w:r>
          <w:rPr>
            <w:noProof/>
          </w:rPr>
          <w:fldChar w:fldCharType="separate"/>
        </w:r>
        <w:r>
          <w:rPr>
            <w:noProof/>
          </w:rPr>
          <w:t>6</w:t>
        </w:r>
        <w:r>
          <w:rPr>
            <w:noProof/>
          </w:rPr>
          <w:fldChar w:fldCharType="end"/>
        </w:r>
      </w:hyperlink>
    </w:p>
    <w:p w:rsidR="00F24685" w:rsidRDefault="00DA62C5" w14:paraId="00100022" w14:textId="00100023">
      <w:r>
        <w:fldChar w:fldCharType="end"/>
      </w:r>
    </w:p>
    <w:p w:rsidR="00F24685" w:rsidRDefault="00DA62C5" w14:paraId="00100024" w14:textId="00100025">
      <w:pPr>
        <w:pStyle w:val="Heading1"/>
      </w:pPr>
      <w:bookmarkStart w:name="_Toc235643427" w:id="0"/>
      <w:r>
        <w:lastRenderedPageBreak/>
        <w:t>1. Executive Summary</w:t>
      </w:r>
      <w:bookmarkEnd w:id="0"/>
    </w:p>
    <w:p w:rsidR="00F24685" w:rsidRDefault="00DA62C5" w14:paraId="00100026" w14:textId="00100027">
      <w:pPr>
        <w:ind w:firstLine="440" w:firstLineChars="200"/>
        <w:jc w:val="both"/>
      </w:pPr>
      <w:r>
        <w:t>Replace this paragraph with the report's decision-level summary: purpose, current position, material findings, and the action requested from the reader.</w:t>
      </w:r>
    </w:p>
    <w:p w:rsidR="00F24685" w:rsidRDefault="00DA62C5" w14:paraId="00100028" w14:textId="00100029">
      <w:pPr>
        <w:pStyle w:val="Heading2"/>
      </w:pPr>
      <w:bookmarkStart w:name="_Toc235643428" w:id="1"/>
      <w:r>
        <w:t>Purpose and Scope</w:t>
      </w:r>
      <w:bookmarkEnd w:id="1"/>
    </w:p>
    <w:p w:rsidR="00F24685" w:rsidRDefault="00DA62C5" w14:paraId="0010002A" w14:textId="0010002B">
      <w:pPr>
        <w:ind w:firstLine="440" w:firstLineChars="200"/>
        <w:jc w:val="both"/>
      </w:pPr>
      <w:r>
        <w:t>Define the reporting period, boundaries, source information, assumptions, and any limitations that affect interpretation of the report.</w:t>
      </w:r>
    </w:p>
    <w:p w:rsidR="00F24685" w:rsidRDefault="00DA62C5" w14:paraId="0010002C" w14:textId="0010002D">
      <w:pPr>
        <w:pStyle w:val="Heading1"/>
      </w:pPr>
      <w:bookmarkStart w:name="_Toc235643429" w:id="2"/>
      <w:r>
        <w:lastRenderedPageBreak/>
        <w:t>2. Findings</w:t>
      </w:r>
      <w:bookmarkEnd w:id="2"/>
    </w:p>
    <w:p w:rsidR="00F24685" w:rsidRDefault="00DA62C5" w14:paraId="0010002E" w14:textId="0010002F">
      <w:pPr>
        <w:ind w:firstLine="440" w:firstLineChars="200"/>
        <w:jc w:val="both"/>
      </w:pPr>
      <w:r>
        <w:t>Summarize the evidence and explain why it matters. Keep observations separate from recommendations and cite supporting records where appropriate.</w:t>
      </w:r>
    </w:p>
    <w:p w:rsidR="00F24685" w:rsidRDefault="00DA62C5" w14:paraId="00100030" w14:textId="00100031">
      <w:pPr>
        <w:pStyle w:val="Heading2"/>
      </w:pPr>
      <w:bookmarkStart w:name="_Toc235643430" w:id="3"/>
      <w:r>
        <w:t>Key Observations</w:t>
      </w:r>
      <w:bookmarkEnd w:id="3"/>
    </w:p>
    <w:p w:rsidR="00F24685" w:rsidRDefault="00DA62C5" w14:paraId="00100032" w14:textId="00100033">
      <w:pPr>
        <w:ind w:firstLine="440" w:firstLineChars="200"/>
      </w:pPr>
      <w:r>
        <w:t>Use the table below to record the most important findings, their status, and the evidence required to close or confirm each item.</w:t>
      </w:r>
    </w:p>
    <w:tbl>
      <w:tblPr>
        <w:tblW w:w="720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90" w:type="dxa"/>
          <w:left w:w="90" w:type="dxa"/>
          <w:bottom w:w="90" w:type="dxa"/>
          <w:right w:w="90" w:type="dxa"/>
        </w:tblCellMar>
        <w:tblLook w:val="04A0" w:firstRow="1" w:lastRow="0" w:firstColumn="1" w:lastColumn="0" w:noHBand="0" w:noVBand="1"/>
        <w:tblCaption w:val="Key findings and actions"/>
        <w:tblDescription w:val="Reusable findings table with status and supporting evidence"/>
      </w:tblPr>
      <w:tblGrid>
        <w:gridCol w:w="2300"/>
        <w:gridCol w:w="1400"/>
        <w:gridCol w:w="3500"/>
      </w:tblGrid>
      <w:tr w:rsidR="00F24685">
        <w:trPr>
          <w:cantSplit/>
          <w:tblHeader/>
          <w:jc w:val="center"/>
        </w:trPr>
        <w:tc>
          <w:tcPr>
            <w:tcW w:w="2300" w:type="dxa"/>
            <w:shd w:val="clear" w:color="auto" w:fill="1F4E79"/>
            <w:vAlign w:val="center"/>
          </w:tcPr>
          <w:p w:rsidR="00F24685" w:rsidRDefault="00DA62C5" w14:paraId="00100034" w14:textId="00100035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Finding</w:t>
            </w:r>
          </w:p>
        </w:tc>
        <w:tc>
          <w:tcPr>
            <w:tcW w:w="1400" w:type="dxa"/>
            <w:shd w:val="clear" w:color="auto" w:fill="1F4E79"/>
            <w:vAlign w:val="center"/>
          </w:tcPr>
          <w:p w:rsidR="00F24685" w:rsidRDefault="00DA62C5" w14:paraId="00100036" w14:textId="00100037">
            <w:pPr>
              <w:jc w:val="center"/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w="3500" w:type="dxa"/>
            <w:shd w:val="clear" w:color="auto" w:fill="1F4E79"/>
            <w:vAlign w:val="center"/>
          </w:tcPr>
          <w:p w:rsidR="00F24685" w:rsidRDefault="00DA62C5" w14:paraId="00100038" w14:textId="00100039">
            <w:pPr>
              <w:rPr>
                <w:b/>
                <w:color w:val="FFFFFF"/>
                <w:sz w:val="18"/>
              </w:rPr>
            </w:pPr>
            <w:r>
              <w:rPr>
                <w:b/>
                <w:color w:val="FFFFFF"/>
                <w:sz w:val="18"/>
              </w:rPr>
              <w:t>Evidence / action</w:t>
            </w:r>
          </w:p>
        </w:tc>
      </w:tr>
      <w:tr w:rsidR="00F24685">
        <w:trPr>
          <w:cantSplit/>
          <w:jc w:val="center"/>
        </w:trPr>
        <w:tc>
          <w:tcPr>
            <w:tcW w:w="2300" w:type="dxa"/>
            <w:vAlign w:val="center"/>
          </w:tcPr>
          <w:p w:rsidR="00F24685" w:rsidRDefault="00DA62C5" w14:paraId="0010003A" w14:textId="0010003B">
            <w:pPr>
              <w:rPr>
                <w:sz w:val="18"/>
              </w:rPr>
            </w:pPr>
            <w:r>
              <w:rPr>
                <w:sz w:val="18"/>
              </w:rPr>
              <w:t>[Finding 1]</w:t>
            </w:r>
          </w:p>
        </w:tc>
        <w:tc>
          <w:tcPr>
            <w:tcW w:w="1400" w:type="dxa"/>
            <w:vAlign w:val="center"/>
          </w:tcPr>
          <w:p w:rsidR="00F24685" w:rsidRDefault="00DA62C5" w14:paraId="0010003C" w14:textId="0010003D">
            <w:pPr>
              <w:jc w:val="center"/>
              <w:rPr>
                <w:sz w:val="18"/>
              </w:rPr>
            </w:pPr>
            <w:r>
              <w:rPr>
                <w:sz w:val="18"/>
              </w:rPr>
              <w:t>Open</w:t>
            </w:r>
          </w:p>
        </w:tc>
        <w:tc>
          <w:tcPr>
            <w:tcW w:w="3500" w:type="dxa"/>
            <w:vAlign w:val="center"/>
          </w:tcPr>
          <w:p w:rsidR="00F24685" w:rsidRDefault="00DA62C5" w14:paraId="0010003E" w14:textId="0010003F">
            <w:pPr>
              <w:rPr>
                <w:sz w:val="18"/>
              </w:rPr>
            </w:pPr>
            <w:r>
              <w:rPr>
                <w:sz w:val="18"/>
              </w:rPr>
              <w:t>[Owner, due date, and evidence]</w:t>
            </w:r>
          </w:p>
        </w:tc>
      </w:tr>
      <w:tr w:rsidR="00F24685">
        <w:trPr>
          <w:cantSplit/>
          <w:jc w:val="center"/>
        </w:trPr>
        <w:tc>
          <w:tcPr>
            <w:tcW w:w="2300" w:type="dxa"/>
            <w:shd w:val="clear" w:color="auto" w:fill="EAF2F8"/>
            <w:vAlign w:val="center"/>
          </w:tcPr>
          <w:p w:rsidR="00F24685" w:rsidRDefault="00DA62C5" w14:paraId="00100040" w14:textId="00100041">
            <w:pPr>
              <w:rPr>
                <w:sz w:val="18"/>
              </w:rPr>
            </w:pPr>
            <w:r>
              <w:rPr>
                <w:sz w:val="18"/>
              </w:rPr>
              <w:t>[Finding 2]</w:t>
            </w:r>
          </w:p>
        </w:tc>
        <w:tc>
          <w:tcPr>
            <w:tcW w:w="1400" w:type="dxa"/>
            <w:shd w:val="clear" w:color="auto" w:fill="EAF2F8"/>
            <w:vAlign w:val="center"/>
          </w:tcPr>
          <w:p w:rsidR="00F24685" w:rsidRDefault="00DA62C5" w14:paraId="00100042" w14:textId="00100043">
            <w:pPr>
              <w:jc w:val="center"/>
              <w:rPr>
                <w:sz w:val="18"/>
              </w:rPr>
            </w:pPr>
            <w:r>
              <w:rPr>
                <w:sz w:val="18"/>
              </w:rPr>
              <w:t>Monitor</w:t>
            </w:r>
          </w:p>
        </w:tc>
        <w:tc>
          <w:tcPr>
            <w:tcW w:w="3500" w:type="dxa"/>
            <w:shd w:val="clear" w:color="auto" w:fill="EAF2F8"/>
            <w:vAlign w:val="center"/>
          </w:tcPr>
          <w:p w:rsidR="00F24685" w:rsidRDefault="00DA62C5" w14:paraId="00100044" w14:textId="00100045">
            <w:pPr>
              <w:rPr>
                <w:sz w:val="18"/>
              </w:rPr>
            </w:pPr>
            <w:r>
              <w:rPr>
                <w:sz w:val="18"/>
              </w:rPr>
              <w:t>[Owner, due date, and evidence]</w:t>
            </w:r>
          </w:p>
        </w:tc>
      </w:tr>
    </w:tbl>
    <w:p w:rsidR="00F24685" w:rsidRDefault="00DA62C5" w14:paraId="00100046" w14:textId="00100047">
      <w:pPr>
        <w:pStyle w:val="Heading1"/>
      </w:pPr>
      <w:bookmarkStart w:name="_Toc235643431" w:id="4"/>
      <w:r>
        <w:lastRenderedPageBreak/>
        <w:t>3. Financial Controls</w:t>
      </w:r>
      <w:bookmarkEnd w:id="4"/>
    </w:p>
    <w:p w:rsidR="00F24685" w:rsidRDefault="00DA62C5" w14:paraId="00100048" w14:textId="00100049">
      <w:pPr>
        <w:ind w:firstLine="440" w:firstLineChars="200"/>
        <w:jc w:val="both"/>
      </w:pPr>
      <w:r>
        <w:t>Describe the approved baseline, current commitments, pending exposure, and the rules for authorizing forecast movement or contingency use.</w:t>
      </w:r>
    </w:p>
    <w:p w:rsidR="00F24685" w:rsidRDefault="00DA62C5" w14:paraId="0010004A" w14:textId="0010004B">
      <w:pPr>
        <w:pStyle w:val="Heading2"/>
      </w:pPr>
      <w:bookmarkStart w:name="_Toc235643432" w:id="5"/>
      <w:r>
        <w:t>Cost Variance</w:t>
      </w:r>
      <w:bookmarkEnd w:id="5"/>
    </w:p>
    <w:p w:rsidR="00F24685" w:rsidRDefault="00DA62C5" w14:paraId="0010004C" w14:textId="0010004D">
      <w:pPr>
        <w:ind w:firstLine="440" w:firstLineChars="200"/>
      </w:pPr>
      <w:r>
        <w:t>A reusable cost-variance control compares earned value with actual cost at the same work-package and reporting-date boundary.</w:t>
      </w:r>
    </w:p>
    <w:p w:rsidR="00F24685" w:rsidRDefault="00DA62C5" w14:paraId="0010004E" w14:textId="0010004F">
      <m:oMathPara>
        <m:oMath>
          <m:r>
            <w:rPr>
              <w:rFonts w:ascii="Cambria Math" w:hAnsi="Cambria Math"/>
            </w:rPr>
            <m:t>CV</m:t>
          </m:r>
          <m:r>
            <w:rPr>
              <w:rFonts w:ascii="Cambria Math" w:hAnsi="Cambria Math"/>
            </w:rPr>
            <m:t xml:space="preserve"> = </m:t>
          </m:r>
          <m:r>
            <w:rPr>
              <w:rFonts w:ascii="Cambria Math" w:hAnsi="Cambria Math"/>
            </w:rPr>
            <m:t>EV</m:t>
          </m:r>
          <m:r>
            <w:rPr>
              <w:rFonts w:ascii="Cambria Math" w:hAnsi="Cambria Math"/>
            </w:rPr>
            <m:t xml:space="preserve"> - </m:t>
          </m:r>
          <m:r>
            <w:rPr>
              <w:rFonts w:ascii="Cambria Math" w:hAnsi="Cambria Math"/>
            </w:rPr>
            <m:t>AC</m:t>
          </m:r>
        </m:oMath>
      </m:oMathPara>
    </w:p>
    <w:p w:rsidR="00F24685" w:rsidRDefault="00DA62C5" w14:paraId="00100050" w14:textId="00100051">
      <w:pPr>
        <w:ind w:firstLine="440" w:firstLineChars="200"/>
        <w:jc w:val="both"/>
      </w:pPr>
      <w:r>
        <w:t>Explain the metric in context; timing differences, missing commitments, or deferred invoices should not be interpreted as genuine savings without supporting evidence.</w:t>
      </w:r>
    </w:p>
    <w:p w:rsidR="00F24685" w:rsidRDefault="00DA62C5" w14:paraId="00100052" w14:textId="00100053">
      <w:pPr>
        <w:pStyle w:val="Heading1"/>
      </w:pPr>
      <w:bookmarkStart w:name="_Toc235643433" w:id="6"/>
      <w:r>
        <w:lastRenderedPageBreak/>
        <w:t>4. Outlook and Actions</w:t>
      </w:r>
      <w:bookmarkEnd w:id="6"/>
    </w:p>
    <w:p w:rsidR="00F24685" w:rsidRDefault="00DA62C5" w14:paraId="00100054" w14:textId="00100055">
      <w:pPr>
        <w:ind w:firstLine="440" w:firstLineChars="200"/>
        <w:jc w:val="both"/>
      </w:pPr>
      <w:r>
        <w:t>State the likely trajectory, the conditions required to maintain it, and the decisions that must be made during the next reporting cycle.</w:t>
      </w:r>
    </w:p>
    <w:p w:rsidR="00F24685" w:rsidRDefault="00DA62C5" w14:paraId="00100056" w14:textId="00100057">
      <w:pPr>
        <w:pStyle w:val="Heading2"/>
      </w:pPr>
      <w:bookmarkStart w:name="_Toc235643434" w:id="7"/>
      <w:r>
        <w:t>Plan versus Actual</w:t>
      </w:r>
      <w:bookmarkEnd w:id="7"/>
    </w:p>
    <w:p w:rsidR="00F24685" w:rsidRDefault="00DA62C5" w14:paraId="00100058" w14:textId="00100059">
      <w:pPr>
        <w:ind w:firstLine="440" w:firstLineChars="200"/>
      </w:pPr>
      <w:r>
        <w:t>Replace the illustrative values in this chart with current period data and explain any material variance in the narrative below it.</w:t>
      </w:r>
    </w:p>
    <w:p w:rsidR="00F24685" w:rsidRDefault="00DA62C5" w14:paraId="0010005A" w14:textId="0010005B">
      <w:r>
        <w:rPr>
          <w:noProof/>
        </w:rPr>
        <w:drawing>
          <wp:inline distT="0" distB="0" distL="0" distR="0">
            <wp:extent cx="5669280" cy="3017520"/>
            <wp:effectExtent l="0" t="0" r="0" b="0"/>
            <wp:docPr id="1" name="Plan vs Actual (%)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:rsidR="00F24685" w:rsidRDefault="00DA62C5" w14:paraId="0010005C" w14:textId="0010005D">
      <w:pPr>
        <w:pStyle w:val="Heading2"/>
      </w:pPr>
      <w:bookmarkStart w:name="_Toc235643435" w:id="8"/>
      <w:r>
        <w:t>Recommended Actions</w:t>
      </w:r>
      <w:bookmarkEnd w:id="8"/>
    </w:p>
    <w:p w:rsidR="00F24685" w:rsidRDefault="00DA62C5" w14:paraId="0010005E" w14:textId="0010005F">
      <w:pPr>
        <w:ind w:firstLine="440" w:firstLineChars="200"/>
        <w:jc w:val="both"/>
      </w:pPr>
      <w:r>
        <w:t>List the next actions with accountable owners, dates, and evidence of completion. Escalate only decisions that exceed the delegated authority of the workstream owner.</w:t>
      </w:r>
    </w:p>
    <w:sectPr w:rsidR="00F24685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080" w:right="1181" w:bottom="1037" w:left="1181" w:header="504" w:footer="547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DA62C5" w:rsidRDefault="00DA62C5" w14:paraId="0010006C" w14:textId="0010006D">
      <w:pPr>
        <w:spacing w:after="0" w:line="240" w:lineRule="auto"/>
      </w:pPr>
      <w:r>
        <w:separator/>
      </w:r>
    </w:p>
  </w:endnote>
  <w:endnote w:type="continuationSeparator" w:id="0">
    <w:p w:rsidR="00DA62C5" w:rsidRDefault="00DA62C5" w14:paraId="0010006E" w14:textId="001000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685" w:rsidRDefault="00DA62C5" w14:paraId="00100064" w14:textId="00100065">
    <w:pPr>
      <w:jc w:val="center"/>
    </w:pPr>
    <w:r>
      <w:rPr>
        <w:color w:val="6B7280"/>
        <w:sz w:val="17"/>
      </w:rPr>
      <w:t xml:space="preserve">Page </w:t>
    </w:r>
    <w:r>
      <w:rPr>
        <w:color w:val="6B7280"/>
        <w:sz w:val="17"/>
      </w:rPr>
      <w:fldChar w:fldCharType="begin"/>
    </w:r>
    <w:r>
      <w:rPr>
        <w:color w:val="6B7280"/>
        <w:sz w:val="17"/>
      </w:rPr>
      <w:instrText xml:space="preserve"> PAGE </w:instrText>
    </w:r>
    <w:r>
      <w:rPr>
        <w:color w:val="6B7280"/>
        <w:sz w:val="17"/>
      </w:rPr>
      <w:fldChar w:fldCharType="separate"/>
    </w:r>
    <w:r>
      <w:rPr>
        <w:color w:val="6B7280"/>
        <w:sz w:val="17"/>
      </w:rPr>
      <w:t>1</w:t>
    </w:r>
    <w:r>
      <w:rPr>
        <w:color w:val="6B7280"/>
        <w:sz w:val="17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685" w:rsidRDefault="00F24685" w14:paraId="00100066" w14:textId="0010006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DA62C5" w:rsidRDefault="00DA62C5" w14:paraId="00100068" w14:textId="00100069">
      <w:pPr>
        <w:spacing w:after="0" w:line="240" w:lineRule="auto"/>
      </w:pPr>
      <w:r>
        <w:separator/>
      </w:r>
    </w:p>
  </w:footnote>
  <w:footnote w:type="continuationSeparator" w:id="0">
    <w:p w:rsidR="00DA62C5" w:rsidRDefault="00DA62C5" w14:paraId="0010006A" w14:textId="0010006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685" w:rsidRDefault="00DA62C5" w14:paraId="00100060" w14:textId="00100061">
    <w:pPr>
      <w:jc w:val="right"/>
    </w:pPr>
    <w:r>
      <w:rPr>
        <w:b/>
        <w:color w:val="5B6770"/>
        <w:sz w:val="16"/>
      </w:rPr>
      <w:t>[REPORT NAME] | [ORGANIZATION]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24685" w:rsidRDefault="00F24685" w14:paraId="00100062" w14:textId="00100063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4685"/>
    <w:rsid w:val="00397F41"/>
    <w:rsid w:val="003B3F2B"/>
    <w:rsid w:val="00DA62C5"/>
    <w:rsid w:val="00F246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2497B3A-4D18-47EB-9D36-E00A32579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hAnsi="Aptos" w:eastAsia="Aptos" w:cs="Aptos"/>
        <w:color w:val="263238"/>
        <w:sz w:val="22"/>
        <w:szCs w:val="22"/>
        <w:lang w:val="en-PH" w:eastAsia="en-PH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pageBreakBefore/>
      <w:spacing w:before="320" w:after="140"/>
      <w:outlineLvl w:val="0"/>
    </w:pPr>
    <w:rPr>
      <w:rFonts w:ascii="Aptos Display" w:hAnsi="Aptos Display" w:eastAsia="Aptos Display"/>
      <w:b/>
      <w:color w:val="1F4E79"/>
      <w:sz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80"/>
      <w:outlineLvl w:val="1"/>
    </w:pPr>
    <w:rPr>
      <w:rFonts w:ascii="Aptos Display" w:hAnsi="Aptos Display" w:eastAsia="Aptos Display"/>
      <w:b/>
      <w:color w:val="007C83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TOC1">
    <w:name w:val="toc 1"/>
    <w:basedOn w:val="Normal"/>
    <w:next w:val="Normal"/>
    <w:autoRedefine/>
    <w:uiPriority w:val="39"/>
    <w:unhideWhenUsed/>
    <w:rsid w:val="003B3F2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3B3F2B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3B3F2B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2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1"/>
  <c:style val="2"/>
  <c:chart>
    <c:title>
      <c:tx>
        <c:rich>
          <a:bodyPr/>
          <a:lstStyle/>
          <a:p>
            <a:pPr>
              <a:defRPr sz="1400" b="1"/>
            </a:pPr>
            <a:r>
              <a:rPr lang="en-US" sz="1400" b="1"/>
              <a:t>Plan vs Actual (%)</a:t>
            </a:r>
          </a:p>
        </c:rich>
      </c:tx>
      <c:overlay val="0"/>
    </c:title>
    <c:autoTitleDeleted val="0"/>
    <c:plotArea>
      <c:layout/>
      <c:lineChart>
        <c:grouping val="standard"/>
        <c:varyColors val="0"/>
        <c:ser>
          <c:idx val="0"/>
          <c:order val="0"/>
          <c:tx>
            <c:v>Plan</c:v>
          </c:tx>
          <c:spPr>
            <a:ln w="25400">
              <a:solidFill>
                <a:srgbClr val="1F4E79"/>
              </a:solidFill>
            </a:ln>
          </c:spPr>
          <c:marker>
            <c:symbol val="circle"/>
            <c:size val="6"/>
          </c:marker>
          <c:cat>
            <c:strLit>
              <c:ptCount val="3"/>
              <c:pt idx="0">
                <c:v>Phase 1</c:v>
              </c:pt>
              <c:pt idx="1">
                <c:v>Phase 2</c:v>
              </c:pt>
              <c:pt idx="2">
                <c:v>Phase 3</c:v>
              </c:pt>
            </c:strLit>
          </c:cat>
          <c:val>
            <c:numLit>
              <c:formatCode>General</c:formatCode>
              <c:ptCount val="3"/>
              <c:pt idx="0">
                <c:v>20</c:v>
              </c:pt>
              <c:pt idx="1">
                <c:v>60</c:v>
              </c:pt>
              <c:pt idx="2">
                <c:v>100</c:v>
              </c:pt>
            </c:numLit>
          </c:val>
          <c:smooth val="1"/>
          <c:extLst>
            <c:ext xmlns:c16="http://schemas.microsoft.com/office/drawing/2014/chart" uri="{C3380CC4-5D6E-409C-BE32-E72D297353CC}">
              <c16:uniqueId val="{00000000-011E-448D-BBA2-16EAA6A19EF0}"/>
            </c:ext>
          </c:extLst>
        </c:ser>
        <c:ser>
          <c:idx val="1"/>
          <c:order val="1"/>
          <c:tx>
            <c:v>Actual</c:v>
          </c:tx>
          <c:spPr>
            <a:ln w="25400">
              <a:solidFill>
                <a:srgbClr val="007C83"/>
              </a:solidFill>
            </a:ln>
          </c:spPr>
          <c:marker>
            <c:symbol val="circle"/>
            <c:size val="6"/>
          </c:marker>
          <c:cat>
            <c:strLit>
              <c:ptCount val="3"/>
              <c:pt idx="0">
                <c:v>Phase 1</c:v>
              </c:pt>
              <c:pt idx="1">
                <c:v>Phase 2</c:v>
              </c:pt>
              <c:pt idx="2">
                <c:v>Phase 3</c:v>
              </c:pt>
            </c:strLit>
          </c:cat>
          <c:val>
            <c:numLit>
              <c:formatCode>General</c:formatCode>
              <c:ptCount val="3"/>
              <c:pt idx="0">
                <c:v>18</c:v>
              </c:pt>
              <c:pt idx="1">
                <c:v>55</c:v>
              </c:pt>
              <c:pt idx="2">
                <c:v>92</c:v>
              </c:pt>
            </c:numLit>
          </c:val>
          <c:smooth val="1"/>
          <c:extLst>
            <c:ext xmlns:c16="http://schemas.microsoft.com/office/drawing/2014/chart" uri="{C3380CC4-5D6E-409C-BE32-E72D297353CC}">
              <c16:uniqueId val="{00000001-011E-448D-BBA2-16EAA6A19EF0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marker val="1"/>
        <c:smooth val="0"/>
        <c:axId val="1"/>
        <c:axId val="2"/>
      </c:lineChart>
      <c:catAx>
        <c:axId val="1"/>
        <c:scaling>
          <c:orientation val="minMax"/>
        </c:scaling>
        <c:delete val="0"/>
        <c:axPos val="b"/>
        <c:title>
          <c:tx>
            <c:rich>
              <a:bodyPr/>
              <a:lstStyle/>
              <a:p>
                <a:pPr>
                  <a:defRPr sz="1400" b="1"/>
                </a:pPr>
                <a:r>
                  <a:rPr lang="en-US" sz="1400" b="1"/>
                  <a:t>Phase</a:t>
                </a:r>
              </a:p>
            </c:rich>
          </c:tx>
          <c:overlay val="0"/>
        </c:title>
        <c:numFmt formatCode="General" sourceLinked="0"/>
        <c:majorTickMark val="out"/>
        <c:minorTickMark val="none"/>
        <c:tickLblPos val="nextTo"/>
        <c:crossAx val="2"/>
        <c:crosses val="autoZero"/>
        <c:auto val="1"/>
        <c:lblAlgn val="ctr"/>
        <c:lblOffset val="100"/>
        <c:noMultiLvlLbl val="1"/>
      </c:catAx>
      <c:valAx>
        <c:axId val="2"/>
        <c:scaling>
          <c:orientation val="minMax"/>
          <c:max val="100"/>
          <c:min val="0"/>
        </c:scaling>
        <c:delete val="0"/>
        <c:axPos val="l"/>
        <c:majorGridlines>
          <c:spPr>
            <a:ln w="6350">
              <a:solidFill>
                <a:srgbClr val="D9E2E8"/>
              </a:solidFill>
            </a:ln>
          </c:spPr>
        </c:majorGridlines>
        <c:title>
          <c:tx>
            <c:rich>
              <a:bodyPr/>
              <a:lstStyle/>
              <a:p>
                <a:pPr>
                  <a:defRPr sz="1400" b="1"/>
                </a:pPr>
                <a:r>
                  <a:rPr lang="en-US" sz="1400" b="1"/>
                  <a:t>Completion (%)</a:t>
                </a:r>
              </a:p>
            </c:rich>
          </c:tx>
          <c:overlay val="0"/>
        </c:title>
        <c:numFmt formatCode="General" sourceLinked="1"/>
        <c:majorTickMark val="out"/>
        <c:minorTickMark val="none"/>
        <c:tickLblPos val="nextTo"/>
        <c:crossAx val="1"/>
        <c:crosses val="autoZero"/>
        <c:crossBetween val="between"/>
        <c:majorUnit val="20"/>
      </c:valAx>
      <c:spPr>
        <a:solidFill>
          <a:srgbClr val="F7FAFC"/>
        </a:solidFill>
      </c:spPr>
    </c:plotArea>
    <c:legend>
      <c:legendPos val="b"/>
      <c:overlay val="0"/>
    </c:legend>
    <c:plotVisOnly val="1"/>
    <c:dispBlanksAs val="gap"/>
    <c:showDLblsOverMax val="1"/>
  </c:chart>
  <c:spPr>
    <a:solidFill>
      <a:srgbClr val="FFFFFF"/>
    </a:solidFill>
  </c:spPr>
</c:chartSpac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1F4E79"/>
      </a:accent1>
      <a:accent2>
        <a:srgbClr val="007C83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>
          <a:solidFill>
            <a:schemeClr val="phClr"/>
          </a:solidFill>
        </a:ln>
        <a:ln w="12700" cap="flat">
          <a:solidFill>
            <a:schemeClr val="phClr"/>
          </a:solidFill>
        </a:ln>
        <a:ln w="19050" cap="flat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Normal.dotm</ap:Template>
  <ap:TotalTime>0</ap:TotalTime>
  <ap:Pages>6</ap:Pages>
  <ap:Words>401</ap:Words>
  <ap:Characters>2290</ap:Characters>
  <ap:Application>Microsoft Office Word</ap:Application>
  <ap:DocSecurity>0</ap:DocSecurity>
  <ap:Lines>19</ap:Lines>
  <ap:Paragraphs>5</ap:Paragraphs>
  <ap:ScaleCrop>false</ap:ScaleCrop>
  <ap:Company>Ogent</ap:Company>
  <ap:LinksUpToDate>false</ap:LinksUpToDate>
  <ap:CharactersWithSpaces>2686</ap:CharactersWithSpaces>
  <ap:SharedDoc>false</ap:SharedDoc>
  <ap:HyperlinksChanged>false</ap:HyperlinksChanged>
  <ap:AppVersion>16.0000</ap:AppVersion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[REPORT TITLE]</dc:title>
  <dc:subject>Reusable professional report template</dc:subject>
  <dc:creator>Ogent</dc:creator>
  <lastModifiedBy>Ogent</lastModifiedBy>
  <revision>2</revision>
  <dcterms:created xsi:type="dcterms:W3CDTF">2026-07-22T12:10:00.0000000Z</dcterms:created>
  <dcterms:modified xsi:type="dcterms:W3CDTF">2026-07-22T12:10:00.0000000Z</dcterms:modified>
</coreProperties>
</file>

<file path=docProps/custom.xml><?xml version="1.0" encoding="utf-8"?>
<op:Properties xmlns:vt="http://schemas.openxmlformats.org/officeDocument/2006/docPropsVTypes" xmlns:op="http://schemas.openxmlformats.org/officeDocument/2006/custom-properties">
  <op:property fmtid="{D5CDD505-2E9C-101B-9397-08002B2CF9AE}" pid="2" name="OfficeCLI.Version">
    <vt:lpwstr>1.0.140</vt:lpwstr>
  </op:property>
  <op:property fmtid="{D5CDD505-2E9C-101B-9397-08002B2CF9AE}" pid="3" name="OfficeCLI.LastModified">
    <vt:lpwstr>2026-07-22T13:29:52Z</vt:lpwstr>
  </op:property>
</op:Properties>
</file>