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Use Case Details</w:t>
      </w:r>
    </w:p>
    <w:tbl>
      <w:tblPr>
        <w:tblStyle w:val="Table1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1"/>
        <w:gridCol w:w="2045"/>
        <w:gridCol w:w="754"/>
        <w:gridCol w:w="1710"/>
        <w:gridCol w:w="3240"/>
        <w:tblGridChange w:id="0">
          <w:tblGrid>
            <w:gridCol w:w="711"/>
            <w:gridCol w:w="2045"/>
            <w:gridCol w:w="754"/>
            <w:gridCol w:w="1710"/>
            <w:gridCol w:w="3240"/>
          </w:tblGrid>
        </w:tblGridChange>
      </w:tblGrid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 Information</w:t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#:  </w:t>
            </w:r>
            <w:r w:rsidDel="00000000" w:rsidR="00000000" w:rsidRPr="00000000">
              <w:rPr>
                <w:rtl w:val="0"/>
              </w:rPr>
              <w:t xml:space="preserve">Host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Main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Post Condition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‘Host’ from main screen; Host screen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Post 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remains on same page because Host screen doesn’t 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of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Use Cases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Scenario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‘Add a Meal’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Add a Meal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‘Take a Picture’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Take a Picture screen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1 – User cannot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‘Add a Meal’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‘Add a Meal’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Add a Meal page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2 –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cannot ‘Take a Picture’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‘Take a Picture’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‘Take a Picture’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Impacted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or E-mail Messages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Requirements</w:t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Main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