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left"/>
      </w:pPr>
      <w:r>
        <w:rPr>
          <w:rFonts w:ascii="Arial" w:cs="Arial" w:eastAsia="Arial" w:hAnsi="Arial"/>
          <w:b/>
          <w:bCs/>
          <w:color w:val="1F3864"/>
          <w:sz w:val="52"/>
          <w:szCs w:val="52"/>
        </w:rPr>
        <w:t xml:space="preserve">DEODATE Lease Schedule Engine</w:t>
      </w:r>
    </w:p>
    <w:p>
      <w:pPr>
        <w:spacing w:after="60" w:before="0"/>
      </w:pPr>
      <w:r>
        <w:rPr>
          <w:rFonts w:ascii="Arial" w:cs="Arial" w:eastAsia="Arial" w:hAnsi="Arial"/>
          <w:i/>
          <w:iCs/>
          <w:color w:val="2E75B6"/>
          <w:sz w:val="32"/>
          <w:szCs w:val="32"/>
        </w:rPr>
        <w:t xml:space="preserve">Architecture Overview — How It Works</w:t>
      </w:r>
    </w:p>
    <w:p>
      <w:pPr>
        <w:spacing w:after="480" w:before="0"/>
      </w:pPr>
      <w:r>
        <w:rPr>
          <w:rFonts w:ascii="Arial" w:cs="Arial" w:eastAsia="Arial" w:hAnsi="Arial"/>
          <w:color w:val="555555"/>
          <w:sz w:val="22"/>
          <w:szCs w:val="22"/>
        </w:rPr>
        <w:t xml:space="preserve">For developers, analysts, and anyone who wants to understand what the app is doing under the hood.</w:t>
      </w:r>
    </w:p>
    <w:p>
      <w:pPr>
        <w:pBdr>
          <w:bottom w:val="single" w:color="2E75B6" w:sz="12" w:space="4"/>
        </w:pBdr>
        <w:spacing w:after="480"/>
      </w:pPr>
      <w:r>
        <w:t xml:space="preserve"/>
      </w:r>
    </w:p>
    <w:p>
      <w:pPr>
        <w:pStyle w:val="Heading1"/>
        <w:spacing w:after="160" w:before="400"/>
      </w:pPr>
      <w:r>
        <w:rPr>
          <w:rFonts w:ascii="Arial" w:cs="Arial" w:eastAsia="Arial" w:hAnsi="Arial"/>
          <w:b/>
          <w:bCs/>
          <w:color w:val="1F3864"/>
          <w:sz w:val="36"/>
          <w:szCs w:val="36"/>
        </w:rPr>
        <w:t xml:space="preserve">1. The Big Picture</w:t>
      </w:r>
    </w:p>
    <w:p>
      <w:pPr>
        <w:spacing w:after="100" w:before="60"/>
      </w:pPr>
      <w:r>
        <w:rPr>
          <w:rFonts w:ascii="Arial" w:cs="Arial" w:eastAsia="Arial" w:hAnsi="Arial"/>
          <w:color w:val="000000"/>
          <w:sz w:val="22"/>
          <w:szCs w:val="22"/>
        </w:rPr>
        <w:t xml:space="preserve">The DEODATE Lease Schedule Engine is a single-page web application (React + Vite) that turns a commercial lease document — or manually entered rent schedule data — into a full monthly charge ledger. Think of it as a structured calculator purpose-built for lease obligations.</w:t>
      </w:r>
    </w:p>
    <w:p>
      <w:pPr>
        <w:spacing w:after="0" w:before="80"/>
      </w:pPr>
      <w:r>
        <w:t xml:space="preserve"/>
      </w:r>
    </w:p>
    <w:p>
      <w:pPr>
        <w:spacing w:after="100" w:before="60"/>
      </w:pPr>
      <w:r>
        <w:rPr>
          <w:rFonts w:ascii="Arial" w:cs="Arial" w:eastAsia="Arial" w:hAnsi="Arial"/>
          <w:color w:val="000000"/>
          <w:sz w:val="22"/>
          <w:szCs w:val="22"/>
        </w:rPr>
        <w:t xml:space="preserve">At its core the app does one thing:</w:t>
      </w:r>
    </w:p>
    <w:p>
      <w:pPr>
        <w:pStyle w:val="ListParagraph"/>
        <w:numPr>
          <w:ilvl w:val="0"/>
          <w:numId w:val="2"/>
        </w:numPr>
        <w:spacing w:after="60" w:before="40"/>
      </w:pPr>
      <w:r>
        <w:rPr>
          <w:rFonts w:ascii="Arial" w:cs="Arial" w:eastAsia="Arial" w:hAnsi="Arial"/>
          <w:color w:val="000000"/>
          <w:sz w:val="22"/>
          <w:szCs w:val="22"/>
        </w:rPr>
        <w:t xml:space="preserve">Take a rent schedule (periods + monthly rents)</w:t>
      </w:r>
    </w:p>
    <w:p>
      <w:pPr>
        <w:pStyle w:val="ListParagraph"/>
        <w:numPr>
          <w:ilvl w:val="0"/>
          <w:numId w:val="2"/>
        </w:numPr>
        <w:spacing w:after="60" w:before="40"/>
      </w:pPr>
      <w:r>
        <w:rPr>
          <w:rFonts w:ascii="Arial" w:cs="Arial" w:eastAsia="Arial" w:hAnsi="Arial"/>
          <w:color w:val="000000"/>
          <w:sz w:val="22"/>
          <w:szCs w:val="22"/>
        </w:rPr>
        <w:t xml:space="preserve">Add NNN and other charges with escalation logic</w:t>
      </w:r>
    </w:p>
    <w:p>
      <w:pPr>
        <w:pStyle w:val="ListParagraph"/>
        <w:numPr>
          <w:ilvl w:val="0"/>
          <w:numId w:val="2"/>
        </w:numPr>
        <w:spacing w:after="60" w:before="40"/>
      </w:pPr>
      <w:r>
        <w:rPr>
          <w:rFonts w:ascii="Arial" w:cs="Arial" w:eastAsia="Arial" w:hAnsi="Arial"/>
          <w:color w:val="000000"/>
          <w:sz w:val="22"/>
          <w:szCs w:val="22"/>
        </w:rPr>
        <w:t xml:space="preserve">Apply concessions and one-time items</w:t>
      </w:r>
    </w:p>
    <w:p>
      <w:pPr>
        <w:pStyle w:val="ListParagraph"/>
        <w:numPr>
          <w:ilvl w:val="0"/>
          <w:numId w:val="2"/>
        </w:numPr>
        <w:spacing w:after="60" w:before="40"/>
      </w:pPr>
      <w:r>
        <w:rPr>
          <w:rFonts w:ascii="Arial" w:cs="Arial" w:eastAsia="Arial" w:hAnsi="Arial"/>
          <w:color w:val="000000"/>
          <w:sz w:val="22"/>
          <w:szCs w:val="22"/>
        </w:rPr>
        <w:t xml:space="preserve">Produce a row for every month of the lease, with every charge computed and remaining balances tracked</w:t>
      </w:r>
    </w:p>
    <w:p>
      <w:pPr>
        <w:spacing w:after="0" w:before="80"/>
      </w:pPr>
      <w:r>
        <w:t xml:space="preserve"/>
      </w:r>
    </w:p>
    <w:p>
      <w:pPr>
        <w:spacing w:after="100" w:before="60"/>
      </w:pPr>
      <w:r>
        <w:rPr>
          <w:rFonts w:ascii="Arial" w:cs="Arial" w:eastAsia="Arial" w:hAnsi="Arial"/>
          <w:color w:val="000000"/>
          <w:sz w:val="22"/>
          <w:szCs w:val="22"/>
        </w:rPr>
        <w:t xml:space="preserve">The user never sees raw calculations — they see a clean ledger table and a summary panel. The heavy lifting happens in a pipeline of pure JavaScript functions in the src/engine/ folder.</w:t>
      </w:r>
    </w:p>
    <w:p>
      <w:pPr>
        <w:spacing w:after="0" w:before="160"/>
      </w:pPr>
      <w:r>
        <w:t xml:space="preserve"/>
      </w:r>
    </w:p>
    <w:p>
      <w:pPr>
        <w:pStyle w:val="Heading1"/>
        <w:spacing w:after="160" w:before="400"/>
      </w:pPr>
      <w:r>
        <w:rPr>
          <w:rFonts w:ascii="Arial" w:cs="Arial" w:eastAsia="Arial" w:hAnsi="Arial"/>
          <w:b/>
          <w:bCs/>
          <w:color w:val="1F3864"/>
          <w:sz w:val="36"/>
          <w:szCs w:val="36"/>
        </w:rPr>
        <w:t xml:space="preserve">2. Three Ways to Get Data In</w:t>
      </w:r>
    </w:p>
    <w:p>
      <w:pPr>
        <w:spacing w:after="100" w:before="60"/>
      </w:pPr>
      <w:r>
        <w:rPr>
          <w:rFonts w:ascii="Arial" w:cs="Arial" w:eastAsia="Arial" w:hAnsi="Arial"/>
          <w:color w:val="000000"/>
          <w:sz w:val="22"/>
          <w:szCs w:val="22"/>
        </w:rPr>
        <w:t xml:space="preserve">The first screen (UploadRouter) presents three entry points. All three ultimately feed the same downstream pipeline.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4472C4" w:sz="4"/>
              <w:left w:val="single" w:color="4472C4" w:sz="4"/>
              <w:bottom w:val="single" w:color="4472C4" w:sz="4"/>
              <w:right w:val="single" w:color="4472C4"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Path</w:t>
            </w:r>
          </w:p>
        </w:tc>
        <w:tc>
          <w:tcPr>
            <w:tcW w:type="dxa" w:w="2800"/>
            <w:tcBorders>
              <w:top w:val="single" w:color="4472C4" w:sz="4"/>
              <w:left w:val="single" w:color="4472C4" w:sz="4"/>
              <w:bottom w:val="single" w:color="4472C4" w:sz="4"/>
              <w:right w:val="single" w:color="4472C4"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the user does</w:t>
            </w:r>
          </w:p>
        </w:tc>
        <w:tc>
          <w:tcPr>
            <w:tcW w:type="dxa" w:w="4760"/>
            <w:tcBorders>
              <w:top w:val="single" w:color="4472C4" w:sz="4"/>
              <w:left w:val="single" w:color="4472C4" w:sz="4"/>
              <w:bottom w:val="single" w:color="4472C4" w:sz="4"/>
              <w:right w:val="single" w:color="4472C4"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How data enters the engine</w:t>
            </w:r>
          </w:p>
        </w:tc>
      </w:tr>
      <w:tr>
        <w:tc>
          <w:tcPr>
            <w:tcW w:type="dxa" w:w="1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Scan Lease (OCR)</w:t>
            </w:r>
          </w:p>
        </w:tc>
        <w:tc>
          <w:tcPr>
            <w:tcW w:type="dxa" w:w="2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Upload a PDF lease document</w:t>
            </w:r>
          </w:p>
        </w:tc>
        <w:tc>
          <w:tcPr>
            <w:tcW w:type="dxa" w:w="47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The app sends the PDF to an AI model (Anthropic Claude) for extraction. Extracted rent schedule, NNN charges, and concession events pre-fill the form. Low-confidence fields are flagged for user review.</w:t>
            </w:r>
          </w:p>
        </w:tc>
      </w:tr>
      <w:tr>
        <w:tc>
          <w:tcPr>
            <w:tcW w:type="dxa" w:w="18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000000"/>
                <w:sz w:val="20"/>
                <w:szCs w:val="20"/>
              </w:rPr>
              <w:t xml:space="preserve">Input Schedule (Manual)</w:t>
            </w:r>
          </w:p>
        </w:tc>
        <w:tc>
          <w:tcPr>
            <w:tcW w:type="dxa" w:w="28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000000"/>
                <w:sz w:val="20"/>
                <w:szCs w:val="20"/>
              </w:rPr>
              <w:t xml:space="preserve">Type or paste a rent schedule, or upload a formatted Excel/CSV file</w:t>
            </w:r>
          </w:p>
        </w:tc>
        <w:tc>
          <w:tcPr>
            <w:tcW w:type="dxa" w:w="476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000000"/>
                <w:sz w:val="20"/>
                <w:szCs w:val="20"/>
              </w:rPr>
              <w:t xml:space="preserve">The user works through ScheduleEditor (see Section 4). Period rows are entered directly and converted to monthly rows.</w:t>
            </w:r>
          </w:p>
        </w:tc>
      </w:tr>
      <w:tr>
        <w:tc>
          <w:tcPr>
            <w:tcW w:type="dxa" w:w="1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Download Template</w:t>
            </w:r>
          </w:p>
        </w:tc>
        <w:tc>
          <w:tcPr>
            <w:tcW w:type="dxa" w:w="2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Download a blank Excel template, fill it offline, re-upload</w:t>
            </w:r>
          </w:p>
        </w:tc>
        <w:tc>
          <w:tcPr>
            <w:tcW w:type="dxa" w:w="47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The filled file is parsed by parser.js the same way as a manual file upload. No OCR involved.</w:t>
            </w:r>
          </w:p>
        </w:tc>
      </w:tr>
    </w:tbl>
    <w:p>
      <w:pPr>
        <w:spacing w:after="0" w:before="120"/>
      </w:pPr>
      <w:r>
        <w:t xml:space="preserve"/>
      </w:r>
    </w:p>
    <w:tbl>
      <w:tblPr>
        <w:tblW w:type="dxa" w:w="9360"/>
        <w:tblBorders>
          <w:top w:val="none"/>
          <w:left w:val="none"/>
          <w:bottom w:val="none"/>
          <w:right w:val="none"/>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C45911"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KEY POINT</w:t>
            </w:r>
          </w:p>
        </w:tc>
        <w:tc>
          <w:tcPr>
            <w:tcW w:type="dxa" w:w="8800"/>
            <w:tcBorders>
              <w:top w:val="none" w:color="FFFFFF" w:sz="0"/>
              <w:left w:val="none" w:color="FFFFFF" w:sz="0"/>
              <w:bottom w:val="none" w:color="FFFFFF" w:sz="0"/>
              <w:right w:val="none" w:color="FFFFFF" w:sz="0"/>
            </w:tcBorders>
            <w:shd w:fill="FFF2CC" w:val="clear"/>
            <w:tcMar>
              <w:top w:type="dxa" w:w="80"/>
              <w:left w:type="dxa" w:w="160"/>
              <w:bottom w:type="dxa" w:w="80"/>
              <w:right w:type="dxa" w:w="160"/>
            </w:tcMar>
          </w:tcPr>
          <w:p>
            <w:r>
              <w:rPr>
                <w:rFonts w:ascii="Arial" w:cs="Arial" w:eastAsia="Arial" w:hAnsi="Arial"/>
                <w:color w:val="7F4B00"/>
                <w:sz w:val="20"/>
                <w:szCs w:val="20"/>
              </w:rPr>
              <w:t xml:space="preserve">All three paths converge at the same place: a confirmed list of period rows (start date, end date, monthly rent). After that, every path is identical.</w:t>
            </w:r>
          </w:p>
        </w:tc>
      </w:tr>
    </w:tbl>
    <w:p>
      <w:pPr>
        <w:spacing w:after="0" w:before="160"/>
      </w:pPr>
      <w:r>
        <w:t xml:space="preserve"/>
      </w:r>
    </w:p>
    <w:p>
      <w:pPr>
        <w:pStyle w:val="Heading1"/>
        <w:spacing w:after="160" w:before="400"/>
      </w:pPr>
      <w:r>
        <w:rPr>
          <w:rFonts w:ascii="Arial" w:cs="Arial" w:eastAsia="Arial" w:hAnsi="Arial"/>
          <w:b/>
          <w:bCs/>
          <w:color w:val="1F3864"/>
          <w:sz w:val="36"/>
          <w:szCs w:val="36"/>
        </w:rPr>
        <w:t xml:space="preserve">3. App.jsx — The Orchestrator</w:t>
      </w:r>
    </w:p>
    <w:p>
      <w:pPr>
        <w:spacing w:after="100" w:before="60"/>
      </w:pPr>
      <w:r>
        <w:rPr>
          <w:rFonts w:ascii="Arial" w:cs="Arial" w:eastAsia="Arial" w:hAnsi="Arial"/>
          <w:color w:val="000000"/>
          <w:sz w:val="22"/>
          <w:szCs w:val="22"/>
        </w:rPr>
        <w:t xml:space="preserve">App.jsx is the single source of truth. It owns all application state and controls which screen the user sees. Nothing in the app triggers automatically — every step requires an explicit user action (click, confirm, submit).</w:t>
      </w:r>
    </w:p>
    <w:p>
      <w:pPr>
        <w:spacing w:after="0" w:before="80"/>
      </w:pPr>
      <w:r>
        <w:t xml:space="preserve"/>
      </w:r>
    </w:p>
    <w:p>
      <w:pPr>
        <w:pStyle w:val="Heading3"/>
        <w:spacing w:after="80" w:before="240"/>
      </w:pPr>
      <w:r>
        <w:rPr>
          <w:rFonts w:ascii="Arial" w:cs="Arial" w:eastAsia="Arial" w:hAnsi="Arial"/>
          <w:b/>
          <w:bCs/>
          <w:color w:val="1F3864"/>
          <w:sz w:val="24"/>
          <w:szCs w:val="24"/>
        </w:rPr>
        <w:t xml:space="preserve">Steps (screens)</w:t>
      </w:r>
    </w:p>
    <w:p>
      <w:pPr>
        <w:pStyle w:val="ListParagraph"/>
        <w:numPr>
          <w:ilvl w:val="0"/>
          <w:numId w:val="2"/>
        </w:numPr>
        <w:spacing w:after="60" w:before="40"/>
      </w:pPr>
      <w:r>
        <w:rPr>
          <w:rFonts w:ascii="Arial" w:cs="Arial" w:eastAsia="Arial" w:hAnsi="Arial"/>
          <w:color w:val="000000"/>
          <w:sz w:val="22"/>
          <w:szCs w:val="22"/>
        </w:rPr>
        <w:t xml:space="preserve">UPLOAD — UploadRouter, intake selection</w:t>
      </w:r>
    </w:p>
    <w:p>
      <w:pPr>
        <w:pStyle w:val="ListParagraph"/>
        <w:numPr>
          <w:ilvl w:val="0"/>
          <w:numId w:val="2"/>
        </w:numPr>
        <w:spacing w:after="60" w:before="40"/>
      </w:pPr>
      <w:r>
        <w:rPr>
          <w:rFonts w:ascii="Arial" w:cs="Arial" w:eastAsia="Arial" w:hAnsi="Arial"/>
          <w:color w:val="000000"/>
          <w:sz w:val="22"/>
          <w:szCs w:val="22"/>
        </w:rPr>
        <w:t xml:space="preserve">SCHEDULE — ScheduleEditor, period/rent entry</w:t>
      </w:r>
    </w:p>
    <w:p>
      <w:pPr>
        <w:pStyle w:val="ListParagraph"/>
        <w:numPr>
          <w:ilvl w:val="0"/>
          <w:numId w:val="2"/>
        </w:numPr>
        <w:spacing w:after="60" w:before="40"/>
      </w:pPr>
      <w:r>
        <w:rPr>
          <w:rFonts w:ascii="Arial" w:cs="Arial" w:eastAsia="Arial" w:hAnsi="Arial"/>
          <w:color w:val="000000"/>
          <w:sz w:val="22"/>
          <w:szCs w:val="22"/>
        </w:rPr>
        <w:t xml:space="preserve">FORM — InputForm, NNN assumptions and lease parameters</w:t>
      </w:r>
    </w:p>
    <w:p>
      <w:pPr>
        <w:pStyle w:val="ListParagraph"/>
        <w:numPr>
          <w:ilvl w:val="0"/>
          <w:numId w:val="2"/>
        </w:numPr>
        <w:spacing w:after="60" w:before="40"/>
      </w:pPr>
      <w:r>
        <w:rPr>
          <w:rFonts w:ascii="Arial" w:cs="Arial" w:eastAsia="Arial" w:hAnsi="Arial"/>
          <w:color w:val="000000"/>
          <w:sz w:val="22"/>
          <w:szCs w:val="22"/>
        </w:rPr>
        <w:t xml:space="preserve">RESULTS — LedgerTable + SummaryPanel, computed output</w:t>
      </w:r>
    </w:p>
    <w:p>
      <w:pPr>
        <w:spacing w:after="0" w:before="120"/>
      </w:pPr>
      <w:r>
        <w:t xml:space="preserve"/>
      </w:r>
    </w:p>
    <w:p>
      <w:pPr>
        <w:pStyle w:val="Heading3"/>
        <w:spacing w:after="80" w:before="240"/>
      </w:pPr>
      <w:r>
        <w:rPr>
          <w:rFonts w:ascii="Arial" w:cs="Arial" w:eastAsia="Arial" w:hAnsi="Arial"/>
          <w:b/>
          <w:bCs/>
          <w:color w:val="1F3864"/>
          <w:sz w:val="24"/>
          <w:szCs w:val="24"/>
        </w:rPr>
        <w:t xml:space="preserve">Key state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4472C4" w:sz="4"/>
              <w:left w:val="single" w:color="4472C4" w:sz="4"/>
              <w:bottom w:val="single" w:color="4472C4" w:sz="4"/>
              <w:right w:val="single" w:color="4472C4"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State variable</w:t>
            </w:r>
          </w:p>
        </w:tc>
        <w:tc>
          <w:tcPr>
            <w:tcW w:type="dxa" w:w="1800"/>
            <w:tcBorders>
              <w:top w:val="single" w:color="4472C4" w:sz="4"/>
              <w:left w:val="single" w:color="4472C4" w:sz="4"/>
              <w:bottom w:val="single" w:color="4472C4" w:sz="4"/>
              <w:right w:val="single" w:color="4472C4"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5360"/>
            <w:tcBorders>
              <w:top w:val="single" w:color="4472C4" w:sz="4"/>
              <w:left w:val="single" w:color="4472C4" w:sz="4"/>
              <w:bottom w:val="single" w:color="4472C4" w:sz="4"/>
              <w:right w:val="single" w:color="4472C4"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it holds</w:t>
            </w:r>
          </w:p>
        </w:tc>
      </w:tr>
      <w:tr>
        <w:tc>
          <w:tcPr>
            <w:tcW w:type="dxa" w:w="2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step</w:t>
            </w:r>
          </w:p>
        </w:tc>
        <w:tc>
          <w:tcPr>
            <w:tcW w:type="dxa" w:w="1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string constant</w:t>
            </w:r>
          </w:p>
        </w:tc>
        <w:tc>
          <w:tcPr>
            <w:tcW w:type="dxa" w:w="5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Current UI stage: UPLOAD, SCHEDULE, FORM, or RESULTS</w:t>
            </w:r>
          </w:p>
        </w:tc>
      </w:tr>
      <w:tr>
        <w:tc>
          <w:tcPr>
            <w:tcW w:type="dxa" w:w="22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000000"/>
                <w:sz w:val="20"/>
                <w:szCs w:val="20"/>
              </w:rPr>
              <w:t xml:space="preserve">schedulePeriodRows</w:t>
            </w:r>
          </w:p>
        </w:tc>
        <w:tc>
          <w:tcPr>
            <w:tcW w:type="dxa" w:w="18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000000"/>
                <w:sz w:val="20"/>
                <w:szCs w:val="20"/>
              </w:rPr>
              <w:t xml:space="preserve">array</w:t>
            </w:r>
          </w:p>
        </w:tc>
        <w:tc>
          <w:tcPr>
            <w:tcW w:type="dxa" w:w="536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000000"/>
                <w:sz w:val="20"/>
                <w:szCs w:val="20"/>
              </w:rPr>
              <w:t xml:space="preserve">Period rows from ScheduleEditor (before expansion)</w:t>
            </w:r>
          </w:p>
        </w:tc>
      </w:tr>
      <w:tr>
        <w:tc>
          <w:tcPr>
            <w:tcW w:type="dxa" w:w="2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expandedRows</w:t>
            </w:r>
          </w:p>
        </w:tc>
        <w:tc>
          <w:tcPr>
            <w:tcW w:type="dxa" w:w="1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array</w:t>
            </w:r>
          </w:p>
        </w:tc>
        <w:tc>
          <w:tcPr>
            <w:tcW w:type="dxa" w:w="5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Monthly rows after expander runs on period rows</w:t>
            </w:r>
          </w:p>
        </w:tc>
      </w:tr>
      <w:tr>
        <w:tc>
          <w:tcPr>
            <w:tcW w:type="dxa" w:w="22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000000"/>
                <w:sz w:val="20"/>
                <w:szCs w:val="20"/>
              </w:rPr>
              <w:t xml:space="preserve">formInitialValues</w:t>
            </w:r>
          </w:p>
        </w:tc>
        <w:tc>
          <w:tcPr>
            <w:tcW w:type="dxa" w:w="18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000000"/>
                <w:sz w:val="20"/>
                <w:szCs w:val="20"/>
              </w:rPr>
              <w:t xml:space="preserve">object</w:t>
            </w:r>
          </w:p>
        </w:tc>
        <w:tc>
          <w:tcPr>
            <w:tcW w:type="dxa" w:w="536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000000"/>
                <w:sz w:val="20"/>
                <w:szCs w:val="20"/>
              </w:rPr>
              <w:t xml:space="preserve">Pre-filled form values (from OCR or blank)</w:t>
            </w:r>
          </w:p>
        </w:tc>
      </w:tr>
      <w:tr>
        <w:tc>
          <w:tcPr>
            <w:tcW w:type="dxa" w:w="2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processedRows</w:t>
            </w:r>
          </w:p>
        </w:tc>
        <w:tc>
          <w:tcPr>
            <w:tcW w:type="dxa" w:w="1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array</w:t>
            </w:r>
          </w:p>
        </w:tc>
        <w:tc>
          <w:tcPr>
            <w:tcW w:type="dxa" w:w="5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Final calculator output — every monthly obligation row</w:t>
            </w:r>
          </w:p>
        </w:tc>
      </w:tr>
      <w:tr>
        <w:tc>
          <w:tcPr>
            <w:tcW w:type="dxa" w:w="22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000000"/>
                <w:sz w:val="20"/>
                <w:szCs w:val="20"/>
              </w:rPr>
              <w:t xml:space="preserve">processedParams</w:t>
            </w:r>
          </w:p>
        </w:tc>
        <w:tc>
          <w:tcPr>
            <w:tcW w:type="dxa" w:w="18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000000"/>
                <w:sz w:val="20"/>
                <w:szCs w:val="20"/>
              </w:rPr>
              <w:t xml:space="preserve">object</w:t>
            </w:r>
          </w:p>
        </w:tc>
        <w:tc>
          <w:tcPr>
            <w:tcW w:type="dxa" w:w="536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000000"/>
                <w:sz w:val="20"/>
                <w:szCs w:val="20"/>
              </w:rPr>
              <w:t xml:space="preserve">Normalized parameters used in the last calculation run</w:t>
            </w:r>
          </w:p>
        </w:tc>
      </w:tr>
      <w:tr>
        <w:tc>
          <w:tcPr>
            <w:tcW w:type="dxa" w:w="2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leaseMetadata</w:t>
            </w:r>
          </w:p>
        </w:tc>
        <w:tc>
          <w:tcPr>
            <w:tcW w:type="dxa" w:w="1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object</w:t>
            </w:r>
          </w:p>
        </w:tc>
        <w:tc>
          <w:tcPr>
            <w:tcW w:type="dxa" w:w="5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Lease name, square footage, and other top-level identifiers</w:t>
            </w:r>
          </w:p>
        </w:tc>
      </w:tr>
    </w:tbl>
    <w:p>
      <w:pPr>
        <w:spacing w:after="0" w:before="120"/>
      </w:pPr>
      <w:r>
        <w:t xml:space="preserve"/>
      </w:r>
    </w:p>
    <w:p>
      <w:pPr>
        <w:pStyle w:val="Heading3"/>
        <w:spacing w:after="80" w:before="240"/>
      </w:pPr>
      <w:r>
        <w:rPr>
          <w:rFonts w:ascii="Arial" w:cs="Arial" w:eastAsia="Arial" w:hAnsi="Arial"/>
          <w:b/>
          <w:bCs/>
          <w:color w:val="1F3864"/>
          <w:sz w:val="24"/>
          <w:szCs w:val="24"/>
        </w:rPr>
        <w:t xml:space="preserve">How App.jsx controls the flow</w:t>
      </w:r>
    </w:p>
    <w:p>
      <w:pPr>
        <w:spacing w:after="100" w:before="60"/>
      </w:pPr>
      <w:r>
        <w:rPr>
          <w:rFonts w:ascii="Arial" w:cs="Arial" w:eastAsia="Arial" w:hAnsi="Arial"/>
          <w:color w:val="000000"/>
          <w:sz w:val="22"/>
          <w:szCs w:val="22"/>
        </w:rPr>
        <w:t xml:space="preserve">App.jsx passes callbacks down to child components. Children never talk to each other. When ScheduleEditor calls onConfirm(periodRows), App.jsx runs expandPeriods() on those rows and stores the result in expandedRows, then navigates to the FORM step. When InputForm calls onSubmit(formValues), App.jsx runs formToCalculatorParams() then calculateAllCharges() and navigates to RESULTS.</w:t>
      </w:r>
    </w:p>
    <w:p>
      <w:pPr>
        <w:spacing w:after="0" w:before="80"/>
      </w:pPr>
      <w:r>
        <w:t xml:space="preserve"/>
      </w:r>
    </w:p>
    <w:tbl>
      <w:tblPr>
        <w:tblW w:type="dxa" w:w="9360"/>
        <w:tblBorders>
          <w:top w:val="none"/>
          <w:left w:val="none"/>
          <w:bottom w:val="none"/>
          <w:right w:val="none"/>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C45911"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ANALOGY</w:t>
            </w:r>
          </w:p>
        </w:tc>
        <w:tc>
          <w:tcPr>
            <w:tcW w:type="dxa" w:w="8800"/>
            <w:tcBorders>
              <w:top w:val="none" w:color="FFFFFF" w:sz="0"/>
              <w:left w:val="none" w:color="FFFFFF" w:sz="0"/>
              <w:bottom w:val="none" w:color="FFFFFF" w:sz="0"/>
              <w:right w:val="none" w:color="FFFFFF" w:sz="0"/>
            </w:tcBorders>
            <w:shd w:fill="FFF2CC" w:val="clear"/>
            <w:tcMar>
              <w:top w:type="dxa" w:w="80"/>
              <w:left w:type="dxa" w:w="160"/>
              <w:bottom w:type="dxa" w:w="80"/>
              <w:right w:type="dxa" w:w="160"/>
            </w:tcMar>
          </w:tcPr>
          <w:p>
            <w:r>
              <w:rPr>
                <w:rFonts w:ascii="Arial" w:cs="Arial" w:eastAsia="Arial" w:hAnsi="Arial"/>
                <w:color w:val="7F4B00"/>
                <w:sz w:val="20"/>
                <w:szCs w:val="20"/>
              </w:rPr>
              <w:t xml:space="preserve">App.jsx is like a factory floor manager. Each workstation (component) does one job and passes its output back to the manager, who decides what happens next.</w:t>
            </w:r>
          </w:p>
        </w:tc>
      </w:tr>
    </w:tbl>
    <w:p>
      <w:pPr>
        <w:spacing w:after="0" w:before="160"/>
      </w:pPr>
      <w:r>
        <w:t xml:space="preserve"/>
      </w:r>
    </w:p>
    <w:p>
      <w:pPr>
        <w:pStyle w:val="Heading1"/>
        <w:spacing w:after="160" w:before="400"/>
      </w:pPr>
      <w:r>
        <w:rPr>
          <w:rFonts w:ascii="Arial" w:cs="Arial" w:eastAsia="Arial" w:hAnsi="Arial"/>
          <w:b/>
          <w:bCs/>
          <w:color w:val="1F3864"/>
          <w:sz w:val="36"/>
          <w:szCs w:val="36"/>
        </w:rPr>
        <w:t xml:space="preserve">4. ScheduleEditor — Entering the Rent Schedule</w:t>
      </w:r>
    </w:p>
    <w:p>
      <w:pPr>
        <w:spacing w:after="100" w:before="60"/>
      </w:pPr>
      <w:r>
        <w:rPr>
          <w:rFonts w:ascii="Arial" w:cs="Arial" w:eastAsia="Arial" w:hAnsi="Arial"/>
          <w:color w:val="000000"/>
          <w:sz w:val="22"/>
          <w:szCs w:val="22"/>
        </w:rPr>
        <w:t xml:space="preserve">ScheduleEditor (src/components/ScheduleEditor.jsx) is where the rent schedule is built. It has two modes: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w:trPr>
          <w:tblHeader/>
        </w:trPr>
        <w:tc>
          <w:tcPr>
            <w:tcW w:type="dxa" w:w="1600"/>
            <w:tcBorders>
              <w:top w:val="single" w:color="4472C4" w:sz="4"/>
              <w:left w:val="single" w:color="4472C4" w:sz="4"/>
              <w:bottom w:val="single" w:color="4472C4" w:sz="4"/>
              <w:right w:val="single" w:color="4472C4"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w:t>
            </w:r>
          </w:p>
        </w:tc>
        <w:tc>
          <w:tcPr>
            <w:tcW w:type="dxa" w:w="4200"/>
            <w:tcBorders>
              <w:top w:val="single" w:color="4472C4" w:sz="4"/>
              <w:left w:val="single" w:color="4472C4" w:sz="4"/>
              <w:bottom w:val="single" w:color="4472C4" w:sz="4"/>
              <w:right w:val="single" w:color="4472C4"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How it works</w:t>
            </w:r>
          </w:p>
        </w:tc>
        <w:tc>
          <w:tcPr>
            <w:tcW w:type="dxa" w:w="3560"/>
            <w:tcBorders>
              <w:top w:val="single" w:color="4472C4" w:sz="4"/>
              <w:left w:val="single" w:color="4472C4" w:sz="4"/>
              <w:bottom w:val="single" w:color="4472C4" w:sz="4"/>
              <w:right w:val="single" w:color="4472C4"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Best for</w:t>
            </w:r>
          </w:p>
        </w:tc>
      </w:tr>
      <w:tr>
        <w:tc>
          <w:tcPr>
            <w:tcW w:type="dxa" w:w="1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Quick Entry</w:t>
            </w:r>
          </w:p>
        </w:tc>
        <w:tc>
          <w:tcPr>
            <w:tcW w:type="dxa" w:w="4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User enters: commencement date, expiration date, Year 1 rent, and annual escalation rate. The app generates one period per lease year automatically.</w:t>
            </w:r>
          </w:p>
        </w:tc>
        <w:tc>
          <w:tcPr>
            <w:tcW w:type="dxa" w:w="35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Simple leases with flat annual escalations</w:t>
            </w:r>
          </w:p>
        </w:tc>
      </w:tr>
      <w:tr>
        <w:tc>
          <w:tcPr>
            <w:tcW w:type="dxa" w:w="16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000000"/>
                <w:sz w:val="20"/>
                <w:szCs w:val="20"/>
              </w:rPr>
              <w:t xml:space="preserve">Manual Entry</w:t>
            </w:r>
          </w:p>
        </w:tc>
        <w:tc>
          <w:tcPr>
            <w:tcW w:type="dxa" w:w="42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000000"/>
                <w:sz w:val="20"/>
                <w:szCs w:val="20"/>
              </w:rPr>
              <w:t xml:space="preserve">User types or pastes individual period rows (e.g., '3/1/2018 - 2/28/2019  $12,500'). End dates can be inferred from the next row's start date.</w:t>
            </w:r>
          </w:p>
        </w:tc>
        <w:tc>
          <w:tcPr>
            <w:tcW w:type="dxa" w:w="356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000000"/>
                <w:sz w:val="20"/>
                <w:szCs w:val="20"/>
              </w:rPr>
              <w:t xml:space="preserve">Complex schedules, irregular escalations, mid-year changes</w:t>
            </w:r>
          </w:p>
        </w:tc>
      </w:tr>
    </w:tbl>
    <w:p>
      <w:pPr>
        <w:spacing w:after="0" w:before="120"/>
      </w:pPr>
      <w:r>
        <w:t xml:space="preserve"/>
      </w:r>
    </w:p>
    <w:p>
      <w:pPr>
        <w:spacing w:after="100" w:before="60"/>
      </w:pPr>
      <w:r>
        <w:rPr>
          <w:rFonts w:ascii="Arial" w:cs="Arial" w:eastAsia="Arial" w:hAnsi="Arial"/>
          <w:color w:val="000000"/>
          <w:sz w:val="22"/>
          <w:szCs w:val="22"/>
        </w:rPr>
        <w:t xml:space="preserve">ScheduleEditor also accepts a pre-populated schedule from the OCR path. When OCR is confident, the schedule is pre-filled and the user only needs to review and confirm.</w:t>
      </w:r>
    </w:p>
    <w:p>
      <w:pPr>
        <w:spacing w:after="0" w:before="80"/>
      </w:pPr>
      <w:r>
        <w:t xml:space="preserve"/>
      </w:r>
    </w:p>
    <w:p>
      <w:pPr>
        <w:spacing w:after="100" w:before="60"/>
      </w:pPr>
      <w:r>
        <w:rPr>
          <w:rFonts w:ascii="Arial" w:cs="Arial" w:eastAsia="Arial" w:hAnsi="Arial"/>
          <w:color w:val="000000"/>
          <w:sz w:val="22"/>
          <w:szCs w:val="22"/>
        </w:rPr>
        <w:t xml:space="preserve">When the user clicks Confirm, ScheduleEditor calls onConfirm with an array of canonical period objects:</w:t>
      </w:r>
    </w:p>
    <w:p>
      <w:pPr>
        <w:spacing w:after="20" w:before="20"/>
        <w:ind w:left="360"/>
      </w:pPr>
      <w:r>
        <w:rPr>
          <w:rFonts w:ascii="Courier New" w:cs="Courier New" w:eastAsia="Courier New" w:hAnsi="Courier New"/>
          <w:color w:val="2C6F41"/>
          <w:sz w:val="18"/>
          <w:szCs w:val="18"/>
        </w:rPr>
        <w:t xml:space="preserve">[ { periodStart: Date, periodEnd: Date, monthlyRent: number }, ... ]</w:t>
      </w:r>
    </w:p>
    <w:p>
      <w:pPr>
        <w:spacing w:after="0" w:before="160"/>
      </w:pPr>
      <w:r>
        <w:t xml:space="preserve"/>
      </w:r>
    </w:p>
    <w:p>
      <w:pPr>
        <w:pStyle w:val="Heading1"/>
        <w:spacing w:after="160" w:before="400"/>
      </w:pPr>
      <w:r>
        <w:rPr>
          <w:rFonts w:ascii="Arial" w:cs="Arial" w:eastAsia="Arial" w:hAnsi="Arial"/>
          <w:b/>
          <w:bCs/>
          <w:color w:val="1F3864"/>
          <w:sz w:val="36"/>
          <w:szCs w:val="36"/>
        </w:rPr>
        <w:t xml:space="preserve">5. The Engine Pipeline</w:t>
      </w:r>
    </w:p>
    <w:p>
      <w:pPr>
        <w:spacing w:after="100" w:before="60"/>
      </w:pPr>
      <w:r>
        <w:rPr>
          <w:rFonts w:ascii="Arial" w:cs="Arial" w:eastAsia="Arial" w:hAnsi="Arial"/>
          <w:color w:val="000000"/>
          <w:sz w:val="22"/>
          <w:szCs w:val="22"/>
        </w:rPr>
        <w:t xml:space="preserve">The engine is a chain of pure functions in src/engine/. Pure means they take inputs and return outputs — no side effects, no React, no DOM. This makes them testable and predictable.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rPr>
          <w:tblHeader/>
        </w:trPr>
        <w:tc>
          <w:tcPr>
            <w:tcW w:type="dxa" w:w="2200"/>
            <w:tcBorders>
              <w:top w:val="single" w:color="4472C4" w:sz="4"/>
              <w:left w:val="single" w:color="4472C4" w:sz="4"/>
              <w:bottom w:val="single" w:color="4472C4" w:sz="4"/>
              <w:right w:val="single" w:color="4472C4"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Stage</w:t>
            </w:r>
          </w:p>
        </w:tc>
        <w:tc>
          <w:tcPr>
            <w:tcW w:type="dxa" w:w="2200"/>
            <w:tcBorders>
              <w:top w:val="single" w:color="4472C4" w:sz="4"/>
              <w:left w:val="single" w:color="4472C4" w:sz="4"/>
              <w:bottom w:val="single" w:color="4472C4" w:sz="4"/>
              <w:right w:val="single" w:color="4472C4"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Output</w:t>
            </w:r>
          </w:p>
        </w:tc>
        <w:tc>
          <w:tcPr>
            <w:tcW w:type="dxa" w:w="2480"/>
            <w:tcBorders>
              <w:top w:val="single" w:color="4472C4" w:sz="4"/>
              <w:left w:val="single" w:color="4472C4" w:sz="4"/>
              <w:bottom w:val="single" w:color="4472C4" w:sz="4"/>
              <w:right w:val="single" w:color="4472C4"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Input</w:t>
            </w:r>
          </w:p>
        </w:tc>
        <w:tc>
          <w:tcPr>
            <w:tcW w:type="dxa" w:w="2480"/>
            <w:tcBorders>
              <w:top w:val="single" w:color="4472C4" w:sz="4"/>
              <w:left w:val="single" w:color="4472C4" w:sz="4"/>
              <w:bottom w:val="single" w:color="4472C4" w:sz="4"/>
              <w:right w:val="single" w:color="4472C4"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happens</w:t>
            </w:r>
          </w:p>
        </w:tc>
      </w:tr>
      <w:tr>
        <w:tc>
          <w:tcPr>
            <w:tcW w:type="dxa" w:w="2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top"/>
          </w:tcPr>
          <w:p>
            <w:r>
              <w:rPr>
                <w:rFonts w:ascii="Arial" w:cs="Arial" w:eastAsia="Arial" w:hAnsi="Arial"/>
                <w:color w:val="000000"/>
                <w:sz w:val="18"/>
                <w:szCs w:val="18"/>
              </w:rPr>
              <w:t xml:space="preserve">1. Parser</w:t>
            </w:r>
          </w:p>
        </w:tc>
        <w:tc>
          <w:tcPr>
            <w:tcW w:type="dxa" w:w="2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top"/>
          </w:tcPr>
          <w:p>
            <w:r>
              <w:rPr>
                <w:rFonts w:ascii="Arial" w:cs="Arial" w:eastAsia="Arial" w:hAnsi="Arial"/>
                <w:color w:val="000000"/>
                <w:sz w:val="18"/>
                <w:szCs w:val="18"/>
              </w:rPr>
              <w:t xml:space="preserve">Period rows
(start, end, rent)</w:t>
            </w:r>
          </w:p>
        </w:tc>
        <w:tc>
          <w:tcPr>
            <w:tcW w:type="dxa" w:w="24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top"/>
          </w:tcPr>
          <w:p>
            <w:r>
              <w:rPr>
                <w:rFonts w:ascii="Arial" w:cs="Arial" w:eastAsia="Arial" w:hAnsi="Arial"/>
                <w:color w:val="000000"/>
                <w:sz w:val="18"/>
                <w:szCs w:val="18"/>
              </w:rPr>
              <w:t xml:space="preserve">XLSX / CSV / PDF file</w:t>
            </w:r>
          </w:p>
        </w:tc>
        <w:tc>
          <w:tcPr>
            <w:tcW w:type="dxa" w:w="24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top"/>
          </w:tcPr>
          <w:p>
            <w:r>
              <w:rPr>
                <w:rFonts w:ascii="Arial" w:cs="Arial" w:eastAsia="Arial" w:hAnsi="Arial"/>
                <w:color w:val="000000"/>
                <w:sz w:val="18"/>
                <w:szCs w:val="18"/>
              </w:rPr>
              <w:t xml:space="preserve">Normalized period objects with dates + monthly rent</w:t>
            </w:r>
          </w:p>
        </w:tc>
      </w:tr>
      <w:tr>
        <w:tc>
          <w:tcPr>
            <w:tcW w:type="dxa" w:w="22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vAlign w:val="top"/>
          </w:tcPr>
          <w:p>
            <w:r>
              <w:rPr>
                <w:rFonts w:ascii="Arial" w:cs="Arial" w:eastAsia="Arial" w:hAnsi="Arial"/>
                <w:color w:val="000000"/>
                <w:sz w:val="18"/>
                <w:szCs w:val="18"/>
              </w:rPr>
              <w:t xml:space="preserve">2. Expander</w:t>
            </w:r>
          </w:p>
        </w:tc>
        <w:tc>
          <w:tcPr>
            <w:tcW w:type="dxa" w:w="22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vAlign w:val="top"/>
          </w:tcPr>
          <w:p>
            <w:r>
              <w:rPr>
                <w:rFonts w:ascii="Arial" w:cs="Arial" w:eastAsia="Arial" w:hAnsi="Arial"/>
                <w:color w:val="000000"/>
                <w:sz w:val="18"/>
                <w:szCs w:val="18"/>
              </w:rPr>
              <w:t xml:space="preserve">Monthly rows
(one per month)</w:t>
            </w:r>
          </w:p>
        </w:tc>
        <w:tc>
          <w:tcPr>
            <w:tcW w:type="dxa" w:w="248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vAlign w:val="top"/>
          </w:tcPr>
          <w:p>
            <w:r>
              <w:rPr>
                <w:rFonts w:ascii="Arial" w:cs="Arial" w:eastAsia="Arial" w:hAnsi="Arial"/>
                <w:color w:val="000000"/>
                <w:sz w:val="18"/>
                <w:szCs w:val="18"/>
              </w:rPr>
              <w:t xml:space="preserve">Period rows from Parser</w:t>
            </w:r>
          </w:p>
        </w:tc>
        <w:tc>
          <w:tcPr>
            <w:tcW w:type="dxa" w:w="248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vAlign w:val="top"/>
          </w:tcPr>
          <w:p>
            <w:r>
              <w:rPr>
                <w:rFonts w:ascii="Arial" w:cs="Arial" w:eastAsia="Arial" w:hAnsi="Arial"/>
                <w:color w:val="000000"/>
                <w:sz w:val="18"/>
                <w:szCs w:val="18"/>
              </w:rPr>
              <w:t xml:space="preserve">One row per calendar month, with Month # and Year # sequence</w:t>
            </w:r>
          </w:p>
        </w:tc>
      </w:tr>
      <w:tr>
        <w:tc>
          <w:tcPr>
            <w:tcW w:type="dxa" w:w="2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top"/>
          </w:tcPr>
          <w:p>
            <w:r>
              <w:rPr>
                <w:rFonts w:ascii="Arial" w:cs="Arial" w:eastAsia="Arial" w:hAnsi="Arial"/>
                <w:color w:val="000000"/>
                <w:sz w:val="18"/>
                <w:szCs w:val="18"/>
              </w:rPr>
              <w:t xml:space="preserve">3. Validator</w:t>
            </w:r>
          </w:p>
        </w:tc>
        <w:tc>
          <w:tcPr>
            <w:tcW w:type="dxa" w:w="2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top"/>
          </w:tcPr>
          <w:p>
            <w:r>
              <w:rPr>
                <w:rFonts w:ascii="Arial" w:cs="Arial" w:eastAsia="Arial" w:hAnsi="Arial"/>
                <w:color w:val="000000"/>
                <w:sz w:val="18"/>
                <w:szCs w:val="18"/>
              </w:rPr>
              <w:t xml:space="preserve">Error / warning list</w:t>
            </w:r>
          </w:p>
        </w:tc>
        <w:tc>
          <w:tcPr>
            <w:tcW w:type="dxa" w:w="24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top"/>
          </w:tcPr>
          <w:p>
            <w:r>
              <w:rPr>
                <w:rFonts w:ascii="Arial" w:cs="Arial" w:eastAsia="Arial" w:hAnsi="Arial"/>
                <w:color w:val="000000"/>
                <w:sz w:val="18"/>
                <w:szCs w:val="18"/>
              </w:rPr>
              <w:t xml:space="preserve">Monthly rows + form params</w:t>
            </w:r>
          </w:p>
        </w:tc>
        <w:tc>
          <w:tcPr>
            <w:tcW w:type="dxa" w:w="24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top"/>
          </w:tcPr>
          <w:p>
            <w:r>
              <w:rPr>
                <w:rFonts w:ascii="Arial" w:cs="Arial" w:eastAsia="Arial" w:hAnsi="Arial"/>
                <w:color w:val="000000"/>
                <w:sz w:val="18"/>
                <w:szCs w:val="18"/>
              </w:rPr>
              <w:t xml:space="preserve">Surfaces blockers before any math runs</w:t>
            </w:r>
          </w:p>
        </w:tc>
      </w:tr>
      <w:tr>
        <w:tc>
          <w:tcPr>
            <w:tcW w:type="dxa" w:w="22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vAlign w:val="top"/>
          </w:tcPr>
          <w:p>
            <w:r>
              <w:rPr>
                <w:rFonts w:ascii="Arial" w:cs="Arial" w:eastAsia="Arial" w:hAnsi="Arial"/>
                <w:color w:val="000000"/>
                <w:sz w:val="18"/>
                <w:szCs w:val="18"/>
              </w:rPr>
              <w:t xml:space="preserve">4. Calculator
(Pass 1)</w:t>
            </w:r>
          </w:p>
        </w:tc>
        <w:tc>
          <w:tcPr>
            <w:tcW w:type="dxa" w:w="22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vAlign w:val="top"/>
          </w:tcPr>
          <w:p>
            <w:r>
              <w:rPr>
                <w:rFonts w:ascii="Arial" w:cs="Arial" w:eastAsia="Arial" w:hAnsi="Arial"/>
                <w:color w:val="000000"/>
                <w:sz w:val="18"/>
                <w:szCs w:val="18"/>
              </w:rPr>
              <w:t xml:space="preserve">Processed rows
(~70 fields each)</w:t>
            </w:r>
          </w:p>
        </w:tc>
        <w:tc>
          <w:tcPr>
            <w:tcW w:type="dxa" w:w="248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vAlign w:val="top"/>
          </w:tcPr>
          <w:p>
            <w:r>
              <w:rPr>
                <w:rFonts w:ascii="Arial" w:cs="Arial" w:eastAsia="Arial" w:hAnsi="Arial"/>
                <w:color w:val="000000"/>
                <w:sz w:val="18"/>
                <w:szCs w:val="18"/>
              </w:rPr>
              <w:t xml:space="preserve">Monthly rows + params</w:t>
            </w:r>
          </w:p>
        </w:tc>
        <w:tc>
          <w:tcPr>
            <w:tcW w:type="dxa" w:w="248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vAlign w:val="top"/>
          </w:tcPr>
          <w:p>
            <w:r>
              <w:rPr>
                <w:rFonts w:ascii="Arial" w:cs="Arial" w:eastAsia="Arial" w:hAnsi="Arial"/>
                <w:color w:val="000000"/>
                <w:sz w:val="18"/>
                <w:szCs w:val="18"/>
              </w:rPr>
              <w:t xml:space="preserve">Computes base rent, NNN, concessions, one-time items, totals</w:t>
            </w:r>
          </w:p>
        </w:tc>
      </w:tr>
      <w:tr>
        <w:tc>
          <w:tcPr>
            <w:tcW w:type="dxa" w:w="2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top"/>
          </w:tcPr>
          <w:p>
            <w:r>
              <w:rPr>
                <w:rFonts w:ascii="Arial" w:cs="Arial" w:eastAsia="Arial" w:hAnsi="Arial"/>
                <w:color w:val="000000"/>
                <w:sz w:val="18"/>
                <w:szCs w:val="18"/>
              </w:rPr>
              <w:t xml:space="preserve">5. Calculator
(Pass 2)</w:t>
            </w:r>
          </w:p>
        </w:tc>
        <w:tc>
          <w:tcPr>
            <w:tcW w:type="dxa" w:w="2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top"/>
          </w:tcPr>
          <w:p>
            <w:r>
              <w:rPr>
                <w:rFonts w:ascii="Arial" w:cs="Arial" w:eastAsia="Arial" w:hAnsi="Arial"/>
                <w:color w:val="000000"/>
                <w:sz w:val="18"/>
                <w:szCs w:val="18"/>
              </w:rPr>
              <w:t xml:space="preserve">Remaining balances added</w:t>
            </w:r>
          </w:p>
        </w:tc>
        <w:tc>
          <w:tcPr>
            <w:tcW w:type="dxa" w:w="24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top"/>
          </w:tcPr>
          <w:p>
            <w:r>
              <w:rPr>
                <w:rFonts w:ascii="Arial" w:cs="Arial" w:eastAsia="Arial" w:hAnsi="Arial"/>
                <w:color w:val="000000"/>
                <w:sz w:val="18"/>
                <w:szCs w:val="18"/>
              </w:rPr>
              <w:t xml:space="preserve">Processed rows from Pass 1</w:t>
            </w:r>
          </w:p>
        </w:tc>
        <w:tc>
          <w:tcPr>
            <w:tcW w:type="dxa" w:w="24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top"/>
          </w:tcPr>
          <w:p>
            <w:r>
              <w:rPr>
                <w:rFonts w:ascii="Arial" w:cs="Arial" w:eastAsia="Arial" w:hAnsi="Arial"/>
                <w:color w:val="000000"/>
                <w:sz w:val="18"/>
                <w:szCs w:val="18"/>
              </w:rPr>
              <w:t xml:space="preserve">Backward cumulative sum — remaining obligation as of each month</w:t>
            </w:r>
          </w:p>
        </w:tc>
      </w:tr>
      <w:tr>
        <w:tc>
          <w:tcPr>
            <w:tcW w:type="dxa" w:w="22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vAlign w:val="top"/>
          </w:tcPr>
          <w:p>
            <w:r>
              <w:rPr>
                <w:rFonts w:ascii="Arial" w:cs="Arial" w:eastAsia="Arial" w:hAnsi="Arial"/>
                <w:color w:val="000000"/>
                <w:sz w:val="18"/>
                <w:szCs w:val="18"/>
              </w:rPr>
              <w:t xml:space="preserve">6. Export</w:t>
            </w:r>
          </w:p>
        </w:tc>
        <w:tc>
          <w:tcPr>
            <w:tcW w:type="dxa" w:w="22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vAlign w:val="top"/>
          </w:tcPr>
          <w:p>
            <w:r>
              <w:rPr>
                <w:rFonts w:ascii="Arial" w:cs="Arial" w:eastAsia="Arial" w:hAnsi="Arial"/>
                <w:color w:val="000000"/>
                <w:sz w:val="18"/>
                <w:szCs w:val="18"/>
              </w:rPr>
              <w:t xml:space="preserve">XLSX / CSV / DOCX file</w:t>
            </w:r>
          </w:p>
        </w:tc>
        <w:tc>
          <w:tcPr>
            <w:tcW w:type="dxa" w:w="248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vAlign w:val="top"/>
          </w:tcPr>
          <w:p>
            <w:r>
              <w:rPr>
                <w:rFonts w:ascii="Arial" w:cs="Arial" w:eastAsia="Arial" w:hAnsi="Arial"/>
                <w:color w:val="000000"/>
                <w:sz w:val="18"/>
                <w:szCs w:val="18"/>
              </w:rPr>
              <w:t xml:space="preserve">Processed rows + params</w:t>
            </w:r>
          </w:p>
        </w:tc>
        <w:tc>
          <w:tcPr>
            <w:tcW w:type="dxa" w:w="248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vAlign w:val="top"/>
          </w:tcPr>
          <w:p>
            <w:r>
              <w:rPr>
                <w:rFonts w:ascii="Arial" w:cs="Arial" w:eastAsia="Arial" w:hAnsi="Arial"/>
                <w:color w:val="000000"/>
                <w:sz w:val="18"/>
                <w:szCs w:val="18"/>
              </w:rPr>
              <w:t xml:space="preserve">Dynamic column layout; one-time item columns inserted automatically</w:t>
            </w:r>
          </w:p>
        </w:tc>
      </w:tr>
    </w:tbl>
    <w:p>
      <w:pPr>
        <w:spacing w:after="0" w:before="160"/>
      </w:pPr>
      <w:r>
        <w:t xml:space="preserve"/>
      </w:r>
    </w:p>
    <w:p>
      <w:pPr>
        <w:pStyle w:val="Heading2"/>
        <w:spacing w:after="120" w:before="300"/>
      </w:pPr>
      <w:r>
        <w:rPr>
          <w:rFonts w:ascii="Arial" w:cs="Arial" w:eastAsia="Arial" w:hAnsi="Arial"/>
          <w:b/>
          <w:bCs/>
          <w:color w:val="2E75B6"/>
          <w:sz w:val="28"/>
          <w:szCs w:val="28"/>
        </w:rPr>
        <w:t xml:space="preserve">5A. Parser (src/engine/parser.js)</w:t>
      </w:r>
    </w:p>
    <w:p>
      <w:pPr>
        <w:spacing w:after="100" w:before="60"/>
      </w:pPr>
      <w:r>
        <w:rPr>
          <w:rFonts w:ascii="Arial" w:cs="Arial" w:eastAsia="Arial" w:hAnsi="Arial"/>
          <w:color w:val="000000"/>
          <w:sz w:val="22"/>
          <w:szCs w:val="22"/>
        </w:rPr>
        <w:t xml:space="preserve">Converts an uploaded file (XLSX, CSV) into normalized period rows. Handles:</w:t>
      </w:r>
    </w:p>
    <w:p>
      <w:pPr>
        <w:pStyle w:val="ListParagraph"/>
        <w:numPr>
          <w:ilvl w:val="0"/>
          <w:numId w:val="2"/>
        </w:numPr>
        <w:spacing w:after="60" w:before="40"/>
      </w:pPr>
      <w:r>
        <w:rPr>
          <w:rFonts w:ascii="Arial" w:cs="Arial" w:eastAsia="Arial" w:hAnsi="Arial"/>
          <w:color w:val="000000"/>
          <w:sz w:val="22"/>
          <w:szCs w:val="22"/>
        </w:rPr>
        <w:t xml:space="preserve">Column detection via fuzzy matching (finds 'start date', 'rent', 'end', etc. regardless of exact header wording)</w:t>
      </w:r>
    </w:p>
    <w:p>
      <w:pPr>
        <w:pStyle w:val="ListParagraph"/>
        <w:numPr>
          <w:ilvl w:val="0"/>
          <w:numId w:val="2"/>
        </w:numPr>
        <w:spacing w:after="60" w:before="40"/>
      </w:pPr>
      <w:r>
        <w:rPr>
          <w:rFonts w:ascii="Arial" w:cs="Arial" w:eastAsia="Arial" w:hAnsi="Arial"/>
          <w:color w:val="000000"/>
          <w:sz w:val="22"/>
          <w:szCs w:val="22"/>
        </w:rPr>
        <w:t xml:space="preserve">Excel serial number dates and text date strings</w:t>
      </w:r>
    </w:p>
    <w:p>
      <w:pPr>
        <w:pStyle w:val="ListParagraph"/>
        <w:numPr>
          <w:ilvl w:val="0"/>
          <w:numId w:val="2"/>
        </w:numPr>
        <w:spacing w:after="60" w:before="40"/>
      </w:pPr>
      <w:r>
        <w:rPr>
          <w:rFonts w:ascii="Arial" w:cs="Arial" w:eastAsia="Arial" w:hAnsi="Arial"/>
          <w:color w:val="000000"/>
          <w:sz w:val="22"/>
          <w:szCs w:val="22"/>
        </w:rPr>
        <w:t xml:space="preserve">Silent filtering of rows missing required fields</w:t>
      </w:r>
    </w:p>
    <w:p>
      <w:pPr>
        <w:pStyle w:val="ListParagraph"/>
        <w:numPr>
          <w:ilvl w:val="0"/>
          <w:numId w:val="2"/>
        </w:numPr>
        <w:spacing w:after="60" w:before="40"/>
      </w:pPr>
      <w:r>
        <w:rPr>
          <w:rFonts w:ascii="Arial" w:cs="Arial" w:eastAsia="Arial" w:hAnsi="Arial"/>
          <w:color w:val="000000"/>
          <w:sz w:val="22"/>
          <w:szCs w:val="22"/>
        </w:rPr>
        <w:t xml:space="preserve">Returns { rows, warnings } — warnings surface in the UI but don't block processing</w:t>
      </w:r>
    </w:p>
    <w:p>
      <w:pPr>
        <w:spacing w:after="0" w:before="80"/>
      </w:pPr>
      <w:r>
        <w:t xml:space="preserve"/>
      </w:r>
    </w:p>
    <w:p>
      <w:pPr>
        <w:spacing w:after="100" w:before="60"/>
      </w:pPr>
      <w:r>
        <w:rPr>
          <w:rFonts w:ascii="Arial" w:cs="Arial" w:eastAsia="Arial" w:hAnsi="Arial"/>
          <w:color w:val="000000"/>
          <w:sz w:val="22"/>
          <w:szCs w:val="22"/>
        </w:rPr>
        <w:t xml:space="preserve">Output shape per row:</w:t>
      </w:r>
    </w:p>
    <w:p>
      <w:pPr>
        <w:spacing w:after="20" w:before="20"/>
        <w:ind w:left="360"/>
      </w:pPr>
      <w:r>
        <w:rPr>
          <w:rFonts w:ascii="Courier New" w:cs="Courier New" w:eastAsia="Courier New" w:hAnsi="Courier New"/>
          <w:color w:val="2C6F41"/>
          <w:sz w:val="18"/>
          <w:szCs w:val="18"/>
        </w:rPr>
        <w:t xml:space="preserve">{ periodStart: Date, periodEnd: Date, monthlyRent: number }</w:t>
      </w:r>
    </w:p>
    <w:p>
      <w:pPr>
        <w:spacing w:after="0" w:before="120"/>
      </w:pPr>
      <w:r>
        <w:t xml:space="preserve"/>
      </w:r>
    </w:p>
    <w:p>
      <w:pPr>
        <w:pStyle w:val="Heading2"/>
        <w:spacing w:after="120" w:before="300"/>
      </w:pPr>
      <w:r>
        <w:rPr>
          <w:rFonts w:ascii="Arial" w:cs="Arial" w:eastAsia="Arial" w:hAnsi="Arial"/>
          <w:b/>
          <w:bCs/>
          <w:color w:val="2E75B6"/>
          <w:sz w:val="28"/>
          <w:szCs w:val="28"/>
        </w:rPr>
        <w:t xml:space="preserve">5B. Expander (src/engine/expander.js)</w:t>
      </w:r>
    </w:p>
    <w:p>
      <w:pPr>
        <w:spacing w:after="100" w:before="60"/>
      </w:pPr>
      <w:r>
        <w:rPr>
          <w:rFonts w:ascii="Arial" w:cs="Arial" w:eastAsia="Arial" w:hAnsi="Arial"/>
          <w:color w:val="000000"/>
          <w:sz w:val="22"/>
          <w:szCs w:val="22"/>
        </w:rPr>
        <w:t xml:space="preserve">Turns period rows into monthly rows — one row per calendar month. This is the expansion step.</w:t>
      </w:r>
    </w:p>
    <w:p>
      <w:pPr>
        <w:spacing w:after="0" w:before="80"/>
      </w:pPr>
      <w:r>
        <w:t xml:space="preserve"/>
      </w:r>
    </w:p>
    <w:p>
      <w:pPr>
        <w:spacing w:after="100" w:before="60"/>
      </w:pPr>
      <w:r>
        <w:rPr>
          <w:rFonts w:ascii="Arial" w:cs="Arial" w:eastAsia="Arial" w:hAnsi="Arial"/>
          <w:color w:val="000000"/>
          <w:sz w:val="22"/>
          <w:szCs w:val="22"/>
        </w:rPr>
        <w:t xml:space="preserve">For each period, the expander iterates month by month from periodStart to periodEnd, producing one row per month. It also assigns:</w:t>
      </w:r>
    </w:p>
    <w:p>
      <w:pPr>
        <w:pStyle w:val="ListParagraph"/>
        <w:numPr>
          <w:ilvl w:val="0"/>
          <w:numId w:val="2"/>
        </w:numPr>
        <w:spacing w:after="60" w:before="40"/>
      </w:pPr>
      <w:r>
        <w:rPr>
          <w:rFonts w:ascii="Arial" w:cs="Arial" w:eastAsia="Arial" w:hAnsi="Arial"/>
          <w:color w:val="000000"/>
          <w:sz w:val="22"/>
          <w:szCs w:val="22"/>
        </w:rPr>
        <w:t xml:space="preserve">Month # — sequential count from the first month of the lease (1-indexed)</w:t>
      </w:r>
    </w:p>
    <w:p>
      <w:pPr>
        <w:pStyle w:val="ListParagraph"/>
        <w:numPr>
          <w:ilvl w:val="0"/>
          <w:numId w:val="2"/>
        </w:numPr>
        <w:spacing w:after="60" w:before="40"/>
      </w:pPr>
      <w:r>
        <w:rPr>
          <w:rFonts w:ascii="Arial" w:cs="Arial" w:eastAsia="Arial" w:hAnsi="Arial"/>
          <w:color w:val="000000"/>
          <w:sz w:val="22"/>
          <w:szCs w:val="22"/>
        </w:rPr>
        <w:t xml:space="preserve">Year # — which lease year this month falls in (1-indexed)</w:t>
      </w:r>
    </w:p>
    <w:p>
      <w:pPr>
        <w:spacing w:after="0" w:before="80"/>
      </w:pPr>
      <w:r>
        <w:t xml:space="preserve"/>
      </w:r>
    </w:p>
    <w:p>
      <w:pPr>
        <w:spacing w:after="100" w:before="60"/>
      </w:pPr>
      <w:r>
        <w:rPr>
          <w:rFonts w:ascii="Arial" w:cs="Arial" w:eastAsia="Arial" w:hAnsi="Arial"/>
          <w:color w:val="000000"/>
          <w:sz w:val="22"/>
          <w:szCs w:val="22"/>
        </w:rPr>
        <w:t xml:space="preserve">If two periods overlap on the same month, the expander uses last-write-wins and emits a warning. This is how the duplicate detection feature works.</w:t>
      </w:r>
    </w:p>
    <w:p>
      <w:pPr>
        <w:spacing w:after="0" w:before="80"/>
      </w:pPr>
      <w:r>
        <w:t xml:space="preserve"/>
      </w:r>
    </w:p>
    <w:p>
      <w:pPr>
        <w:spacing w:after="100" w:before="60"/>
      </w:pPr>
      <w:r>
        <w:rPr>
          <w:rFonts w:ascii="Arial" w:cs="Arial" w:eastAsia="Arial" w:hAnsi="Arial"/>
          <w:color w:val="000000"/>
          <w:sz w:val="22"/>
          <w:szCs w:val="22"/>
        </w:rPr>
        <w:t xml:space="preserve">Output shape per row:</w:t>
      </w:r>
    </w:p>
    <w:p>
      <w:pPr>
        <w:spacing w:after="20" w:before="20"/>
        <w:ind w:left="360"/>
      </w:pPr>
      <w:r>
        <w:rPr>
          <w:rFonts w:ascii="Courier New" w:cs="Courier New" w:eastAsia="Courier New" w:hAnsi="Courier New"/>
          <w:color w:val="2C6F41"/>
          <w:sz w:val="18"/>
          <w:szCs w:val="18"/>
        </w:rPr>
        <w:t xml:space="preserve">{ date: '2018-03-01', periodEnd: '2019-02-28' (last month only),</w:t>
      </w:r>
    </w:p>
    <w:p>
      <w:pPr>
        <w:spacing w:after="20" w:before="20"/>
        <w:ind w:left="360"/>
      </w:pPr>
      <w:r>
        <w:rPr>
          <w:rFonts w:ascii="Courier New" w:cs="Courier New" w:eastAsia="Courier New" w:hAnsi="Courier New"/>
          <w:color w:val="2C6F41"/>
          <w:sz w:val="18"/>
          <w:szCs w:val="18"/>
        </w:rPr>
        <w:t xml:space="preserve">  monthlyRent: 12500, 'Month #': 1, 'Year #': 1, ... }</w:t>
      </w:r>
    </w:p>
    <w:p>
      <w:pPr>
        <w:spacing w:after="0" w:before="120"/>
      </w:pPr>
      <w:r>
        <w:t xml:space="preserve"/>
      </w:r>
    </w:p>
    <w:p>
      <w:pPr>
        <w:pStyle w:val="Heading2"/>
        <w:spacing w:after="120" w:before="300"/>
      </w:pPr>
      <w:r>
        <w:rPr>
          <w:rFonts w:ascii="Arial" w:cs="Arial" w:eastAsia="Arial" w:hAnsi="Arial"/>
          <w:b/>
          <w:bCs/>
          <w:color w:val="2E75B6"/>
          <w:sz w:val="28"/>
          <w:szCs w:val="28"/>
        </w:rPr>
        <w:t xml:space="preserve">5C. Validator (src/engine/validator.js)</w:t>
      </w:r>
    </w:p>
    <w:p>
      <w:pPr>
        <w:spacing w:after="100" w:before="60"/>
      </w:pPr>
      <w:r>
        <w:rPr>
          <w:rFonts w:ascii="Arial" w:cs="Arial" w:eastAsia="Arial" w:hAnsi="Arial"/>
          <w:color w:val="000000"/>
          <w:sz w:val="22"/>
          <w:szCs w:val="22"/>
        </w:rPr>
        <w:t xml:space="preserve">Runs sanity checks before the calculator fires. Checks include:</w:t>
      </w:r>
    </w:p>
    <w:p>
      <w:pPr>
        <w:pStyle w:val="ListParagraph"/>
        <w:numPr>
          <w:ilvl w:val="0"/>
          <w:numId w:val="2"/>
        </w:numPr>
        <w:spacing w:after="60" w:before="40"/>
      </w:pPr>
      <w:r>
        <w:rPr>
          <w:rFonts w:ascii="Arial" w:cs="Arial" w:eastAsia="Arial" w:hAnsi="Arial"/>
          <w:color w:val="000000"/>
          <w:sz w:val="22"/>
          <w:szCs w:val="22"/>
        </w:rPr>
        <w:t xml:space="preserve">Positive square footage and valid escalation percentages</w:t>
      </w:r>
    </w:p>
    <w:p>
      <w:pPr>
        <w:pStyle w:val="ListParagraph"/>
        <w:numPr>
          <w:ilvl w:val="0"/>
          <w:numId w:val="2"/>
        </w:numPr>
        <w:spacing w:after="60" w:before="40"/>
      </w:pPr>
      <w:r>
        <w:rPr>
          <w:rFonts w:ascii="Arial" w:cs="Arial" w:eastAsia="Arial" w:hAnsi="Arial"/>
          <w:color w:val="000000"/>
          <w:sz w:val="22"/>
          <w:szCs w:val="22"/>
        </w:rPr>
        <w:t xml:space="preserve">Concession month numbers are within the lease term</w:t>
      </w:r>
    </w:p>
    <w:p>
      <w:pPr>
        <w:pStyle w:val="ListParagraph"/>
        <w:numPr>
          <w:ilvl w:val="0"/>
          <w:numId w:val="2"/>
        </w:numPr>
        <w:spacing w:after="60" w:before="40"/>
      </w:pPr>
      <w:r>
        <w:rPr>
          <w:rFonts w:ascii="Arial" w:cs="Arial" w:eastAsia="Arial" w:hAnsi="Arial"/>
          <w:color w:val="000000"/>
          <w:sz w:val="22"/>
          <w:szCs w:val="22"/>
        </w:rPr>
        <w:t xml:space="preserve">Recurring override target keys are valid charge identifiers</w:t>
      </w:r>
    </w:p>
    <w:p>
      <w:pPr>
        <w:pStyle w:val="ListParagraph"/>
        <w:numPr>
          <w:ilvl w:val="0"/>
          <w:numId w:val="2"/>
        </w:numPr>
        <w:spacing w:after="60" w:before="40"/>
      </w:pPr>
      <w:r>
        <w:rPr>
          <w:rFonts w:ascii="Arial" w:cs="Arial" w:eastAsia="Arial" w:hAnsi="Arial"/>
          <w:color w:val="000000"/>
          <w:sz w:val="22"/>
          <w:szCs w:val="22"/>
        </w:rPr>
        <w:t xml:space="preserve">No overlapping concession events</w:t>
      </w:r>
    </w:p>
    <w:p>
      <w:pPr>
        <w:spacing w:after="0" w:before="80"/>
      </w:pPr>
      <w:r>
        <w:t xml:space="preserve"/>
      </w:r>
    </w:p>
    <w:p>
      <w:pPr>
        <w:spacing w:after="100" w:before="60"/>
      </w:pPr>
      <w:r>
        <w:rPr>
          <w:rFonts w:ascii="Arial" w:cs="Arial" w:eastAsia="Arial" w:hAnsi="Arial"/>
          <w:color w:val="000000"/>
          <w:sz w:val="22"/>
          <w:szCs w:val="22"/>
        </w:rPr>
        <w:t xml:space="preserve">Validation is not a hard block — the form proceeds even with warnings. Errors are shown inline via ValidationBanner.</w:t>
      </w:r>
    </w:p>
    <w:p>
      <w:pPr>
        <w:spacing w:after="0" w:before="120"/>
      </w:pPr>
      <w:r>
        <w:t xml:space="preserve"/>
      </w:r>
    </w:p>
    <w:p>
      <w:pPr>
        <w:pStyle w:val="Heading2"/>
        <w:spacing w:after="120" w:before="300"/>
      </w:pPr>
      <w:r>
        <w:rPr>
          <w:rFonts w:ascii="Arial" w:cs="Arial" w:eastAsia="Arial" w:hAnsi="Arial"/>
          <w:b/>
          <w:bCs/>
          <w:color w:val="2E75B6"/>
          <w:sz w:val="28"/>
          <w:szCs w:val="28"/>
        </w:rPr>
        <w:t xml:space="preserve">5D. Calculator (src/engine/calculator.js) — The Core</w:t>
      </w:r>
    </w:p>
    <w:p>
      <w:pPr>
        <w:spacing w:after="100" w:before="60"/>
      </w:pPr>
      <w:r>
        <w:rPr>
          <w:rFonts w:ascii="Arial" w:cs="Arial" w:eastAsia="Arial" w:hAnsi="Arial"/>
          <w:color w:val="000000"/>
          <w:sz w:val="22"/>
          <w:szCs w:val="22"/>
        </w:rPr>
        <w:t xml:space="preserve">The calculator is the engine's engine. It runs two sequential passes over the monthly rows.</w:t>
      </w:r>
    </w:p>
    <w:p>
      <w:pPr>
        <w:spacing w:after="0" w:before="80"/>
      </w:pPr>
      <w:r>
        <w:t xml:space="preserve"/>
      </w:r>
    </w:p>
    <w:p>
      <w:pPr>
        <w:pStyle w:val="Heading3"/>
        <w:spacing w:after="80" w:before="240"/>
      </w:pPr>
      <w:r>
        <w:rPr>
          <w:rFonts w:ascii="Arial" w:cs="Arial" w:eastAsia="Arial" w:hAnsi="Arial"/>
          <w:b/>
          <w:bCs/>
          <w:color w:val="1F3864"/>
          <w:sz w:val="24"/>
          <w:szCs w:val="24"/>
        </w:rPr>
        <w:t xml:space="preserve">Pass 1 — Forward (first month to last)</w:t>
      </w:r>
    </w:p>
    <w:p>
      <w:pPr>
        <w:spacing w:after="100" w:before="60"/>
      </w:pPr>
      <w:r>
        <w:rPr>
          <w:rFonts w:ascii="Arial" w:cs="Arial" w:eastAsia="Arial" w:hAnsi="Arial"/>
          <w:color w:val="000000"/>
          <w:sz w:val="22"/>
          <w:szCs w:val="22"/>
        </w:rPr>
        <w:t xml:space="preserve">For each row, the calculator computes every charge field:</w:t>
      </w:r>
    </w:p>
    <w:p>
      <w:pPr>
        <w:pStyle w:val="ListParagraph"/>
        <w:numPr>
          <w:ilvl w:val="0"/>
          <w:numId w:val="2"/>
        </w:numPr>
        <w:spacing w:after="60" w:before="40"/>
      </w:pPr>
      <w:r>
        <w:rPr>
          <w:rFonts w:ascii="Arial" w:cs="Arial" w:eastAsia="Arial" w:hAnsi="Arial"/>
          <w:color w:val="000000"/>
          <w:sz w:val="22"/>
          <w:szCs w:val="22"/>
        </w:rPr>
        <w:t xml:space="preserve">Period factor — handles partial months at the end of the lease (days in month / calendar days)</w:t>
      </w:r>
    </w:p>
    <w:p>
      <w:pPr>
        <w:pStyle w:val="ListParagraph"/>
        <w:numPr>
          <w:ilvl w:val="0"/>
          <w:numId w:val="2"/>
        </w:numPr>
        <w:spacing w:after="60" w:before="40"/>
      </w:pPr>
      <w:r>
        <w:rPr>
          <w:rFonts w:ascii="Arial" w:cs="Arial" w:eastAsia="Arial" w:hAnsi="Arial"/>
          <w:color w:val="000000"/>
          <w:sz w:val="22"/>
          <w:szCs w:val="22"/>
        </w:rPr>
        <w:t xml:space="preserve">Scheduled base rent — taken directly from the expander row</w:t>
      </w:r>
    </w:p>
    <w:p>
      <w:pPr>
        <w:pStyle w:val="ListParagraph"/>
        <w:numPr>
          <w:ilvl w:val="0"/>
          <w:numId w:val="2"/>
        </w:numPr>
        <w:spacing w:after="60" w:before="40"/>
      </w:pPr>
      <w:r>
        <w:rPr>
          <w:rFonts w:ascii="Arial" w:cs="Arial" w:eastAsia="Arial" w:hAnsi="Arial"/>
          <w:color w:val="000000"/>
          <w:sz w:val="22"/>
          <w:szCs w:val="22"/>
        </w:rPr>
        <w:t xml:space="preserve">Concessions — free rent events set base rent to $0; abatement events reduce it by a percentage or fixed amount</w:t>
      </w:r>
    </w:p>
    <w:p>
      <w:pPr>
        <w:pStyle w:val="ListParagraph"/>
        <w:numPr>
          <w:ilvl w:val="0"/>
          <w:numId w:val="2"/>
        </w:numPr>
        <w:spacing w:after="60" w:before="40"/>
      </w:pPr>
      <w:r>
        <w:rPr>
          <w:rFonts w:ascii="Arial" w:cs="Arial" w:eastAsia="Arial" w:hAnsi="Arial"/>
          <w:color w:val="000000"/>
          <w:sz w:val="22"/>
          <w:szCs w:val="22"/>
        </w:rPr>
        <w:t xml:space="preserve">Recurring overrides — can replace base rent or any charge on a specific row onward</w:t>
      </w:r>
    </w:p>
    <w:p>
      <w:pPr>
        <w:pStyle w:val="ListParagraph"/>
        <w:numPr>
          <w:ilvl w:val="0"/>
          <w:numId w:val="2"/>
        </w:numPr>
        <w:spacing w:after="60" w:before="40"/>
      </w:pPr>
      <w:r>
        <w:rPr>
          <w:rFonts w:ascii="Arial" w:cs="Arial" w:eastAsia="Arial" w:hAnsi="Arial"/>
          <w:color w:val="000000"/>
          <w:sz w:val="22"/>
          <w:szCs w:val="22"/>
        </w:rPr>
        <w:t xml:space="preserve">NNN charges — either individual (CAMS + Insurance + Taxes) or aggregate (single NNN estimate); each escalates annually from its own start date</w:t>
      </w:r>
    </w:p>
    <w:p>
      <w:pPr>
        <w:pStyle w:val="ListParagraph"/>
        <w:numPr>
          <w:ilvl w:val="0"/>
          <w:numId w:val="2"/>
        </w:numPr>
        <w:spacing w:after="60" w:before="40"/>
      </w:pPr>
      <w:r>
        <w:rPr>
          <w:rFonts w:ascii="Arial" w:cs="Arial" w:eastAsia="Arial" w:hAnsi="Arial"/>
          <w:color w:val="000000"/>
          <w:sz w:val="22"/>
          <w:szCs w:val="22"/>
        </w:rPr>
        <w:t xml:space="preserve">Other charges — Security, Other Items; treated as separate buckets</w:t>
      </w:r>
    </w:p>
    <w:p>
      <w:pPr>
        <w:pStyle w:val="ListParagraph"/>
        <w:numPr>
          <w:ilvl w:val="0"/>
          <w:numId w:val="2"/>
        </w:numPr>
        <w:spacing w:after="60" w:before="40"/>
      </w:pPr>
      <w:r>
        <w:rPr>
          <w:rFonts w:ascii="Arial" w:cs="Arial" w:eastAsia="Arial" w:hAnsi="Arial"/>
          <w:color w:val="000000"/>
          <w:sz w:val="22"/>
          <w:szCs w:val="22"/>
        </w:rPr>
        <w:t xml:space="preserve">One-time items — amounts keyed to a specific month; appear in their own columns</w:t>
      </w:r>
    </w:p>
    <w:p>
      <w:pPr>
        <w:pStyle w:val="ListParagraph"/>
        <w:numPr>
          <w:ilvl w:val="0"/>
          <w:numId w:val="2"/>
        </w:numPr>
        <w:spacing w:after="60" w:before="40"/>
      </w:pPr>
      <w:r>
        <w:rPr>
          <w:rFonts w:ascii="Arial" w:cs="Arial" w:eastAsia="Arial" w:hAnsi="Arial"/>
          <w:color w:val="000000"/>
          <w:sz w:val="22"/>
          <w:szCs w:val="22"/>
        </w:rPr>
        <w:t xml:space="preserve">Totals — totalNNNAmount, totalOtherChargesAmount, totalMonthlyObligation</w:t>
      </w:r>
    </w:p>
    <w:p>
      <w:pPr>
        <w:spacing w:after="0" w:before="80"/>
      </w:pPr>
      <w:r>
        <w:t xml:space="preserve"/>
      </w:r>
    </w:p>
    <w:tbl>
      <w:tblPr>
        <w:tblW w:type="dxa" w:w="9360"/>
        <w:tblBorders>
          <w:top w:val="none"/>
          <w:left w:val="none"/>
          <w:bottom w:val="none"/>
          <w:right w:val="none"/>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C45911"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CRITICAL</w:t>
            </w:r>
          </w:p>
        </w:tc>
        <w:tc>
          <w:tcPr>
            <w:tcW w:type="dxa" w:w="8800"/>
            <w:tcBorders>
              <w:top w:val="none" w:color="FFFFFF" w:sz="0"/>
              <w:left w:val="none" w:color="FFFFFF" w:sz="0"/>
              <w:bottom w:val="none" w:color="FFFFFF" w:sz="0"/>
              <w:right w:val="none" w:color="FFFFFF" w:sz="0"/>
            </w:tcBorders>
            <w:shd w:fill="FFF2CC" w:val="clear"/>
            <w:tcMar>
              <w:top w:type="dxa" w:w="80"/>
              <w:left w:type="dxa" w:w="160"/>
              <w:bottom w:type="dxa" w:w="80"/>
              <w:right w:type="dxa" w:w="160"/>
            </w:tcMar>
          </w:tcPr>
          <w:p>
            <w:r>
              <w:rPr>
                <w:rFonts w:ascii="Arial" w:cs="Arial" w:eastAsia="Arial" w:hAnsi="Arial"/>
                <w:color w:val="7F4B00"/>
                <w:sz w:val="20"/>
                <w:szCs w:val="20"/>
              </w:rPr>
              <w:t xml:space="preserve">totalNNN (export col L) = CAMS + Insurance + Taxes ONLY. Security, Other Items, and one-time items are in the Other Charges bucket. This classification determines which Excel column each charge lands in.</w:t>
            </w:r>
          </w:p>
        </w:tc>
      </w:tr>
    </w:tbl>
    <w:p>
      <w:pPr>
        <w:spacing w:after="0" w:before="80"/>
      </w:pPr>
      <w:r>
        <w:t xml:space="preserve"/>
      </w:r>
    </w:p>
    <w:p>
      <w:pPr>
        <w:pStyle w:val="Heading3"/>
        <w:spacing w:after="80" w:before="240"/>
      </w:pPr>
      <w:r>
        <w:rPr>
          <w:rFonts w:ascii="Arial" w:cs="Arial" w:eastAsia="Arial" w:hAnsi="Arial"/>
          <w:b/>
          <w:bCs/>
          <w:color w:val="1F3864"/>
          <w:sz w:val="24"/>
          <w:szCs w:val="24"/>
        </w:rPr>
        <w:t xml:space="preserve">Pass 2 — Backward (last month to first)</w:t>
      </w:r>
    </w:p>
    <w:p>
      <w:pPr>
        <w:spacing w:after="100" w:before="60"/>
      </w:pPr>
      <w:r>
        <w:rPr>
          <w:rFonts w:ascii="Arial" w:cs="Arial" w:eastAsia="Arial" w:hAnsi="Arial"/>
          <w:color w:val="000000"/>
          <w:sz w:val="22"/>
          <w:szCs w:val="22"/>
        </w:rPr>
        <w:t xml:space="preserve">After Pass 1 completes, the calculator iterates in reverse. It accumulates a running total of totalMonthlyObligation from the end of the lease backward, assigning each row a totalObligationRemaining value. This is what powers the 'Remaining Obligation as of this date' view.</w:t>
      </w:r>
    </w:p>
    <w:p>
      <w:pPr>
        <w:spacing w:after="0" w:before="80"/>
      </w:pPr>
      <w:r>
        <w:t xml:space="preserve"/>
      </w:r>
    </w:p>
    <w:p>
      <w:pPr>
        <w:spacing w:after="100" w:before="60"/>
      </w:pPr>
      <w:r>
        <w:rPr>
          <w:rFonts w:ascii="Arial" w:cs="Arial" w:eastAsia="Arial" w:hAnsi="Arial"/>
          <w:color w:val="000000"/>
          <w:sz w:val="22"/>
          <w:szCs w:val="22"/>
        </w:rPr>
        <w:t xml:space="preserve">Each pass-2 remaining balance is the sum of all future obligations from that row through the last row — not a guess or projection. It is derived directly from the computed Pass 1 values.</w:t>
      </w:r>
    </w:p>
    <w:p>
      <w:pPr>
        <w:spacing w:after="0" w:before="160"/>
      </w:pPr>
      <w:r>
        <w:t xml:space="preserve"/>
      </w:r>
    </w:p>
    <w:p>
      <w:pPr>
        <w:pStyle w:val="Heading1"/>
        <w:spacing w:after="160" w:before="400"/>
      </w:pPr>
      <w:r>
        <w:rPr>
          <w:rFonts w:ascii="Arial" w:cs="Arial" w:eastAsia="Arial" w:hAnsi="Arial"/>
          <w:b/>
          <w:bCs/>
          <w:color w:val="1F3864"/>
          <w:sz w:val="36"/>
          <w:szCs w:val="36"/>
        </w:rPr>
        <w:t xml:space="preserve">6. InputForm — Lease Assumptions</w:t>
      </w:r>
    </w:p>
    <w:p>
      <w:pPr>
        <w:spacing w:after="100" w:before="60"/>
      </w:pPr>
      <w:r>
        <w:rPr>
          <w:rFonts w:ascii="Arial" w:cs="Arial" w:eastAsia="Arial" w:hAnsi="Arial"/>
          <w:color w:val="000000"/>
          <w:sz w:val="22"/>
          <w:szCs w:val="22"/>
        </w:rPr>
        <w:t xml:space="preserve">InputForm (src/components/InputForm.jsx) collects the parameters that the calculator needs. It is a large form with several logical sections:</w:t>
      </w:r>
    </w:p>
    <w:p>
      <w:pPr>
        <w:spacing w:after="0" w:before="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4472C4" w:sz="4"/>
              <w:left w:val="single" w:color="4472C4" w:sz="4"/>
              <w:bottom w:val="single" w:color="4472C4" w:sz="4"/>
              <w:right w:val="single" w:color="4472C4"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Section</w:t>
            </w:r>
          </w:p>
        </w:tc>
        <w:tc>
          <w:tcPr>
            <w:tcW w:type="dxa" w:w="7000"/>
            <w:tcBorders>
              <w:top w:val="single" w:color="4472C4" w:sz="4"/>
              <w:left w:val="single" w:color="4472C4" w:sz="4"/>
              <w:bottom w:val="single" w:color="4472C4" w:sz="4"/>
              <w:right w:val="single" w:color="4472C4"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it captures</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Lease identification</w:t>
            </w:r>
          </w:p>
        </w:tc>
        <w:tc>
          <w:tcPr>
            <w:tcW w:type="dxa" w:w="7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Lease name, square footage, rent commencement date</w:t>
            </w:r>
          </w:p>
        </w:tc>
      </w:tr>
      <w:tr>
        <w:tc>
          <w:tcPr>
            <w:tcW w:type="dxa" w:w="24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000000"/>
                <w:sz w:val="20"/>
                <w:szCs w:val="20"/>
              </w:rPr>
              <w:t xml:space="preserve">NNN mode</w:t>
            </w:r>
          </w:p>
        </w:tc>
        <w:tc>
          <w:tcPr>
            <w:tcW w:type="dxa" w:w="70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000000"/>
                <w:sz w:val="20"/>
                <w:szCs w:val="20"/>
              </w:rPr>
              <w:t xml:space="preserve">Individual (CAMS, Insurance, Taxes entered separately) or Aggregate (single monthly NNN estimate)</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NNN charges</w:t>
            </w:r>
          </w:p>
        </w:tc>
        <w:tc>
          <w:tcPr>
            <w:tcW w:type="dxa" w:w="7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Year 1 amount and annual escalation % for each NNN component; start dates for charge commencement and escalation</w:t>
            </w:r>
          </w:p>
        </w:tc>
      </w:tr>
      <w:tr>
        <w:tc>
          <w:tcPr>
            <w:tcW w:type="dxa" w:w="24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000000"/>
                <w:sz w:val="20"/>
                <w:szCs w:val="20"/>
              </w:rPr>
              <w:t xml:space="preserve">Other charges</w:t>
            </w:r>
          </w:p>
        </w:tc>
        <w:tc>
          <w:tcPr>
            <w:tcW w:type="dxa" w:w="70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000000"/>
                <w:sz w:val="20"/>
                <w:szCs w:val="20"/>
              </w:rPr>
              <w:t xml:space="preserve">Security deposit, other recurring items — same structure as NNN</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Concession events</w:t>
            </w:r>
          </w:p>
        </w:tc>
        <w:tc>
          <w:tcPr>
            <w:tcW w:type="dxa" w:w="7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Free rent months (rent = $0) and abatement events (partial reduction), each tied to a specific lease month number</w:t>
            </w:r>
          </w:p>
        </w:tc>
      </w:tr>
      <w:tr>
        <w:tc>
          <w:tcPr>
            <w:tcW w:type="dxa" w:w="24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000000"/>
                <w:sz w:val="20"/>
                <w:szCs w:val="20"/>
              </w:rPr>
              <w:t xml:space="preserve">Recurring overrides</w:t>
            </w:r>
          </w:p>
        </w:tc>
        <w:tc>
          <w:tcPr>
            <w:tcW w:type="dxa" w:w="70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000000"/>
                <w:sz w:val="20"/>
                <w:szCs w:val="20"/>
              </w:rPr>
              <w:t xml:space="preserve">Override base rent or any charge for a specific row forward — used for mid-lease restructures</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One-time items</w:t>
            </w:r>
          </w:p>
        </w:tc>
        <w:tc>
          <w:tcPr>
            <w:tcW w:type="dxa" w:w="7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Label, date, and amount for non-recurring charges (e.g., TI allowance, move-in fee)</w:t>
            </w:r>
          </w:p>
        </w:tc>
      </w:tr>
    </w:tbl>
    <w:p>
      <w:pPr>
        <w:spacing w:after="0" w:before="120"/>
      </w:pPr>
      <w:r>
        <w:t xml:space="preserve"/>
      </w:r>
    </w:p>
    <w:p>
      <w:pPr>
        <w:spacing w:after="100" w:before="60"/>
      </w:pPr>
      <w:r>
        <w:rPr>
          <w:rFonts w:ascii="Arial" w:cs="Arial" w:eastAsia="Arial" w:hAnsi="Arial"/>
          <w:color w:val="000000"/>
          <w:sz w:val="22"/>
          <w:szCs w:val="22"/>
        </w:rPr>
        <w:t xml:space="preserve">When the user clicks Confirm &amp; Process, App.jsx calls formToCalculatorParams() to normalize the form's string values into typed objects (string dates become Date objects, string numbers become numbers, concession form fields become structured concession event objects). The normalized params object is then passed to calculateAllCharges() alongside the expanded monthly rows.</w:t>
      </w:r>
    </w:p>
    <w:p>
      <w:pPr>
        <w:spacing w:after="0" w:before="160"/>
      </w:pPr>
      <w:r>
        <w:t xml:space="preserve"/>
      </w:r>
    </w:p>
    <w:p>
      <w:pPr>
        <w:pStyle w:val="Heading1"/>
        <w:spacing w:after="160" w:before="400"/>
      </w:pPr>
      <w:r>
        <w:rPr>
          <w:rFonts w:ascii="Arial" w:cs="Arial" w:eastAsia="Arial" w:hAnsi="Arial"/>
          <w:b/>
          <w:bCs/>
          <w:color w:val="1F3864"/>
          <w:sz w:val="36"/>
          <w:szCs w:val="36"/>
        </w:rPr>
        <w:t xml:space="preserve">7. Results — Ledger and Summary</w:t>
      </w:r>
    </w:p>
    <w:p>
      <w:pPr>
        <w:spacing w:after="100" w:before="60"/>
      </w:pPr>
      <w:r>
        <w:rPr>
          <w:rFonts w:ascii="Arial" w:cs="Arial" w:eastAsia="Arial" w:hAnsi="Arial"/>
          <w:color w:val="000000"/>
          <w:sz w:val="22"/>
          <w:szCs w:val="22"/>
        </w:rPr>
        <w:t xml:space="preserve">The RESULTS step renders two components side by side:</w:t>
      </w:r>
    </w:p>
    <w:p>
      <w:pPr>
        <w:spacing w:after="0" w:before="80"/>
      </w:pPr>
      <w:r>
        <w:t xml:space="preserve"/>
      </w:r>
    </w:p>
    <w:p>
      <w:pPr>
        <w:pStyle w:val="Heading3"/>
        <w:spacing w:after="80" w:before="240"/>
      </w:pPr>
      <w:r>
        <w:rPr>
          <w:rFonts w:ascii="Arial" w:cs="Arial" w:eastAsia="Arial" w:hAnsi="Arial"/>
          <w:b/>
          <w:bCs/>
          <w:color w:val="1F3864"/>
          <w:sz w:val="24"/>
          <w:szCs w:val="24"/>
        </w:rPr>
        <w:t xml:space="preserve">LedgerTable (src/components/LedgerTable.jsx)</w:t>
      </w:r>
    </w:p>
    <w:p>
      <w:pPr>
        <w:spacing w:after="100" w:before="60"/>
      </w:pPr>
      <w:r>
        <w:rPr>
          <w:rFonts w:ascii="Arial" w:cs="Arial" w:eastAsia="Arial" w:hAnsi="Arial"/>
          <w:color w:val="000000"/>
          <w:sz w:val="22"/>
          <w:szCs w:val="22"/>
        </w:rPr>
        <w:t xml:space="preserve">A scrollable, paginated monthly ledger (25 rows per page). Column groups:</w:t>
      </w:r>
    </w:p>
    <w:p>
      <w:pPr>
        <w:pStyle w:val="ListParagraph"/>
        <w:numPr>
          <w:ilvl w:val="0"/>
          <w:numId w:val="2"/>
        </w:numPr>
        <w:spacing w:after="60" w:before="40"/>
      </w:pPr>
      <w:r>
        <w:rPr>
          <w:rFonts w:ascii="Arial" w:cs="Arial" w:eastAsia="Arial" w:hAnsi="Arial"/>
          <w:color w:val="000000"/>
          <w:sz w:val="22"/>
          <w:szCs w:val="22"/>
        </w:rPr>
        <w:t xml:space="preserve">Lease schedule — period dates, year/month sequence, base rent applied, proration, abatement</w:t>
      </w:r>
    </w:p>
    <w:p>
      <w:pPr>
        <w:pStyle w:val="ListParagraph"/>
        <w:numPr>
          <w:ilvl w:val="0"/>
          <w:numId w:val="2"/>
        </w:numPr>
        <w:spacing w:after="60" w:before="40"/>
      </w:pPr>
      <w:r>
        <w:rPr>
          <w:rFonts w:ascii="Arial" w:cs="Arial" w:eastAsia="Arial" w:hAnsi="Arial"/>
          <w:color w:val="000000"/>
          <w:sz w:val="22"/>
          <w:szCs w:val="22"/>
        </w:rPr>
        <w:t xml:space="preserve">Charges — NNN components (or aggregate), security, other items</w:t>
      </w:r>
    </w:p>
    <w:p>
      <w:pPr>
        <w:pStyle w:val="ListParagraph"/>
        <w:numPr>
          <w:ilvl w:val="0"/>
          <w:numId w:val="2"/>
        </w:numPr>
        <w:spacing w:after="60" w:before="40"/>
      </w:pPr>
      <w:r>
        <w:rPr>
          <w:rFonts w:ascii="Arial" w:cs="Arial" w:eastAsia="Arial" w:hAnsi="Arial"/>
          <w:color w:val="000000"/>
          <w:sz w:val="22"/>
          <w:szCs w:val="22"/>
        </w:rPr>
        <w:t xml:space="preserve">One-time items — one dynamic column per unique label found in the rows</w:t>
      </w:r>
    </w:p>
    <w:p>
      <w:pPr>
        <w:pStyle w:val="ListParagraph"/>
        <w:numPr>
          <w:ilvl w:val="0"/>
          <w:numId w:val="2"/>
        </w:numPr>
        <w:spacing w:after="60" w:before="40"/>
      </w:pPr>
      <w:r>
        <w:rPr>
          <w:rFonts w:ascii="Arial" w:cs="Arial" w:eastAsia="Arial" w:hAnsi="Arial"/>
          <w:color w:val="000000"/>
          <w:sz w:val="22"/>
          <w:szCs w:val="22"/>
        </w:rPr>
        <w:t xml:space="preserve">Totals — Total NNN, Total Monthly, Effective $/SF, remaining balances</w:t>
      </w:r>
    </w:p>
    <w:p>
      <w:pPr>
        <w:spacing w:after="0" w:before="80"/>
      </w:pPr>
      <w:r>
        <w:t xml:space="preserve"/>
      </w:r>
    </w:p>
    <w:p>
      <w:pPr>
        <w:spacing w:after="100" w:before="60"/>
      </w:pPr>
      <w:r>
        <w:rPr>
          <w:rFonts w:ascii="Arial" w:cs="Arial" w:eastAsia="Arial" w:hAnsi="Arial"/>
          <w:color w:val="000000"/>
          <w:sz w:val="22"/>
          <w:szCs w:val="22"/>
        </w:rPr>
        <w:t xml:space="preserve">Rows with full abatement are highlighted in amber. Rows with partial concessions show both the scheduled rent and the applied rent.</w:t>
      </w:r>
    </w:p>
    <w:p>
      <w:pPr>
        <w:spacing w:after="0" w:before="80"/>
      </w:pPr>
      <w:r>
        <w:t xml:space="preserve"/>
      </w:r>
    </w:p>
    <w:p>
      <w:pPr>
        <w:pStyle w:val="Heading3"/>
        <w:spacing w:after="80" w:before="240"/>
      </w:pPr>
      <w:r>
        <w:rPr>
          <w:rFonts w:ascii="Arial" w:cs="Arial" w:eastAsia="Arial" w:hAnsi="Arial"/>
          <w:b/>
          <w:bCs/>
          <w:color w:val="1F3864"/>
          <w:sz w:val="24"/>
          <w:szCs w:val="24"/>
        </w:rPr>
        <w:t xml:space="preserve">SummaryPanel (src/components/SummaryPanel.jsx)</w:t>
      </w:r>
    </w:p>
    <w:p>
      <w:pPr>
        <w:spacing w:after="100" w:before="60"/>
      </w:pPr>
      <w:r>
        <w:rPr>
          <w:rFonts w:ascii="Arial" w:cs="Arial" w:eastAsia="Arial" w:hAnsi="Arial"/>
          <w:color w:val="000000"/>
          <w:sz w:val="22"/>
          <w:szCs w:val="22"/>
        </w:rPr>
        <w:t xml:space="preserve">Aggregate metric cards: total base rent, total per-charge obligations, combined total, and remaining obligation. Supports an as-of date filter so the user can see the remaining obligation as of any point in the lease term.</w:t>
      </w:r>
    </w:p>
    <w:p>
      <w:pPr>
        <w:spacing w:after="0" w:before="160"/>
      </w:pPr>
      <w:r>
        <w:t xml:space="preserve"/>
      </w:r>
    </w:p>
    <w:p>
      <w:pPr>
        <w:pStyle w:val="Heading1"/>
        <w:spacing w:after="160" w:before="400"/>
      </w:pPr>
      <w:r>
        <w:rPr>
          <w:rFonts w:ascii="Arial" w:cs="Arial" w:eastAsia="Arial" w:hAnsi="Arial"/>
          <w:b/>
          <w:bCs/>
          <w:color w:val="1F3864"/>
          <w:sz w:val="36"/>
          <w:szCs w:val="36"/>
        </w:rPr>
        <w:t xml:space="preserve">8. Export — Dynamic Column Layout</w:t>
      </w:r>
    </w:p>
    <w:p>
      <w:pPr>
        <w:spacing w:after="100" w:before="60"/>
      </w:pPr>
      <w:r>
        <w:rPr>
          <w:rFonts w:ascii="Arial" w:cs="Arial" w:eastAsia="Arial" w:hAnsi="Arial"/>
          <w:color w:val="000000"/>
          <w:sz w:val="22"/>
          <w:szCs w:val="22"/>
        </w:rPr>
        <w:t xml:space="preserve">ExportButton (src/components/ExportButton.jsx) triggers export via src/utils/exportUtils.js. Three formats are available: XLSX, CSV, and Word document (.docx).</w:t>
      </w:r>
    </w:p>
    <w:p>
      <w:pPr>
        <w:spacing w:after="0" w:before="80"/>
      </w:pPr>
      <w:r>
        <w:t xml:space="preserve"/>
      </w:r>
    </w:p>
    <w:p>
      <w:pPr>
        <w:pStyle w:val="Heading3"/>
        <w:spacing w:after="80" w:before="240"/>
      </w:pPr>
      <w:r>
        <w:rPr>
          <w:rFonts w:ascii="Arial" w:cs="Arial" w:eastAsia="Arial" w:hAnsi="Arial"/>
          <w:b/>
          <w:bCs/>
          <w:color w:val="1F3864"/>
          <w:sz w:val="24"/>
          <w:szCs w:val="24"/>
        </w:rPr>
        <w:t xml:space="preserve">XLSX column layout</w:t>
      </w:r>
    </w:p>
    <w:p>
      <w:pPr>
        <w:spacing w:after="100" w:before="60"/>
      </w:pPr>
      <w:r>
        <w:rPr>
          <w:rFonts w:ascii="Arial" w:cs="Arial" w:eastAsia="Arial" w:hAnsi="Arial"/>
          <w:color w:val="000000"/>
          <w:sz w:val="22"/>
          <w:szCs w:val="22"/>
        </w:rPr>
        <w:t xml:space="preserve">Columns are not hardcoded. The layout is built dynamically: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4472C4" w:sz="4"/>
              <w:left w:val="single" w:color="4472C4" w:sz="4"/>
              <w:bottom w:val="single" w:color="4472C4" w:sz="4"/>
              <w:right w:val="single" w:color="4472C4"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 group</w:t>
            </w:r>
          </w:p>
        </w:tc>
        <w:tc>
          <w:tcPr>
            <w:tcW w:type="dxa" w:w="3600"/>
            <w:tcBorders>
              <w:top w:val="single" w:color="4472C4" w:sz="4"/>
              <w:left w:val="single" w:color="4472C4" w:sz="4"/>
              <w:bottom w:val="single" w:color="4472C4" w:sz="4"/>
              <w:right w:val="single" w:color="4472C4"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Columns</w:t>
            </w:r>
          </w:p>
        </w:tc>
        <w:tc>
          <w:tcPr>
            <w:tcW w:type="dxa" w:w="3560"/>
            <w:tcBorders>
              <w:top w:val="single" w:color="4472C4" w:sz="4"/>
              <w:left w:val="single" w:color="4472C4" w:sz="4"/>
              <w:bottom w:val="single" w:color="4472C4" w:sz="4"/>
              <w:right w:val="single" w:color="4472C4"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2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Fixed base (A–L)</w:t>
            </w:r>
          </w:p>
        </w:tc>
        <w:tc>
          <w:tcPr>
            <w:tcW w:type="dxa" w:w="3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Period Start, Year, Month, Scheduled Base, Applied Base, Abatement, Proration, CAMS, Insurance, Taxes, Security / Other Items, Total NNN</w:t>
            </w:r>
          </w:p>
        </w:tc>
        <w:tc>
          <w:tcPr>
            <w:tcW w:type="dxa" w:w="35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Always present; order never changes</w:t>
            </w:r>
          </w:p>
        </w:tc>
      </w:tr>
      <w:tr>
        <w:tc>
          <w:tcPr>
            <w:tcW w:type="dxa" w:w="22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000000"/>
                <w:sz w:val="20"/>
                <w:szCs w:val="20"/>
              </w:rPr>
              <w:t xml:space="preserve">One-time items (dynamic)</w:t>
            </w:r>
          </w:p>
        </w:tc>
        <w:tc>
          <w:tcPr>
            <w:tcW w:type="dxa" w:w="36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000000"/>
                <w:sz w:val="20"/>
                <w:szCs w:val="20"/>
              </w:rPr>
              <w:t xml:space="preserve">One column per unique label (e.g., Free Rent Credit, Tenant Improvement)</w:t>
            </w:r>
          </w:p>
        </w:tc>
        <w:tc>
          <w:tcPr>
            <w:tcW w:type="dxa" w:w="356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000000"/>
                <w:sz w:val="20"/>
                <w:szCs w:val="20"/>
              </w:rPr>
              <w:t xml:space="preserve">Inserted after col L; count varies per lease</w:t>
            </w:r>
          </w:p>
        </w:tc>
      </w:tr>
      <w:tr>
        <w:tc>
          <w:tcPr>
            <w:tcW w:type="dxa" w:w="2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Tail (dynamic offset)</w:t>
            </w:r>
          </w:p>
        </w:tc>
        <w:tc>
          <w:tcPr>
            <w:tcW w:type="dxa" w:w="3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Total Monthly Obligation, Effective $/SF, Obligation Remaining, Base Rent Remaining, NNN Remaining, Other Charges Remaining</w:t>
            </w:r>
          </w:p>
        </w:tc>
        <w:tc>
          <w:tcPr>
            <w:tcW w:type="dxa" w:w="35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Indices computed as offset from end of one-time columns — never hardcoded</w:t>
            </w:r>
          </w:p>
        </w:tc>
      </w:tr>
    </w:tbl>
    <w:p>
      <w:pPr>
        <w:spacing w:after="0" w:before="120"/>
      </w:pPr>
      <w:r>
        <w:t xml:space="preserve"/>
      </w:r>
    </w:p>
    <w:p>
      <w:pPr>
        <w:spacing w:after="100" w:before="60"/>
      </w:pPr>
      <w:r>
        <w:rPr>
          <w:rFonts w:ascii="Arial" w:cs="Arial" w:eastAsia="Arial" w:hAnsi="Arial"/>
          <w:color w:val="000000"/>
          <w:sz w:val="22"/>
          <w:szCs w:val="22"/>
        </w:rPr>
        <w:t xml:space="preserve">One-time item column count varies per lease. All tail column indices are computed as offsets from the end of the one-time columns, so adding or removing a one-time item never breaks the remaining columns.</w:t>
      </w:r>
    </w:p>
    <w:p>
      <w:pPr>
        <w:spacing w:after="0" w:before="80"/>
      </w:pPr>
      <w:r>
        <w:t xml:space="preserve"/>
      </w:r>
    </w:p>
    <w:p>
      <w:pPr>
        <w:pStyle w:val="Heading3"/>
        <w:spacing w:after="80" w:before="240"/>
      </w:pPr>
      <w:r>
        <w:rPr>
          <w:rFonts w:ascii="Arial" w:cs="Arial" w:eastAsia="Arial" w:hAnsi="Arial"/>
          <w:b/>
          <w:bCs/>
          <w:color w:val="1F3864"/>
          <w:sz w:val="24"/>
          <w:szCs w:val="24"/>
        </w:rPr>
        <w:t xml:space="preserve">Cell color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4472C4" w:sz="4"/>
              <w:left w:val="single" w:color="4472C4" w:sz="4"/>
              <w:bottom w:val="single" w:color="4472C4" w:sz="4"/>
              <w:right w:val="single" w:color="4472C4"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Color</w:t>
            </w:r>
          </w:p>
        </w:tc>
        <w:tc>
          <w:tcPr>
            <w:tcW w:type="dxa" w:w="7360"/>
            <w:tcBorders>
              <w:top w:val="single" w:color="4472C4" w:sz="4"/>
              <w:left w:val="single" w:color="4472C4" w:sz="4"/>
              <w:bottom w:val="single" w:color="4472C4" w:sz="4"/>
              <w:right w:val="single" w:color="4472C4"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Meaning</w:t>
            </w:r>
          </w:p>
        </w:tc>
      </w:tr>
      <w:tr>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Blue font</w:t>
            </w:r>
          </w:p>
        </w:tc>
        <w:tc>
          <w:tcPr>
            <w:tcW w:type="dxa" w:w="7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Hardcoded user input (assumption inputs, one-time event cells)</w:t>
            </w:r>
          </w:p>
        </w:tc>
      </w:tr>
      <w:tr>
        <w:tc>
          <w:tcPr>
            <w:tcW w:type="dxa" w:w="20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000000"/>
                <w:sz w:val="20"/>
                <w:szCs w:val="20"/>
              </w:rPr>
              <w:t xml:space="preserve">Black font</w:t>
            </w:r>
          </w:p>
        </w:tc>
        <w:tc>
          <w:tcPr>
            <w:tcW w:type="dxa" w:w="736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000000"/>
                <w:sz w:val="20"/>
                <w:szCs w:val="20"/>
              </w:rPr>
              <w:t xml:space="preserve">Formula output or engine-calculated value</w:t>
            </w:r>
          </w:p>
        </w:tc>
      </w:tr>
      <w:tr>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Dark-green font</w:t>
            </w:r>
          </w:p>
        </w:tc>
        <w:tc>
          <w:tcPr>
            <w:tcW w:type="dxa" w:w="7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Cross-sheet SUMIF formulas on the Annual Summary tab</w:t>
            </w:r>
          </w:p>
        </w:tc>
      </w:tr>
      <w:tr>
        <w:tc>
          <w:tcPr>
            <w:tcW w:type="dxa" w:w="20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000000"/>
                <w:sz w:val="20"/>
                <w:szCs w:val="20"/>
              </w:rPr>
              <w:t xml:space="preserve">Red-pink fill</w:t>
            </w:r>
          </w:p>
        </w:tc>
        <w:tc>
          <w:tcPr>
            <w:tcW w:type="dxa" w:w="736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000000"/>
                <w:sz w:val="20"/>
                <w:szCs w:val="20"/>
              </w:rPr>
              <w:t xml:space="preserve">NNN and Total Obligation columns</w:t>
            </w:r>
          </w:p>
        </w:tc>
      </w:tr>
      <w:tr>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Amber fill</w:t>
            </w:r>
          </w:p>
        </w:tc>
        <w:tc>
          <w:tcPr>
            <w:tcW w:type="dxa" w:w="7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Rows in a full-abatement period</w:t>
            </w:r>
          </w:p>
        </w:tc>
      </w:tr>
    </w:tbl>
    <w:p>
      <w:pPr>
        <w:spacing w:after="0" w:before="160"/>
      </w:pPr>
      <w:r>
        <w:t xml:space="preserve"/>
      </w:r>
    </w:p>
    <w:p>
      <w:pPr>
        <w:pStyle w:val="Heading1"/>
        <w:spacing w:after="160" w:before="400"/>
      </w:pPr>
      <w:r>
        <w:rPr>
          <w:rFonts w:ascii="Arial" w:cs="Arial" w:eastAsia="Arial" w:hAnsi="Arial"/>
          <w:b/>
          <w:bCs/>
          <w:color w:val="1F3864"/>
          <w:sz w:val="36"/>
          <w:szCs w:val="36"/>
        </w:rPr>
        <w:t xml:space="preserve">9. Key Conventions to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4472C4" w:sz="4"/>
              <w:left w:val="single" w:color="4472C4" w:sz="4"/>
              <w:bottom w:val="single" w:color="4472C4" w:sz="4"/>
              <w:right w:val="single" w:color="4472C4"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Convention</w:t>
            </w:r>
          </w:p>
        </w:tc>
        <w:tc>
          <w:tcPr>
            <w:tcW w:type="dxa" w:w="6560"/>
            <w:tcBorders>
              <w:top w:val="single" w:color="4472C4" w:sz="4"/>
              <w:left w:val="single" w:color="4472C4" w:sz="4"/>
              <w:bottom w:val="single" w:color="4472C4" w:sz="4"/>
              <w:right w:val="single" w:color="4472C4"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Rule</w:t>
            </w:r>
          </w:p>
        </w:tc>
      </w:tr>
      <w:tr>
        <w:tc>
          <w:tcPr>
            <w:tcW w:type="dxa" w:w="2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Processing trigger</w:t>
            </w:r>
          </w:p>
        </w:tc>
        <w:tc>
          <w:tcPr>
            <w:tcW w:type="dxa" w:w="65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Nothing calculates automatically. The user must click Confirm &amp; Process in InputForm.</w:t>
            </w:r>
          </w:p>
        </w:tc>
      </w:tr>
      <w:tr>
        <w:tc>
          <w:tcPr>
            <w:tcW w:type="dxa" w:w="28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000000"/>
                <w:sz w:val="20"/>
                <w:szCs w:val="20"/>
              </w:rPr>
              <w:t xml:space="preserve">Date objects</w:t>
            </w:r>
          </w:p>
        </w:tc>
        <w:tc>
          <w:tcPr>
            <w:tcW w:type="dxa" w:w="656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000000"/>
                <w:sz w:val="20"/>
                <w:szCs w:val="20"/>
              </w:rPr>
              <w:t xml:space="preserve">All internal dates are JavaScript Date objects at midnight local time. ISO strings (YYYY-MM-DD) are used on row objects for storage. User-facing dates are MM/DD/YYYY.</w:t>
            </w:r>
          </w:p>
        </w:tc>
      </w:tr>
      <w:tr>
        <w:tc>
          <w:tcPr>
            <w:tcW w:type="dxa" w:w="2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Abatement end date</w:t>
            </w:r>
          </w:p>
        </w:tc>
        <w:tc>
          <w:tcPr>
            <w:tcW w:type="dxa" w:w="65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The abatement end date is the last day of abatement (inclusive). Full rent starts the next day. A row is amber only when its entire period falls on or before that date — boundary months are not amber.</w:t>
            </w:r>
          </w:p>
        </w:tc>
      </w:tr>
      <w:tr>
        <w:tc>
          <w:tcPr>
            <w:tcW w:type="dxa" w:w="28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000000"/>
                <w:sz w:val="20"/>
                <w:szCs w:val="20"/>
              </w:rPr>
              <w:t xml:space="preserve">Abatement percentage scale</w:t>
            </w:r>
          </w:p>
        </w:tc>
        <w:tc>
          <w:tcPr>
            <w:tcW w:type="dxa" w:w="656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000000"/>
                <w:sz w:val="20"/>
                <w:szCs w:val="20"/>
              </w:rPr>
              <w:t xml:space="preserve">0-100. 100 = full abatement (tenant pays $0). 50 = half rent. 0 = no abatement.</w:t>
            </w:r>
          </w:p>
        </w:tc>
      </w:tr>
      <w:tr>
        <w:tc>
          <w:tcPr>
            <w:tcW w:type="dxa" w:w="2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NNN classification</w:t>
            </w:r>
          </w:p>
        </w:tc>
        <w:tc>
          <w:tcPr>
            <w:tcW w:type="dxa" w:w="65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totalNNN = CAMS + Insurance + Taxes only. Security deposit and Other Items are in the Other Charges bucket regardless of their label.</w:t>
            </w:r>
          </w:p>
        </w:tc>
      </w:tr>
      <w:tr>
        <w:tc>
          <w:tcPr>
            <w:tcW w:type="dxa" w:w="28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000000"/>
                <w:sz w:val="20"/>
                <w:szCs w:val="20"/>
              </w:rPr>
              <w:t xml:space="preserve">Duplicate period starts</w:t>
            </w:r>
          </w:p>
        </w:tc>
        <w:tc>
          <w:tcPr>
            <w:tcW w:type="dxa" w:w="656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000000"/>
                <w:sz w:val="20"/>
                <w:szCs w:val="20"/>
              </w:rPr>
              <w:t xml:space="preserve">Surfaced as a warning; the user must explicitly confirm before processing proceeds.</w:t>
            </w:r>
          </w:p>
        </w:tc>
      </w:tr>
      <w:tr>
        <w:tc>
          <w:tcPr>
            <w:tcW w:type="dxa" w:w="2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One-time item columns</w:t>
            </w:r>
          </w:p>
        </w:tc>
        <w:tc>
          <w:tcPr>
            <w:tcW w:type="dxa" w:w="65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Derived from actual row data (row.oneTimeItemAmounts), not from params.oneTimeItems. This makes export robust even if params change after calculation.</w:t>
            </w:r>
          </w:p>
        </w:tc>
      </w:tr>
      <w:tr>
        <w:tc>
          <w:tcPr>
            <w:tcW w:type="dxa" w:w="28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000000"/>
                <w:sz w:val="20"/>
                <w:szCs w:val="20"/>
              </w:rPr>
              <w:t xml:space="preserve">Pure engine functions</w:t>
            </w:r>
          </w:p>
        </w:tc>
        <w:tc>
          <w:tcPr>
            <w:tcW w:type="dxa" w:w="656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000000"/>
                <w:sz w:val="20"/>
                <w:szCs w:val="20"/>
              </w:rPr>
              <w:t xml:space="preserve">All files in src/engine/ are pure — no React imports, no DOM access. They can be tested in isolation.</w:t>
            </w:r>
          </w:p>
        </w:tc>
      </w:tr>
    </w:tbl>
    <w:p>
      <w:pPr>
        <w:spacing w:after="0" w:before="160"/>
      </w:pPr>
      <w:r>
        <w:t xml:space="preserve"/>
      </w:r>
    </w:p>
    <w:p>
      <w:pPr>
        <w:pStyle w:val="Heading1"/>
        <w:spacing w:after="160" w:before="400"/>
      </w:pPr>
      <w:r>
        <w:rPr>
          <w:rFonts w:ascii="Arial" w:cs="Arial" w:eastAsia="Arial" w:hAnsi="Arial"/>
          <w:b/>
          <w:bCs/>
          <w:color w:val="1F3864"/>
          <w:sz w:val="36"/>
          <w:szCs w:val="36"/>
        </w:rPr>
        <w:t xml:space="preserve">10. File Map</w:t>
      </w:r>
    </w:p>
    <w:p>
      <w:pPr>
        <w:spacing w:after="100" w:before="60"/>
      </w:pPr>
      <w:r>
        <w:rPr>
          <w:rFonts w:ascii="Arial" w:cs="Arial" w:eastAsia="Arial" w:hAnsi="Arial"/>
          <w:color w:val="000000"/>
          <w:sz w:val="22"/>
          <w:szCs w:val="22"/>
        </w:rPr>
        <w:t xml:space="preserve">Quick reference for where things live: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4472C4" w:sz="4"/>
              <w:left w:val="single" w:color="4472C4" w:sz="4"/>
              <w:bottom w:val="single" w:color="4472C4" w:sz="4"/>
              <w:right w:val="single" w:color="4472C4"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File</w:t>
            </w:r>
          </w:p>
        </w:tc>
        <w:tc>
          <w:tcPr>
            <w:tcW w:type="dxa" w:w="6160"/>
            <w:tcBorders>
              <w:top w:val="single" w:color="4472C4" w:sz="4"/>
              <w:left w:val="single" w:color="4472C4" w:sz="4"/>
              <w:bottom w:val="single" w:color="4472C4" w:sz="4"/>
              <w:right w:val="single" w:color="4472C4"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Responsibility</w:t>
            </w:r>
          </w:p>
        </w:tc>
      </w:tr>
      <w:tr>
        <w:tc>
          <w:tcPr>
            <w:tcW w:type="dxa" w:w="3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src/App.jsx</w:t>
            </w:r>
          </w:p>
        </w:tc>
        <w:tc>
          <w:tcPr>
            <w:tcW w:type="dxa" w:w="61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State owner, step controller, all callbacks</w:t>
            </w:r>
          </w:p>
        </w:tc>
      </w:tr>
      <w:tr>
        <w:tc>
          <w:tcPr>
            <w:tcW w:type="dxa" w:w="32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000000"/>
                <w:sz w:val="20"/>
                <w:szCs w:val="20"/>
              </w:rPr>
              <w:t xml:space="preserve">src/components/UploadRouter.jsx</w:t>
            </w:r>
          </w:p>
        </w:tc>
        <w:tc>
          <w:tcPr>
            <w:tcW w:type="dxa" w:w="616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000000"/>
                <w:sz w:val="20"/>
                <w:szCs w:val="20"/>
              </w:rPr>
              <w:t xml:space="preserve">Step 1: intake path selection (Scan / Manual / Template)</w:t>
            </w:r>
          </w:p>
        </w:tc>
      </w:tr>
      <w:tr>
        <w:tc>
          <w:tcPr>
            <w:tcW w:type="dxa" w:w="3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src/components/ScheduleEditor.jsx</w:t>
            </w:r>
          </w:p>
        </w:tc>
        <w:tc>
          <w:tcPr>
            <w:tcW w:type="dxa" w:w="61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Step 2: period and rent entry (Quick Entry or Manual)</w:t>
            </w:r>
          </w:p>
        </w:tc>
      </w:tr>
      <w:tr>
        <w:tc>
          <w:tcPr>
            <w:tcW w:type="dxa" w:w="32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000000"/>
                <w:sz w:val="20"/>
                <w:szCs w:val="20"/>
              </w:rPr>
              <w:t xml:space="preserve">src/components/InputForm.jsx</w:t>
            </w:r>
          </w:p>
        </w:tc>
        <w:tc>
          <w:tcPr>
            <w:tcW w:type="dxa" w:w="616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000000"/>
                <w:sz w:val="20"/>
                <w:szCs w:val="20"/>
              </w:rPr>
              <w:t xml:space="preserve">Step 3: NNN, concessions, overrides, one-time items</w:t>
            </w:r>
          </w:p>
        </w:tc>
      </w:tr>
      <w:tr>
        <w:tc>
          <w:tcPr>
            <w:tcW w:type="dxa" w:w="3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src/components/LedgerTable.jsx</w:t>
            </w:r>
          </w:p>
        </w:tc>
        <w:tc>
          <w:tcPr>
            <w:tcW w:type="dxa" w:w="61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Results: monthly charge ledger</w:t>
            </w:r>
          </w:p>
        </w:tc>
      </w:tr>
      <w:tr>
        <w:tc>
          <w:tcPr>
            <w:tcW w:type="dxa" w:w="32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000000"/>
                <w:sz w:val="20"/>
                <w:szCs w:val="20"/>
              </w:rPr>
              <w:t xml:space="preserve">src/components/SummaryPanel.jsx</w:t>
            </w:r>
          </w:p>
        </w:tc>
        <w:tc>
          <w:tcPr>
            <w:tcW w:type="dxa" w:w="616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000000"/>
                <w:sz w:val="20"/>
                <w:szCs w:val="20"/>
              </w:rPr>
              <w:t xml:space="preserve">Results: aggregate totals and remaining obligation</w:t>
            </w:r>
          </w:p>
        </w:tc>
      </w:tr>
      <w:tr>
        <w:tc>
          <w:tcPr>
            <w:tcW w:type="dxa" w:w="3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src/components/ExportButton.jsx</w:t>
            </w:r>
          </w:p>
        </w:tc>
        <w:tc>
          <w:tcPr>
            <w:tcW w:type="dxa" w:w="61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Results: export trigger (XLSX, CSV, DOCX)</w:t>
            </w:r>
          </w:p>
        </w:tc>
      </w:tr>
      <w:tr>
        <w:tc>
          <w:tcPr>
            <w:tcW w:type="dxa" w:w="32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000000"/>
                <w:sz w:val="20"/>
                <w:szCs w:val="20"/>
              </w:rPr>
              <w:t xml:space="preserve">src/engine/parser.js</w:t>
            </w:r>
          </w:p>
        </w:tc>
        <w:tc>
          <w:tcPr>
            <w:tcW w:type="dxa" w:w="616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000000"/>
                <w:sz w:val="20"/>
                <w:szCs w:val="20"/>
              </w:rPr>
              <w:t xml:space="preserve">File parser (XLSX, CSV) → period rows</w:t>
            </w:r>
          </w:p>
        </w:tc>
      </w:tr>
      <w:tr>
        <w:tc>
          <w:tcPr>
            <w:tcW w:type="dxa" w:w="3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src/engine/expander.js</w:t>
            </w:r>
          </w:p>
        </w:tc>
        <w:tc>
          <w:tcPr>
            <w:tcW w:type="dxa" w:w="61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Period rows → monthly rows</w:t>
            </w:r>
          </w:p>
        </w:tc>
      </w:tr>
      <w:tr>
        <w:tc>
          <w:tcPr>
            <w:tcW w:type="dxa" w:w="32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000000"/>
                <w:sz w:val="20"/>
                <w:szCs w:val="20"/>
              </w:rPr>
              <w:t xml:space="preserve">src/engine/validator.js</w:t>
            </w:r>
          </w:p>
        </w:tc>
        <w:tc>
          <w:tcPr>
            <w:tcW w:type="dxa" w:w="616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000000"/>
                <w:sz w:val="20"/>
                <w:szCs w:val="20"/>
              </w:rPr>
              <w:t xml:space="preserve">Validation errors and warnings before calculation</w:t>
            </w:r>
          </w:p>
        </w:tc>
      </w:tr>
      <w:tr>
        <w:tc>
          <w:tcPr>
            <w:tcW w:type="dxa" w:w="3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src/engine/calculator.js</w:t>
            </w:r>
          </w:p>
        </w:tc>
        <w:tc>
          <w:tcPr>
            <w:tcW w:type="dxa" w:w="61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Two-pass obligation calculation — the core engine</w:t>
            </w:r>
          </w:p>
        </w:tc>
      </w:tr>
      <w:tr>
        <w:tc>
          <w:tcPr>
            <w:tcW w:type="dxa" w:w="32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000000"/>
                <w:sz w:val="20"/>
                <w:szCs w:val="20"/>
              </w:rPr>
              <w:t xml:space="preserve">src/engine/yearMonth.js</w:t>
            </w:r>
          </w:p>
        </w:tc>
        <w:tc>
          <w:tcPr>
            <w:tcW w:type="dxa" w:w="616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000000"/>
                <w:sz w:val="20"/>
                <w:szCs w:val="20"/>
              </w:rPr>
              <w:t xml:space="preserve">Date parsing utilities (parseMDYStrict, parseISODate, parseExcelDate)</w:t>
            </w:r>
          </w:p>
        </w:tc>
      </w:tr>
      <w:tr>
        <w:tc>
          <w:tcPr>
            <w:tcW w:type="dxa" w:w="3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src/ocr/extractor.js</w:t>
            </w:r>
          </w:p>
        </w:tc>
        <w:tc>
          <w:tcPr>
            <w:tcW w:type="dxa" w:w="61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PDF text extraction and AI-powered field parsing (only place VITE_ANTHROPIC_API_KEY is used)</w:t>
            </w:r>
          </w:p>
        </w:tc>
      </w:tr>
      <w:tr>
        <w:tc>
          <w:tcPr>
            <w:tcW w:type="dxa" w:w="32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000000"/>
                <w:sz w:val="20"/>
                <w:szCs w:val="20"/>
              </w:rPr>
              <w:t xml:space="preserve">src/utils/exportUtils.js</w:t>
            </w:r>
          </w:p>
        </w:tc>
        <w:tc>
          <w:tcPr>
            <w:tcW w:type="dxa" w:w="616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000000"/>
                <w:sz w:val="20"/>
                <w:szCs w:val="20"/>
              </w:rPr>
              <w:t xml:space="preserve">XLSX and CSV export with dynamic column layout</w:t>
            </w:r>
          </w:p>
        </w:tc>
      </w:tr>
      <w:tr>
        <w:tc>
          <w:tcPr>
            <w:tcW w:type="dxa" w:w="3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src/utils/leaseDocGenerator.js</w:t>
            </w:r>
          </w:p>
        </w:tc>
        <w:tc>
          <w:tcPr>
            <w:tcW w:type="dxa" w:w="61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Word document (.docx) generation</w:t>
            </w:r>
          </w:p>
        </w:tc>
      </w:tr>
    </w:tbl>
    <w:p>
      <w:pPr>
        <w:spacing w:after="0" w:before="240"/>
      </w:pPr>
      <w:r>
        <w:t xml:space="preserve"/>
      </w:r>
    </w:p>
    <w:p>
      <w:pPr>
        <w:pBdr>
          <w:top w:val="single" w:color="2E75B6" w:sz="6" w:space="4"/>
        </w:pBdr>
        <w:spacing w:after="0" w:before="120"/>
        <w:jc w:val="center"/>
      </w:pPr>
      <w:r>
        <w:rPr>
          <w:rFonts w:ascii="Arial" w:cs="Arial" w:eastAsia="Arial" w:hAnsi="Arial"/>
          <w:i/>
          <w:iCs/>
          <w:color w:val="888888"/>
          <w:sz w:val="18"/>
          <w:szCs w:val="18"/>
        </w:rPr>
        <w:t xml:space="preserve">DEODATE Internal Documentation  |  Not for distribution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pPr>
    <w:r>
      <w:rPr>
        <w:rFonts w:ascii="Arial" w:cs="Arial" w:eastAsia="Arial" w:hAnsi="Arial"/>
        <w:color w:val="888888"/>
        <w:sz w:val="16"/>
        <w:szCs w:val="16"/>
      </w:rPr>
      <w:t xml:space="preserve">DEODATE Internal  |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360"/>
      </w:tabs>
    </w:pPr>
    <w:r>
      <w:rPr>
        <w:rFonts w:ascii="Arial" w:cs="Arial" w:eastAsia="Arial" w:hAnsi="Arial"/>
        <w:color w:val="888888"/>
        <w:sz w:val="18"/>
        <w:szCs w:val="18"/>
      </w:rPr>
      <w:t xml:space="preserve">DEODATE Lease Schedule Engine — Architecture Overview</w:t>
    </w:r>
    <w:r>
      <w:rPr>
        <w:rFonts w:ascii="Arial" w:cs="Arial" w:eastAsia="Arial" w:hAnsi="Arial"/>
        <w:i/>
        <w:iCs/>
        <w:color w:val="888888"/>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2026-03-31T23:36:37.020Z</dcterms:created>
  <dcterms:modified xsi:type="dcterms:W3CDTF">2026-03-31T23:36:37.021Z</dcterms:modified>
</cp:coreProperties>
</file>

<file path=docProps/custom.xml><?xml version="1.0" encoding="utf-8"?>
<Properties xmlns="http://schemas.openxmlformats.org/officeDocument/2006/custom-properties" xmlns:vt="http://schemas.openxmlformats.org/officeDocument/2006/docPropsVTypes"/>
</file>