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484" w:rsidRPr="00983BB2" w:rsidRDefault="00393484" w:rsidP="00393484">
      <w:pPr>
        <w:jc w:val="center"/>
        <w:rPr>
          <w:b/>
          <w:u w:val="single"/>
        </w:rPr>
      </w:pPr>
      <w:r w:rsidRPr="00983BB2">
        <w:rPr>
          <w:b/>
          <w:u w:val="single"/>
        </w:rPr>
        <w:t>PROTECCION DE DATOS PERSONALES</w:t>
      </w:r>
    </w:p>
    <w:p w:rsidR="00983BB2" w:rsidRDefault="00983BB2" w:rsidP="00393484">
      <w:pPr>
        <w:jc w:val="center"/>
        <w:rPr>
          <w:b/>
          <w:u w:val="single"/>
        </w:rPr>
      </w:pPr>
      <w:r w:rsidRPr="00983BB2">
        <w:rPr>
          <w:b/>
          <w:u w:val="single"/>
        </w:rPr>
        <w:t>ACCIONES POR PARTE DEL GOBIERNO DE LA REPUBLICA</w:t>
      </w:r>
    </w:p>
    <w:p w:rsidR="00983BB2" w:rsidRPr="00983BB2" w:rsidRDefault="00983BB2" w:rsidP="00393484">
      <w:pPr>
        <w:jc w:val="center"/>
        <w:rPr>
          <w:b/>
          <w:u w:val="single"/>
        </w:rPr>
      </w:pPr>
    </w:p>
    <w:p w:rsidR="008A1965" w:rsidRDefault="008A1965" w:rsidP="008A1965">
      <w:pPr>
        <w:jc w:val="both"/>
      </w:pPr>
      <w:r>
        <w:t xml:space="preserve">El INSTITUTO DE ACCESO A LA INFORMACION PÚBLICA (IAIP), con al apoyo de la Agencia   </w:t>
      </w:r>
      <w:r w:rsidR="009C03EB">
        <w:t>española</w:t>
      </w:r>
      <w:r>
        <w:t xml:space="preserve">   de   Cooperación   Internacional para </w:t>
      </w:r>
      <w:r w:rsidR="00E42A06">
        <w:t>el Desarrollo</w:t>
      </w:r>
      <w:r>
        <w:t xml:space="preserve">    AECID   elaboro en el año </w:t>
      </w:r>
      <w:r w:rsidR="00E42A06">
        <w:t>2013 el</w:t>
      </w:r>
      <w:r>
        <w:t xml:space="preserve"> documento base para el Anteproyecto de Ley de Protección de</w:t>
      </w:r>
      <w:r w:rsidR="00E42A06">
        <w:t xml:space="preserve"> Datos </w:t>
      </w:r>
      <w:r>
        <w:t>en</w:t>
      </w:r>
      <w:r w:rsidR="00E42A06">
        <w:t xml:space="preserve"> </w:t>
      </w:r>
      <w:r>
        <w:t>el</w:t>
      </w:r>
      <w:r w:rsidR="00E42A06">
        <w:t xml:space="preserve"> </w:t>
      </w:r>
      <w:r w:rsidR="009C03EB">
        <w:t>marco del Proyecto</w:t>
      </w:r>
      <w:r>
        <w:t xml:space="preserve">   Procesos de   Participación   Ciudadana   </w:t>
      </w:r>
      <w:r w:rsidR="009C03EB">
        <w:t>en la Toma</w:t>
      </w:r>
      <w:r>
        <w:t xml:space="preserve">   </w:t>
      </w:r>
      <w:r w:rsidR="009C03EB">
        <w:t>de Decisiones y</w:t>
      </w:r>
      <w:r>
        <w:t xml:space="preserve">   Reformas   Legales   </w:t>
      </w:r>
      <w:r w:rsidR="009C03EB">
        <w:t>bajo consultoría</w:t>
      </w:r>
      <w:r>
        <w:t xml:space="preserve"> realizada por el abogado </w:t>
      </w:r>
      <w:r w:rsidR="009C03EB">
        <w:t>LESTER RAMIREZ</w:t>
      </w:r>
      <w:r>
        <w:t>. Con ese documento como base   el IAIP gestiono el financiamiento de la Unión</w:t>
      </w:r>
      <w:r w:rsidR="00E42A06">
        <w:t xml:space="preserve"> </w:t>
      </w:r>
      <w:r>
        <w:t xml:space="preserve">Europea y a través del Programa   EURO social para que revisara </w:t>
      </w:r>
      <w:r w:rsidR="00E42A06">
        <w:t>y armonizara el Anteproyecto elaborado</w:t>
      </w:r>
      <w:r>
        <w:t xml:space="preserve"> con la normativa internacional   a fin de que </w:t>
      </w:r>
      <w:r w:rsidR="00E42A06">
        <w:t>Honduras cuente</w:t>
      </w:r>
      <w:r>
        <w:t xml:space="preserve"> con una legislación actualizada</w:t>
      </w:r>
      <w:r w:rsidR="00E42A06">
        <w:t xml:space="preserve"> </w:t>
      </w:r>
      <w:r>
        <w:t xml:space="preserve">moderna y apegada a </w:t>
      </w:r>
      <w:r w:rsidR="00E42A06">
        <w:t>los estándares nacional e internacionales</w:t>
      </w:r>
      <w:r>
        <w:t xml:space="preserve"> en Protección de Datos Personales.</w:t>
      </w:r>
    </w:p>
    <w:p w:rsidR="008A1965" w:rsidRDefault="008A1965" w:rsidP="008A1965">
      <w:pPr>
        <w:jc w:val="both"/>
      </w:pPr>
      <w:r>
        <w:t>Para enmarcar la protección de datos personales en el país, el go</w:t>
      </w:r>
      <w:r w:rsidR="00983BB2">
        <w:t>bierno de la república ha dispuesto de</w:t>
      </w:r>
      <w:r>
        <w:t xml:space="preserve"> la “</w:t>
      </w:r>
      <w:r w:rsidRPr="008A1965">
        <w:t>LEY DE PROTECCIÓN DE DATOS PERSONALES</w:t>
      </w:r>
      <w:r w:rsidR="00983BB2">
        <w:t>, en la cual se crearon</w:t>
      </w:r>
      <w:r w:rsidR="00317389">
        <w:t xml:space="preserve"> 96 Artículos</w:t>
      </w:r>
      <w:r w:rsidR="00983BB2">
        <w:t xml:space="preserve"> de los cuales a la fecha han sido aprobados 26,</w:t>
      </w:r>
      <w:r w:rsidR="00317389">
        <w:t xml:space="preserve"> que añaden a temas como:</w:t>
      </w:r>
    </w:p>
    <w:p w:rsidR="00317389" w:rsidRDefault="00E42A06" w:rsidP="00317389">
      <w:pPr>
        <w:pStyle w:val="Prrafodelista"/>
        <w:numPr>
          <w:ilvl w:val="0"/>
          <w:numId w:val="2"/>
        </w:numPr>
        <w:jc w:val="both"/>
      </w:pPr>
      <w:r>
        <w:t xml:space="preserve">Principios básicos para la protección de datos personales </w:t>
      </w:r>
    </w:p>
    <w:p w:rsidR="00E42A06" w:rsidRDefault="00E42A06" w:rsidP="00317389">
      <w:pPr>
        <w:pStyle w:val="Prrafodelista"/>
        <w:numPr>
          <w:ilvl w:val="0"/>
          <w:numId w:val="2"/>
        </w:numPr>
        <w:jc w:val="both"/>
      </w:pPr>
      <w:r>
        <w:t xml:space="preserve">Derechos de titular de los datos </w:t>
      </w:r>
    </w:p>
    <w:p w:rsidR="00E42A06" w:rsidRDefault="00E42A06" w:rsidP="00317389">
      <w:pPr>
        <w:pStyle w:val="Prrafodelista"/>
        <w:numPr>
          <w:ilvl w:val="0"/>
          <w:numId w:val="2"/>
        </w:numPr>
        <w:jc w:val="both"/>
      </w:pPr>
      <w:r>
        <w:t>Procedimientos para hacer efectivos los derechos de acceso, rectificación, cancelación y oposición.</w:t>
      </w:r>
    </w:p>
    <w:p w:rsidR="00E42A06" w:rsidRDefault="00E42A06" w:rsidP="00317389">
      <w:pPr>
        <w:pStyle w:val="Prrafodelista"/>
        <w:numPr>
          <w:ilvl w:val="0"/>
          <w:numId w:val="2"/>
        </w:numPr>
        <w:jc w:val="both"/>
      </w:pPr>
      <w:r>
        <w:t xml:space="preserve">El tratamiento de datos por terceros </w:t>
      </w:r>
    </w:p>
    <w:p w:rsidR="00E42A06" w:rsidRDefault="00E42A06" w:rsidP="00317389">
      <w:pPr>
        <w:pStyle w:val="Prrafodelista"/>
        <w:numPr>
          <w:ilvl w:val="0"/>
          <w:numId w:val="2"/>
        </w:numPr>
        <w:jc w:val="both"/>
      </w:pPr>
      <w:r>
        <w:t xml:space="preserve">Categorías especiales de datos </w:t>
      </w:r>
    </w:p>
    <w:p w:rsidR="00E42A06" w:rsidRDefault="00E42A06" w:rsidP="00317389">
      <w:pPr>
        <w:pStyle w:val="Prrafodelista"/>
        <w:numPr>
          <w:ilvl w:val="0"/>
          <w:numId w:val="2"/>
        </w:numPr>
        <w:jc w:val="both"/>
      </w:pPr>
      <w:r>
        <w:t xml:space="preserve">Procedimiento de imposición de sanciones </w:t>
      </w:r>
    </w:p>
    <w:p w:rsidR="009C03EB" w:rsidRDefault="009C03EB" w:rsidP="00E42A06">
      <w:pPr>
        <w:pStyle w:val="Prrafodelista"/>
        <w:jc w:val="both"/>
      </w:pPr>
    </w:p>
    <w:p w:rsidR="009C03EB" w:rsidRDefault="009C03EB" w:rsidP="00B465CA">
      <w:pPr>
        <w:jc w:val="both"/>
      </w:pPr>
      <w:r>
        <w:t>Por su parte, Tomás Zambrano, secretario del Congreso Nacional, señala que “Con esta ley, los hondureños podrán decidir quién, para qué, cómo, cuándo y dónde una persona natural o jurídica, pública o privada, podrá hacer uso de su información personal”.</w:t>
      </w:r>
    </w:p>
    <w:p w:rsidR="009C03EB" w:rsidRDefault="009C03EB" w:rsidP="00B465CA">
      <w:pPr>
        <w:jc w:val="both"/>
      </w:pPr>
      <w:r>
        <w:t>Agrega: “Ante los avances sociales, económicos y tecnológicos globalizadores, es imperante que el Estado de Honduras establezca unos niveles de protección adecuados de información personal registrada en bases de datos para garantizar el derecho al honor, a la intimidad personal, familiar y a la propia imagen”.</w:t>
      </w:r>
    </w:p>
    <w:p w:rsidR="009C03EB" w:rsidRDefault="009C03EB" w:rsidP="009C03EB">
      <w:pPr>
        <w:jc w:val="both"/>
      </w:pPr>
      <w:r>
        <w:t>La ley establece un principio de lealtad y legalidad, por lo que los datos personales no podrán ser recolectados ni elaborados con procedimientos desleales o ilícitos.</w:t>
      </w:r>
    </w:p>
    <w:p w:rsidR="009C03EB" w:rsidRDefault="009C03EB" w:rsidP="009C03EB">
      <w:pPr>
        <w:jc w:val="both"/>
      </w:pPr>
      <w:r>
        <w:t>Además, los datos personales deberán ser almacenados de modo que permitan al titular de los mismos su acceso o conocimiento, y no como ocurre en la actualidad, que no se sabe a qué archivo son destinados.</w:t>
      </w:r>
    </w:p>
    <w:p w:rsidR="00983BB2" w:rsidRDefault="00983BB2" w:rsidP="009C03EB">
      <w:pPr>
        <w:jc w:val="both"/>
      </w:pPr>
    </w:p>
    <w:p w:rsidR="00983BB2" w:rsidRDefault="00983BB2" w:rsidP="009C03EB">
      <w:pPr>
        <w:jc w:val="both"/>
      </w:pPr>
    </w:p>
    <w:p w:rsidR="000E4B5F" w:rsidRDefault="000E4B5F" w:rsidP="000E4B5F">
      <w:pPr>
        <w:jc w:val="both"/>
      </w:pPr>
      <w:r>
        <w:lastRenderedPageBreak/>
        <w:t xml:space="preserve">De conformidad con la nueva ley, los datos personales son los relativos al origen étnico o racial, características físicas, morales o emocionales, domicilio particular, número telefónico particular, dirección electrónica particular, participación, afiliación a una organización política, ideología política, creencias religiosas o filosóficas, estados de salud físicos o </w:t>
      </w:r>
      <w:r w:rsidR="00E632A9">
        <w:t>mentales. También</w:t>
      </w:r>
      <w:r>
        <w:t>, el patrimonio personal o familiar y cualquier otro relativo al honor, la intimidad personal, familiar o la propia imagen y cualquier información numérica, acústica, alfabética, biométrica, gráfica, fotográfica, de imagen o de otro tipo concerniente a una persona natural identificada o identificable.</w:t>
      </w:r>
    </w:p>
    <w:p w:rsidR="009C03EB" w:rsidRDefault="000E4B5F" w:rsidP="000E4B5F">
      <w:pPr>
        <w:jc w:val="both"/>
      </w:pPr>
      <w:r>
        <w:t>La persona que quiera hacer uso de estos datos debe solicitarlos a la persona a través del aviso de privacidad, tipifica la nueva Ley de Protección de Datos. Además, dentro de la ley se contempla que cualquier ciudadano debe ser informado que será ingresado a la Central de Riesgo, al no poder cumplir con alguna deuda crediticia y deberá salir de inmediato de la misma al momento de saldar la mora.</w:t>
      </w:r>
    </w:p>
    <w:p w:rsidR="00C53DD4" w:rsidRPr="00C53DD4" w:rsidRDefault="00C53DD4" w:rsidP="00C53DD4">
      <w:pPr>
        <w:jc w:val="both"/>
        <w:rPr>
          <w:b/>
          <w:lang w:val="es-ES"/>
        </w:rPr>
      </w:pPr>
      <w:r>
        <w:rPr>
          <w:b/>
        </w:rPr>
        <w:t>E</w:t>
      </w:r>
      <w:proofErr w:type="spellStart"/>
      <w:r w:rsidRPr="00C53DD4">
        <w:rPr>
          <w:b/>
          <w:lang w:val="es-ES"/>
        </w:rPr>
        <w:t>ntre</w:t>
      </w:r>
      <w:proofErr w:type="spellEnd"/>
      <w:r w:rsidRPr="00C53DD4">
        <w:rPr>
          <w:b/>
          <w:lang w:val="es-ES"/>
        </w:rPr>
        <w:t xml:space="preserve"> otras de las disposiciones a destacar de la Ley de Protección de Datos, están:</w:t>
      </w:r>
    </w:p>
    <w:p w:rsidR="00C53DD4" w:rsidRPr="00C53DD4" w:rsidRDefault="00C53DD4" w:rsidP="00C53DD4">
      <w:pPr>
        <w:jc w:val="both"/>
        <w:rPr>
          <w:lang w:val="es-ES"/>
        </w:rPr>
      </w:pPr>
      <w:r>
        <w:rPr>
          <w:lang w:val="es-ES"/>
        </w:rPr>
        <w:t xml:space="preserve">1. </w:t>
      </w:r>
      <w:r w:rsidRPr="00C53DD4">
        <w:rPr>
          <w:lang w:val="es-ES"/>
        </w:rPr>
        <w:t>Los datos personales deberán ser almacenados de modo que permitan al titular (ciudadano) su acceso o conocimiento.</w:t>
      </w:r>
    </w:p>
    <w:p w:rsidR="00C53DD4" w:rsidRPr="00C53DD4" w:rsidRDefault="00C53DD4" w:rsidP="00C53DD4">
      <w:pPr>
        <w:jc w:val="both"/>
        <w:rPr>
          <w:lang w:val="es-ES"/>
        </w:rPr>
      </w:pPr>
      <w:r>
        <w:rPr>
          <w:lang w:val="es-ES"/>
        </w:rPr>
        <w:t xml:space="preserve">2. </w:t>
      </w:r>
      <w:r w:rsidRPr="00C53DD4">
        <w:rPr>
          <w:lang w:val="es-ES"/>
        </w:rPr>
        <w:t>No deberán registrarse datos personales que puedan originar discriminación, en particular información que revelen el origen racial o étnico, la orientación política, las convicciones religiosas o filosóficas, así como los relativos a la salud y a la vida sexual</w:t>
      </w:r>
    </w:p>
    <w:p w:rsidR="00C53DD4" w:rsidRPr="00C53DD4" w:rsidRDefault="00C53DD4" w:rsidP="00C53DD4">
      <w:pPr>
        <w:jc w:val="both"/>
        <w:rPr>
          <w:lang w:val="es-ES"/>
        </w:rPr>
      </w:pPr>
      <w:r>
        <w:rPr>
          <w:lang w:val="es-ES"/>
        </w:rPr>
        <w:t>3.</w:t>
      </w:r>
      <w:r w:rsidRPr="00C53DD4">
        <w:rPr>
          <w:lang w:val="es-ES"/>
        </w:rPr>
        <w:t>Solo se deberá recolectar los datos personales que resulten adecuados, relevantes y estrictamente necesarios para la finalidad que justifica su tratamiento.</w:t>
      </w:r>
    </w:p>
    <w:p w:rsidR="00C53DD4" w:rsidRPr="00C53DD4" w:rsidRDefault="00C53DD4" w:rsidP="00C53DD4">
      <w:pPr>
        <w:jc w:val="both"/>
        <w:rPr>
          <w:lang w:val="es-ES"/>
        </w:rPr>
      </w:pPr>
      <w:r>
        <w:rPr>
          <w:lang w:val="es-ES"/>
        </w:rPr>
        <w:t xml:space="preserve">4. </w:t>
      </w:r>
      <w:r w:rsidRPr="00C53DD4">
        <w:rPr>
          <w:lang w:val="es-ES"/>
        </w:rPr>
        <w:t>Es el deber, de quien maneje los datos personales, de no mostrar, compartir, revelar o transmitir la base de datos a personas naturales o jurídicas que carezcan de la previa autorización por parte del ciudadano.</w:t>
      </w:r>
    </w:p>
    <w:p w:rsidR="00C53DD4" w:rsidRPr="00C53DD4" w:rsidRDefault="00C53DD4" w:rsidP="00C53DD4">
      <w:pPr>
        <w:jc w:val="both"/>
        <w:rPr>
          <w:lang w:val="es-ES"/>
        </w:rPr>
      </w:pPr>
      <w:r>
        <w:rPr>
          <w:lang w:val="es-ES"/>
        </w:rPr>
        <w:t xml:space="preserve">5. </w:t>
      </w:r>
      <w:r w:rsidRPr="00C53DD4">
        <w:rPr>
          <w:lang w:val="es-ES"/>
        </w:rPr>
        <w:t>El ciudadano deberá conocer de manera expresa, previa, inequívoca y de forma que le sea comprensible, los fines para los cuales se recolecta dicha información.</w:t>
      </w:r>
    </w:p>
    <w:p w:rsidR="00C53DD4" w:rsidRPr="00C53DD4" w:rsidRDefault="00C53DD4" w:rsidP="00C53DD4">
      <w:pPr>
        <w:jc w:val="both"/>
        <w:rPr>
          <w:lang w:val="es-ES"/>
        </w:rPr>
      </w:pPr>
      <w:r>
        <w:rPr>
          <w:lang w:val="es-ES"/>
        </w:rPr>
        <w:t>6.</w:t>
      </w:r>
      <w:r w:rsidRPr="00C53DD4">
        <w:rPr>
          <w:lang w:val="es-ES"/>
        </w:rPr>
        <w:t>En ningún caso podrán recabarse de un menor a 16 años, datos que permitan obtener información sobre los miembros de su familia, como los datos relativos a la actividad profesional de los progenitores, información económica, datos sociológicos o cualesquiera otros, sin el consentimiento de los titulares de tales datos.</w:t>
      </w:r>
    </w:p>
    <w:p w:rsidR="00C53DD4" w:rsidRPr="00C53DD4" w:rsidRDefault="00C53DD4" w:rsidP="00C53DD4">
      <w:pPr>
        <w:jc w:val="both"/>
        <w:rPr>
          <w:lang w:val="es-ES"/>
        </w:rPr>
      </w:pPr>
      <w:r>
        <w:rPr>
          <w:lang w:val="es-ES"/>
        </w:rPr>
        <w:t>7.</w:t>
      </w:r>
      <w:r w:rsidRPr="00C53DD4">
        <w:rPr>
          <w:lang w:val="es-ES"/>
        </w:rPr>
        <w:t>Los datos personales una vez que dejen de ser necesarios para la finalidad o finalidades para los que se recolectaron, deberán ser cancelados.</w:t>
      </w:r>
    </w:p>
    <w:p w:rsidR="00C53DD4" w:rsidRPr="00C53DD4" w:rsidRDefault="00C53DD4" w:rsidP="00C53DD4">
      <w:pPr>
        <w:jc w:val="both"/>
        <w:rPr>
          <w:lang w:val="es-ES"/>
        </w:rPr>
      </w:pPr>
      <w:r>
        <w:rPr>
          <w:lang w:val="es-ES"/>
        </w:rPr>
        <w:t>8.</w:t>
      </w:r>
      <w:r w:rsidRPr="00C53DD4">
        <w:rPr>
          <w:lang w:val="es-ES"/>
        </w:rPr>
        <w:t xml:space="preserve"> El ciudadano podrá cancelar el uso de sus datos con anticipación si:</w:t>
      </w:r>
    </w:p>
    <w:p w:rsidR="00C53DD4" w:rsidRPr="00C53DD4" w:rsidRDefault="00C53DD4" w:rsidP="00C53DD4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C53DD4">
        <w:rPr>
          <w:lang w:val="es-ES"/>
        </w:rPr>
        <w:t>Se dé un tratamiento a los datos personales en contravención a lo dispuesto por la Ley;</w:t>
      </w:r>
    </w:p>
    <w:p w:rsidR="00C53DD4" w:rsidRDefault="00C53DD4" w:rsidP="00C53DD4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C53DD4">
        <w:rPr>
          <w:lang w:val="es-ES"/>
        </w:rPr>
        <w:t>Los datos personales hayan dejado de ser necesarios para el</w:t>
      </w:r>
      <w:r>
        <w:rPr>
          <w:lang w:val="es-ES"/>
        </w:rPr>
        <w:t xml:space="preserve"> cumplimiento de la finalidad o</w:t>
      </w:r>
      <w:r w:rsidRPr="00C53DD4">
        <w:rPr>
          <w:lang w:val="es-ES"/>
        </w:rPr>
        <w:t xml:space="preserve"> finalidades de la base de datos previstas en el aviso de privacidad.</w:t>
      </w:r>
    </w:p>
    <w:p w:rsidR="00C53DD4" w:rsidRDefault="00C53DD4" w:rsidP="00C53DD4">
      <w:pPr>
        <w:jc w:val="both"/>
        <w:rPr>
          <w:lang w:val="es-ES"/>
        </w:rPr>
      </w:pPr>
    </w:p>
    <w:p w:rsidR="00C53DD4" w:rsidRPr="00C53DD4" w:rsidRDefault="00C53DD4" w:rsidP="00C53DD4">
      <w:pPr>
        <w:jc w:val="both"/>
        <w:rPr>
          <w:lang w:val="es-ES"/>
        </w:rPr>
      </w:pPr>
    </w:p>
    <w:p w:rsidR="00C53DD4" w:rsidRPr="00C53DD4" w:rsidRDefault="00C53DD4" w:rsidP="00C53DD4">
      <w:pPr>
        <w:jc w:val="both"/>
        <w:rPr>
          <w:lang w:val="es-ES"/>
        </w:rPr>
      </w:pPr>
      <w:r>
        <w:rPr>
          <w:lang w:val="es-ES"/>
        </w:rPr>
        <w:lastRenderedPageBreak/>
        <w:t>9.</w:t>
      </w:r>
      <w:r w:rsidRPr="00C53DD4">
        <w:rPr>
          <w:lang w:val="es-ES"/>
        </w:rPr>
        <w:t xml:space="preserve"> Previo a la inscripción de un ciudadano en cualquier Base de Datos de solvencia patrimonial y crédito, debido a incumplimiento de obligaciones monetarias se deberá de:</w:t>
      </w:r>
    </w:p>
    <w:p w:rsidR="00C53DD4" w:rsidRPr="00C53DD4" w:rsidRDefault="00C53DD4" w:rsidP="00C53DD4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C53DD4">
        <w:rPr>
          <w:lang w:val="es-ES"/>
        </w:rPr>
        <w:t>Notificar al presunto deudor o deudores la inscripción de sus datos de carácter personal a consecuencia de su deuda.</w:t>
      </w:r>
    </w:p>
    <w:p w:rsidR="00C53DD4" w:rsidRPr="00C53DD4" w:rsidRDefault="00C53DD4" w:rsidP="00C53DD4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C53DD4">
        <w:rPr>
          <w:lang w:val="es-ES"/>
        </w:rPr>
        <w:t>Se le dará un plazo de treinta (30) días para que el deudor pague la deuda, de lo contrario se podrá proceder sin más trámites a la inscripción en la base de datos.</w:t>
      </w:r>
    </w:p>
    <w:p w:rsidR="00C53DD4" w:rsidRPr="00C53DD4" w:rsidRDefault="00C53DD4" w:rsidP="00C53DD4">
      <w:pPr>
        <w:jc w:val="both"/>
        <w:rPr>
          <w:lang w:val="es-ES"/>
        </w:rPr>
      </w:pPr>
      <w:r>
        <w:rPr>
          <w:lang w:val="es-ES"/>
        </w:rPr>
        <w:t>10.</w:t>
      </w:r>
      <w:r w:rsidRPr="00C53DD4">
        <w:rPr>
          <w:lang w:val="es-ES"/>
        </w:rPr>
        <w:t xml:space="preserve"> Se cancelarán de manera inmediata los datos personales del deudor o deudores inscritos en la central de riesgo, una vez que las mismas hayan sido cumplidas.</w:t>
      </w:r>
    </w:p>
    <w:p w:rsidR="00C53DD4" w:rsidRPr="00C53DD4" w:rsidRDefault="00C53DD4" w:rsidP="00C53DD4">
      <w:pPr>
        <w:jc w:val="both"/>
        <w:rPr>
          <w:lang w:val="es-ES"/>
        </w:rPr>
      </w:pPr>
      <w:r>
        <w:rPr>
          <w:lang w:val="es-ES"/>
        </w:rPr>
        <w:t xml:space="preserve">11. </w:t>
      </w:r>
      <w:r w:rsidRPr="00C53DD4">
        <w:rPr>
          <w:lang w:val="es-ES"/>
        </w:rPr>
        <w:t>En ningún caso la inscripción de los datos personales, en la central de riesgo, podrá permanecer más del plazo de dos (2) años.</w:t>
      </w:r>
    </w:p>
    <w:p w:rsidR="00C53DD4" w:rsidRPr="00C53DD4" w:rsidRDefault="00C53DD4" w:rsidP="00C53DD4">
      <w:pPr>
        <w:jc w:val="both"/>
        <w:rPr>
          <w:lang w:val="es-ES"/>
        </w:rPr>
      </w:pPr>
      <w:r>
        <w:rPr>
          <w:lang w:val="es-ES"/>
        </w:rPr>
        <w:t xml:space="preserve">12. </w:t>
      </w:r>
      <w:r w:rsidRPr="00C53DD4">
        <w:rPr>
          <w:lang w:val="es-ES"/>
        </w:rPr>
        <w:t>Las infracciones a esta la Ley se clasifican en: Faltas Leves, Graves y Muy Graves y tendrán una multa para quienes no la cumplan que va de un (1) salario mínimo, hasta cincuenta (50) salarios mínimos.</w:t>
      </w:r>
    </w:p>
    <w:p w:rsidR="000E4B5F" w:rsidRPr="00C53DD4" w:rsidRDefault="000E4B5F" w:rsidP="000E4B5F">
      <w:pPr>
        <w:jc w:val="both"/>
        <w:rPr>
          <w:lang w:val="es-ES"/>
        </w:rPr>
      </w:pPr>
    </w:p>
    <w:p w:rsidR="009C03EB" w:rsidRDefault="00C53DD4" w:rsidP="009C03EB">
      <w:pPr>
        <w:jc w:val="both"/>
      </w:pPr>
      <w:r>
        <w:t>“</w:t>
      </w:r>
      <w:r w:rsidR="009C03EB" w:rsidRPr="009C03EB">
        <w:t>En Honduras se está legislando en la misma dirección para que cada persona decidirá qué tipo de información puede ser manejada por in</w:t>
      </w:r>
      <w:r w:rsidR="009C03EB">
        <w:t>stituciones públicas y privadas</w:t>
      </w:r>
      <w:r>
        <w:t>”</w:t>
      </w:r>
      <w:bookmarkStart w:id="0" w:name="_GoBack"/>
      <w:bookmarkEnd w:id="0"/>
    </w:p>
    <w:sectPr w:rsidR="009C03EB" w:rsidSect="009C03E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53037"/>
    <w:multiLevelType w:val="hybridMultilevel"/>
    <w:tmpl w:val="BCEC615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3D65"/>
    <w:multiLevelType w:val="hybridMultilevel"/>
    <w:tmpl w:val="BA2CB920"/>
    <w:lvl w:ilvl="0" w:tplc="0C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7BF071DB"/>
    <w:multiLevelType w:val="hybridMultilevel"/>
    <w:tmpl w:val="40F43E86"/>
    <w:lvl w:ilvl="0" w:tplc="0C0A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7F424F4A"/>
    <w:multiLevelType w:val="hybridMultilevel"/>
    <w:tmpl w:val="09568AA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65"/>
    <w:rsid w:val="000E4B5F"/>
    <w:rsid w:val="00317389"/>
    <w:rsid w:val="00393484"/>
    <w:rsid w:val="003B07EF"/>
    <w:rsid w:val="00633D9B"/>
    <w:rsid w:val="008A1965"/>
    <w:rsid w:val="00983BB2"/>
    <w:rsid w:val="009C03EB"/>
    <w:rsid w:val="00B465CA"/>
    <w:rsid w:val="00C53DD4"/>
    <w:rsid w:val="00E42A06"/>
    <w:rsid w:val="00E6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2221"/>
  <w15:chartTrackingRefBased/>
  <w15:docId w15:val="{F0AD3636-CA7C-45C6-9B57-2810AABE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982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Baca</dc:creator>
  <cp:keywords/>
  <dc:description/>
  <cp:lastModifiedBy>BACA</cp:lastModifiedBy>
  <cp:revision>3</cp:revision>
  <dcterms:created xsi:type="dcterms:W3CDTF">2019-08-24T02:48:00Z</dcterms:created>
  <dcterms:modified xsi:type="dcterms:W3CDTF">2019-08-24T02:58:00Z</dcterms:modified>
</cp:coreProperties>
</file>