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Aigc For Study 架构设计文档提示词</w:t>
      </w:r>
    </w:p>
    <w:p>
      <w:pPr>
        <w:spacing w:before="120" w:after="120" w:line="288" w:lineRule="auto"/>
        <w:ind w:left="0"/>
        <w:jc w:val="left"/>
      </w:pPr>
      <w:r>
        <w:rPr>
          <w:rFonts w:eastAsia="等线" w:ascii="Arial" w:cs="Arial" w:hAnsi="Arial"/>
          <w:b w:val="true"/>
          <w:sz w:val="22"/>
        </w:rPr>
        <w:t>架构设计辅助驾驶员：技术方案提示词</w:t>
      </w:r>
      <w:r>
        <w:rPr>
          <w:rFonts w:eastAsia="等线" w:ascii="Arial" w:cs="Arial" w:hAnsi="Arial"/>
          <w:sz w:val="22"/>
        </w:rPr>
        <w:br/>
        <w:t>Prompt 角色设定：</w:t>
        <w:br/>
      </w:r>
      <w:r>
        <w:rPr>
          <w:rFonts w:eastAsia="等线" w:ascii="Arial" w:cs="Arial" w:hAnsi="Arial"/>
          <w:sz w:val="22"/>
        </w:rPr>
        <w:t>你现在是我的 Principal Solutions Architect (L8+)。你深谙分布式系统、云原生架构（Kubernetes/Serverless）以及 DevSecOps 最佳实践。请基于我的产品想法，按照以下逻辑架构生成一份深度技术设计文档。</w:t>
      </w:r>
    </w:p>
    <w:p>
      <w:pPr>
        <w:spacing w:before="120" w:after="120" w:line="288" w:lineRule="auto"/>
        <w:ind w:left="0"/>
        <w:jc w:val="left"/>
      </w:pPr>
      <w:r>
        <w:rPr>
          <w:rFonts w:eastAsia="等线" w:ascii="Arial" w:cs="Arial" w:hAnsi="Arial"/>
          <w:b w:val="true"/>
          <w:sz w:val="22"/>
        </w:rPr>
        <w:t xml:space="preserve"> 视觉与格式规范</w:t>
      </w:r>
    </w:p>
    <w:p>
      <w:pPr>
        <w:numPr>
          <w:numId w:val="1"/>
        </w:numPr>
        <w:spacing w:before="120" w:after="120" w:line="288" w:lineRule="auto"/>
        <w:ind w:left="0"/>
        <w:jc w:val="left"/>
      </w:pPr>
      <w:r>
        <w:rPr>
          <w:rFonts w:eastAsia="等线" w:ascii="Arial" w:cs="Arial" w:hAnsi="Arial"/>
          <w:b w:val="true"/>
          <w:sz w:val="22"/>
        </w:rPr>
        <w:t>色调：</w:t>
      </w:r>
      <w:r>
        <w:rPr>
          <w:rFonts w:eastAsia="等线" w:ascii="Arial" w:cs="Arial" w:hAnsi="Arial"/>
          <w:sz w:val="22"/>
        </w:rPr>
        <w:t xml:space="preserve"> 保持</w:t>
      </w:r>
      <w:r>
        <w:rPr>
          <w:rFonts w:eastAsia="等线" w:ascii="Arial" w:cs="Arial" w:hAnsi="Arial"/>
          <w:b w:val="true"/>
          <w:sz w:val="22"/>
        </w:rPr>
        <w:t>黑白</w:t>
      </w:r>
      <w:r>
        <w:rPr>
          <w:rFonts w:eastAsia="等线" w:ascii="Arial" w:cs="Arial" w:hAnsi="Arial"/>
          <w:sz w:val="22"/>
        </w:rPr>
        <w:t>专业感。</w:t>
      </w:r>
    </w:p>
    <w:p>
      <w:pPr>
        <w:numPr>
          <w:numId w:val="2"/>
        </w:numPr>
        <w:spacing w:before="120" w:after="120" w:line="288" w:lineRule="auto"/>
        <w:ind w:left="0"/>
        <w:jc w:val="left"/>
      </w:pPr>
      <w:r>
        <w:rPr>
          <w:rFonts w:eastAsia="等线" w:ascii="Arial" w:cs="Arial" w:hAnsi="Arial"/>
          <w:b w:val="true"/>
          <w:sz w:val="22"/>
        </w:rPr>
        <w:t>重点：</w:t>
      </w:r>
      <w:r>
        <w:rPr>
          <w:rFonts w:eastAsia="等线" w:ascii="Arial" w:cs="Arial" w:hAnsi="Arial"/>
          <w:sz w:val="22"/>
        </w:rPr>
        <w:t xml:space="preserve"> 仅使用 </w:t>
      </w:r>
      <w:r>
        <w:rPr>
          <w:rFonts w:eastAsia="等线" w:ascii="Arial" w:cs="Arial" w:hAnsi="Arial"/>
          <w:b w:val="true"/>
          <w:sz w:val="22"/>
        </w:rPr>
        <w:t>红色</w:t>
      </w:r>
      <w:r>
        <w:rPr>
          <w:rFonts w:eastAsia="等线" w:ascii="Arial" w:cs="Arial" w:hAnsi="Arial"/>
          <w:sz w:val="22"/>
        </w:rPr>
        <w:t>（或加粗注红）标注：</w:t>
      </w:r>
      <w:r>
        <w:rPr>
          <w:rFonts w:eastAsia="等线" w:ascii="Arial" w:cs="Arial" w:hAnsi="Arial"/>
          <w:b w:val="true"/>
          <w:sz w:val="22"/>
        </w:rPr>
        <w:t>性能瓶颈、单点故障风险（SPOF）、核心安全策略</w:t>
      </w:r>
      <w:r>
        <w:rPr>
          <w:rFonts w:eastAsia="等线" w:ascii="Arial" w:cs="Arial" w:hAnsi="Arial"/>
          <w:sz w:val="22"/>
        </w:rPr>
        <w:t>。</w:t>
      </w:r>
    </w:p>
    <w:p>
      <w:pPr>
        <w:numPr>
          <w:numId w:val="3"/>
        </w:numPr>
        <w:spacing w:before="120" w:after="120" w:line="288" w:lineRule="auto"/>
        <w:ind w:left="0"/>
        <w:jc w:val="left"/>
      </w:pPr>
      <w:r>
        <w:rPr>
          <w:rFonts w:eastAsia="等线" w:ascii="Arial" w:cs="Arial" w:hAnsi="Arial"/>
          <w:b w:val="true"/>
          <w:sz w:val="22"/>
        </w:rPr>
        <w:t>封面：</w:t>
      </w:r>
      <w:r>
        <w:rPr>
          <w:rFonts w:eastAsia="等线" w:ascii="Arial" w:cs="Arial" w:hAnsi="Arial"/>
          <w:sz w:val="22"/>
        </w:rPr>
        <w:t xml:space="preserve"> &gt; </w:t>
      </w:r>
      <w:r>
        <w:rPr>
          <w:rFonts w:eastAsia="等线" w:ascii="Arial" w:cs="Arial" w:hAnsi="Arial"/>
          <w:b w:val="true"/>
          <w:sz w:val="22"/>
        </w:rPr>
        <w:t>[系统名称] 架构设计说明书</w:t>
      </w:r>
      <w:r>
        <w:rPr>
          <w:rFonts w:eastAsia="等线" w:ascii="Arial" w:cs="Arial" w:hAnsi="Arial"/>
          <w:sz w:val="22"/>
        </w:rPr>
        <w:br/>
      </w:r>
      <w:r>
        <w:rPr>
          <w:rFonts w:eastAsia="等线" w:ascii="Arial" w:cs="Arial" w:hAnsi="Arial"/>
          <w:b w:val="true"/>
          <w:sz w:val="22"/>
        </w:rPr>
        <w:t>Status:</w:t>
      </w:r>
      <w:r>
        <w:rPr>
          <w:rFonts w:eastAsia="等线" w:ascii="Arial" w:cs="Arial" w:hAnsi="Arial"/>
          <w:sz w:val="22"/>
        </w:rPr>
        <w:t xml:space="preserve"> [Draft / Under Review]</w:t>
        <w:br/>
      </w:r>
      <w:r>
        <w:rPr>
          <w:rFonts w:eastAsia="等线" w:ascii="Arial" w:cs="Arial" w:hAnsi="Arial"/>
          <w:b w:val="true"/>
          <w:sz w:val="22"/>
        </w:rPr>
        <w:t>Architect:</w:t>
      </w:r>
      <w:r>
        <w:rPr>
          <w:rFonts w:eastAsia="等线" w:ascii="Arial" w:cs="Arial" w:hAnsi="Arial"/>
          <w:sz w:val="22"/>
        </w:rPr>
        <w:t xml:space="preserve"> [Your Name / Gemini]</w:t>
        <w:br/>
      </w:r>
      <w:r>
        <w:rPr>
          <w:rFonts w:eastAsia="等线" w:ascii="Arial" w:cs="Arial" w:hAnsi="Arial"/>
          <w:b w:val="true"/>
          <w:sz w:val="22"/>
        </w:rPr>
        <w:t>Stack:</w:t>
      </w:r>
      <w:r>
        <w:rPr>
          <w:rFonts w:eastAsia="等线" w:ascii="Arial" w:cs="Arial" w:hAnsi="Arial"/>
          <w:sz w:val="22"/>
        </w:rPr>
        <w:t xml:space="preserve"> [列出核心技术栈，如：Go/K8s/Terraform]</w:t>
      </w:r>
    </w:p>
    <w:p>
      <w:pPr>
        <w:numPr>
          <w:numId w:val="4"/>
        </w:numPr>
        <w:spacing w:before="120" w:after="120" w:line="288" w:lineRule="auto"/>
        <w:ind w:left="453"/>
        <w:jc w:val="left"/>
      </w:pPr>
      <w:r>
        <w:rPr>
          <w:rFonts w:eastAsia="等线" w:ascii="Arial" w:cs="Arial" w:hAnsi="Arial"/>
          <w:sz w:val="22"/>
        </w:rPr>
        <w:t>Python FastAPI</w:t>
      </w:r>
    </w:p>
    <w:p>
      <w:pPr>
        <w:numPr>
          <w:numId w:val="5"/>
        </w:numPr>
        <w:spacing w:before="120" w:after="120" w:line="288" w:lineRule="auto"/>
        <w:ind w:left="453"/>
        <w:jc w:val="left"/>
      </w:pPr>
      <w:r>
        <w:rPr>
          <w:rFonts w:eastAsia="等线" w:ascii="Arial" w:cs="Arial" w:hAnsi="Arial"/>
          <w:sz w:val="22"/>
        </w:rPr>
        <w:t>Vue</w:t>
      </w:r>
    </w:p>
    <w:p>
      <w:pPr>
        <w:numPr>
          <w:numId w:val="6"/>
        </w:numPr>
        <w:spacing w:before="120" w:after="120" w:line="288" w:lineRule="auto"/>
        <w:ind w:left="453"/>
        <w:jc w:val="left"/>
      </w:pPr>
      <w:r>
        <w:rPr>
          <w:rFonts w:eastAsia="等线" w:ascii="Arial" w:cs="Arial" w:hAnsi="Arial"/>
          <w:sz w:val="22"/>
        </w:rPr>
        <w:t>K8S（只有两台服务器，一台主生产服务器，一台测试服务器，主生产服务器不可用时临时调用测试服务器作为主力生产服务器）</w:t>
      </w:r>
    </w:p>
    <w:p>
      <w:pPr>
        <w:spacing w:before="120" w:after="120" w:line="288" w:lineRule="auto"/>
        <w:ind w:left="0"/>
        <w:jc w:val="left"/>
      </w:pPr>
      <w:r>
        <w:rPr>
          <w:rFonts w:eastAsia="等线" w:ascii="Arial" w:cs="Arial" w:hAnsi="Arial"/>
          <w:b w:val="true"/>
          <w:sz w:val="22"/>
        </w:rPr>
        <w:t>架构设计 12 模块</w:t>
      </w:r>
      <w:r>
        <w:rPr>
          <w:rFonts w:eastAsia="等线" w:ascii="Arial" w:cs="Arial" w:hAnsi="Arial"/>
          <w:sz w:val="22"/>
        </w:rPr>
        <w:br/>
      </w:r>
      <w:r>
        <w:rPr>
          <w:rFonts w:eastAsia="等线" w:ascii="Arial" w:cs="Arial" w:hAnsi="Arial"/>
          <w:b w:val="true"/>
          <w:sz w:val="22"/>
        </w:rPr>
        <w:t>1. 设计哲学与原则</w:t>
      </w:r>
    </w:p>
    <w:p>
      <w:pPr>
        <w:numPr>
          <w:numId w:val="7"/>
        </w:numPr>
        <w:spacing w:before="120" w:after="120" w:line="288" w:lineRule="auto"/>
        <w:ind w:left="0"/>
        <w:jc w:val="left"/>
      </w:pPr>
      <w:r>
        <w:rPr>
          <w:rFonts w:eastAsia="等线" w:ascii="Arial" w:cs="Arial" w:hAnsi="Arial"/>
          <w:b w:val="true"/>
          <w:sz w:val="22"/>
        </w:rPr>
        <w:t>设计目标：</w:t>
      </w:r>
      <w:r>
        <w:rPr>
          <w:rFonts w:eastAsia="等线" w:ascii="Arial" w:cs="Arial" w:hAnsi="Arial"/>
          <w:sz w:val="22"/>
        </w:rPr>
        <w:t xml:space="preserve"> 高可用、强一致性还是最终一致性？</w:t>
      </w:r>
    </w:p>
    <w:p>
      <w:pPr>
        <w:numPr>
          <w:numId w:val="8"/>
        </w:numPr>
        <w:spacing w:before="120" w:after="120" w:line="288" w:lineRule="auto"/>
        <w:ind w:left="453"/>
        <w:jc w:val="left"/>
      </w:pPr>
      <w:r>
        <w:rPr>
          <w:rFonts w:eastAsia="等线" w:ascii="Arial" w:cs="Arial" w:hAnsi="Arial"/>
          <w:sz w:val="22"/>
        </w:rPr>
        <w:t>高可用</w:t>
      </w:r>
    </w:p>
    <w:p>
      <w:pPr>
        <w:numPr>
          <w:numId w:val="9"/>
        </w:numPr>
        <w:spacing w:before="120" w:after="120" w:line="288" w:lineRule="auto"/>
        <w:ind w:left="0"/>
        <w:jc w:val="left"/>
      </w:pPr>
      <w:r>
        <w:rPr>
          <w:rFonts w:eastAsia="等线" w:ascii="Arial" w:cs="Arial" w:hAnsi="Arial"/>
          <w:b w:val="true"/>
          <w:sz w:val="22"/>
        </w:rPr>
        <w:t>核心原则：</w:t>
      </w:r>
      <w:r>
        <w:rPr>
          <w:rFonts w:eastAsia="等线" w:ascii="Arial" w:cs="Arial" w:hAnsi="Arial"/>
          <w:sz w:val="22"/>
        </w:rPr>
        <w:t xml:space="preserve"> 比如“无状态设计”、“安全左移”或“演进式架构”。</w:t>
      </w:r>
    </w:p>
    <w:p>
      <w:pPr>
        <w:numPr>
          <w:numId w:val="10"/>
        </w:numPr>
        <w:spacing w:before="120" w:after="120" w:line="288" w:lineRule="auto"/>
        <w:ind w:left="453"/>
        <w:jc w:val="left"/>
      </w:pPr>
      <w:r>
        <w:rPr>
          <w:rFonts w:eastAsia="等线" w:ascii="Arial" w:cs="Arial" w:hAnsi="Arial"/>
          <w:sz w:val="22"/>
        </w:rPr>
        <w:t>演进式架构</w:t>
      </w:r>
    </w:p>
    <w:p>
      <w:pPr>
        <w:numPr>
          <w:numId w:val="11"/>
        </w:numPr>
        <w:spacing w:before="120" w:after="120" w:line="288" w:lineRule="auto"/>
        <w:ind w:left="453"/>
        <w:jc w:val="left"/>
      </w:pPr>
      <w:r>
        <w:rPr>
          <w:rFonts w:eastAsia="等线" w:ascii="Arial" w:cs="Arial" w:hAnsi="Arial"/>
          <w:sz w:val="22"/>
        </w:rPr>
        <w:t>角色职责分离（教师和学生）</w:t>
      </w:r>
    </w:p>
    <w:p>
      <w:pPr>
        <w:numPr>
          <w:numId w:val="12"/>
        </w:numPr>
        <w:spacing w:before="120" w:after="120" w:line="288" w:lineRule="auto"/>
        <w:ind w:left="453"/>
        <w:jc w:val="left"/>
      </w:pPr>
      <w:r>
        <w:rPr>
          <w:rFonts w:eastAsia="等线" w:ascii="Arial" w:cs="Arial" w:hAnsi="Arial"/>
          <w:sz w:val="22"/>
        </w:rPr>
        <w:t>针对不同角色（教师、学生设计不同功能）</w:t>
      </w:r>
    </w:p>
    <w:p>
      <w:pPr>
        <w:numPr>
          <w:numId w:val="13"/>
        </w:numPr>
        <w:spacing w:before="120" w:after="120" w:line="288" w:lineRule="auto"/>
        <w:ind w:left="0"/>
        <w:jc w:val="left"/>
      </w:pPr>
      <w:r>
        <w:rPr>
          <w:rFonts w:eastAsia="等线" w:ascii="Arial" w:cs="Arial" w:hAnsi="Arial"/>
          <w:b w:val="true"/>
          <w:sz w:val="22"/>
        </w:rPr>
        <w:t>技术选型 (Tech Stack)</w:t>
      </w:r>
    </w:p>
    <w:p>
      <w:pPr>
        <w:numPr>
          <w:numId w:val="14"/>
        </w:numPr>
        <w:spacing w:before="120" w:after="120" w:line="288" w:lineRule="auto"/>
        <w:ind w:left="0"/>
        <w:jc w:val="left"/>
      </w:pPr>
      <w:r>
        <w:rPr>
          <w:rFonts w:eastAsia="等线" w:ascii="Arial" w:cs="Arial" w:hAnsi="Arial"/>
          <w:b w:val="true"/>
          <w:sz w:val="22"/>
        </w:rPr>
        <w:t>选型对比表：</w:t>
      </w:r>
      <w:r>
        <w:rPr>
          <w:rFonts w:eastAsia="等线" w:ascii="Arial" w:cs="Arial" w:hAnsi="Arial"/>
          <w:sz w:val="22"/>
        </w:rPr>
        <w:t xml:space="preserve"> 对比 2-3 种方案，用红色标注最终选择理由（如：性能 vs 成本）。</w:t>
      </w:r>
    </w:p>
    <w:p>
      <w:pPr>
        <w:numPr>
          <w:numId w:val="15"/>
        </w:numPr>
        <w:spacing w:before="120" w:after="120" w:line="288" w:lineRule="auto"/>
        <w:ind w:left="0"/>
        <w:jc w:val="left"/>
      </w:pPr>
      <w:r>
        <w:rPr>
          <w:rFonts w:eastAsia="等线" w:ascii="Arial" w:cs="Arial" w:hAnsi="Arial"/>
          <w:b w:val="true"/>
          <w:sz w:val="22"/>
        </w:rPr>
        <w:t>语言与框架：</w:t>
      </w:r>
      <w:r>
        <w:rPr>
          <w:rFonts w:eastAsia="等线" w:ascii="Arial" w:cs="Arial" w:hAnsi="Arial"/>
          <w:sz w:val="22"/>
        </w:rPr>
        <w:t xml:space="preserve"> 为什么选择此技术栈？</w:t>
      </w:r>
    </w:p>
    <w:p>
      <w:pPr>
        <w:numPr>
          <w:numId w:val="16"/>
        </w:numPr>
        <w:spacing w:before="120" w:after="120" w:line="288" w:lineRule="auto"/>
        <w:ind w:left="0"/>
        <w:jc w:val="left"/>
      </w:pPr>
      <w:r>
        <w:rPr>
          <w:rFonts w:eastAsia="等线" w:ascii="Arial" w:cs="Arial" w:hAnsi="Arial"/>
          <w:b w:val="true"/>
          <w:sz w:val="22"/>
        </w:rPr>
        <w:t>逻辑架构 (Logical Architecture)</w:t>
      </w:r>
    </w:p>
    <w:p>
      <w:pPr>
        <w:numPr>
          <w:numId w:val="17"/>
        </w:numPr>
        <w:spacing w:before="120" w:after="120" w:line="288" w:lineRule="auto"/>
        <w:ind w:left="0"/>
        <w:jc w:val="left"/>
      </w:pPr>
      <w:r>
        <w:rPr>
          <w:rFonts w:eastAsia="等线" w:ascii="Arial" w:cs="Arial" w:hAnsi="Arial"/>
          <w:sz w:val="22"/>
        </w:rPr>
        <w:t xml:space="preserve">使用 Mermaid 绘制 </w:t>
      </w:r>
      <w:r>
        <w:rPr>
          <w:rFonts w:eastAsia="等线" w:ascii="Arial" w:cs="Arial" w:hAnsi="Arial"/>
          <w:b w:val="true"/>
          <w:sz w:val="22"/>
        </w:rPr>
        <w:t>多层架构图</w:t>
      </w:r>
      <w:r>
        <w:rPr>
          <w:rFonts w:eastAsia="等线" w:ascii="Arial" w:cs="Arial" w:hAnsi="Arial"/>
          <w:sz w:val="22"/>
        </w:rPr>
        <w:t>（接入层、业务层、中间件层、持久化层）。</w:t>
      </w:r>
    </w:p>
    <w:p>
      <w:pPr>
        <w:numPr>
          <w:numId w:val="18"/>
        </w:numPr>
        <w:spacing w:before="120" w:after="120" w:line="288" w:lineRule="auto"/>
        <w:ind w:left="453"/>
        <w:jc w:val="left"/>
      </w:pPr>
      <w:r>
        <w:rPr>
          <w:rFonts w:eastAsia="等线" w:ascii="Arial" w:cs="Arial" w:hAnsi="Arial"/>
          <w:sz w:val="22"/>
        </w:rPr>
        <w:t>需要注重数据流动方向</w:t>
      </w:r>
    </w:p>
    <w:p>
      <w:pPr>
        <w:numPr>
          <w:numId w:val="19"/>
        </w:numPr>
        <w:spacing w:before="120" w:after="120" w:line="288" w:lineRule="auto"/>
        <w:ind w:left="0"/>
        <w:jc w:val="left"/>
      </w:pPr>
      <w:r>
        <w:rPr>
          <w:rFonts w:eastAsia="等线" w:ascii="Arial" w:cs="Arial" w:hAnsi="Arial"/>
          <w:b w:val="true"/>
          <w:sz w:val="22"/>
        </w:rPr>
        <w:t>数据架构 (Data Architecture)</w:t>
      </w:r>
    </w:p>
    <w:p>
      <w:pPr>
        <w:numPr>
          <w:numId w:val="20"/>
        </w:numPr>
        <w:spacing w:before="120" w:after="120" w:line="288" w:lineRule="auto"/>
        <w:ind w:left="0"/>
        <w:jc w:val="left"/>
      </w:pPr>
      <w:r>
        <w:rPr>
          <w:rFonts w:eastAsia="等线" w:ascii="Arial" w:cs="Arial" w:hAnsi="Arial"/>
          <w:b w:val="true"/>
          <w:sz w:val="22"/>
        </w:rPr>
        <w:t>ER 建模：</w:t>
      </w:r>
      <w:r>
        <w:rPr>
          <w:rFonts w:eastAsia="等线" w:ascii="Arial" w:cs="Arial" w:hAnsi="Arial"/>
          <w:sz w:val="22"/>
        </w:rPr>
        <w:t xml:space="preserve"> 核心表结构设计。</w:t>
      </w:r>
    </w:p>
    <w:p>
      <w:pPr>
        <w:numPr>
          <w:numId w:val="21"/>
        </w:numPr>
        <w:spacing w:before="120" w:after="120" w:line="288" w:lineRule="auto"/>
        <w:ind w:left="0"/>
        <w:jc w:val="left"/>
      </w:pPr>
      <w:r>
        <w:rPr>
          <w:rFonts w:eastAsia="等线" w:ascii="Arial" w:cs="Arial" w:hAnsi="Arial"/>
          <w:b w:val="true"/>
          <w:sz w:val="22"/>
        </w:rPr>
        <w:t>存储策略：</w:t>
      </w:r>
      <w:r>
        <w:rPr>
          <w:rFonts w:eastAsia="等线" w:ascii="Arial" w:cs="Arial" w:hAnsi="Arial"/>
          <w:sz w:val="22"/>
        </w:rPr>
        <w:t xml:space="preserve"> RDBMS 还是 NoSQL？是否有冷热数据分离？</w:t>
      </w:r>
    </w:p>
    <w:p>
      <w:pPr>
        <w:numPr>
          <w:numId w:val="22"/>
        </w:numPr>
        <w:spacing w:before="120" w:after="120" w:line="288" w:lineRule="auto"/>
        <w:ind w:left="453"/>
        <w:jc w:val="left"/>
      </w:pPr>
      <w:r>
        <w:rPr>
          <w:rFonts w:eastAsia="等线" w:ascii="Arial" w:cs="Arial" w:hAnsi="Arial"/>
          <w:sz w:val="22"/>
        </w:rPr>
        <w:t>使用</w:t>
      </w:r>
      <w:r>
        <w:rPr>
          <w:rFonts w:eastAsia="等线" w:ascii="Arial" w:cs="Arial" w:hAnsi="Arial"/>
          <w:b w:val="true"/>
          <w:sz w:val="22"/>
        </w:rPr>
        <w:t>PostgreSQL</w:t>
      </w:r>
    </w:p>
    <w:p>
      <w:pPr>
        <w:numPr>
          <w:numId w:val="23"/>
        </w:numPr>
        <w:spacing w:before="120" w:after="120" w:line="288" w:lineRule="auto"/>
        <w:ind w:left="453"/>
        <w:jc w:val="left"/>
      </w:pPr>
      <w:r>
        <w:rPr>
          <w:rFonts w:eastAsia="等线" w:ascii="Arial" w:cs="Arial" w:hAnsi="Arial"/>
          <w:sz w:val="22"/>
        </w:rPr>
        <w:t>引入Redis</w:t>
      </w:r>
    </w:p>
    <w:p>
      <w:pPr>
        <w:numPr>
          <w:numId w:val="24"/>
        </w:numPr>
        <w:spacing w:before="120" w:after="120" w:line="288" w:lineRule="auto"/>
        <w:ind w:left="453"/>
        <w:jc w:val="left"/>
      </w:pPr>
      <w:r>
        <w:rPr>
          <w:rFonts w:eastAsia="等线" w:ascii="Arial" w:cs="Arial" w:hAnsi="Arial"/>
          <w:sz w:val="22"/>
        </w:rPr>
        <w:t>引入消息队列，达成高可用</w:t>
      </w:r>
    </w:p>
    <w:p>
      <w:pPr>
        <w:numPr>
          <w:numId w:val="25"/>
        </w:numPr>
        <w:spacing w:before="120" w:after="120" w:line="288" w:lineRule="auto"/>
        <w:ind w:left="0"/>
        <w:jc w:val="left"/>
      </w:pPr>
      <w:r>
        <w:rPr>
          <w:rFonts w:eastAsia="等线" w:ascii="Arial" w:cs="Arial" w:hAnsi="Arial"/>
          <w:b w:val="true"/>
          <w:sz w:val="22"/>
        </w:rPr>
        <w:t>基础设施与云原生 (Infrastructure/Cloud Native)</w:t>
      </w:r>
    </w:p>
    <w:p>
      <w:pPr>
        <w:numPr>
          <w:numId w:val="26"/>
        </w:numPr>
        <w:spacing w:before="120" w:after="120" w:line="288" w:lineRule="auto"/>
        <w:ind w:left="453"/>
        <w:jc w:val="left"/>
      </w:pPr>
      <w:r>
        <w:rPr>
          <w:rFonts w:eastAsia="等线" w:ascii="Arial" w:cs="Arial" w:hAnsi="Arial"/>
          <w:sz w:val="22"/>
        </w:rPr>
        <w:t>封面处说了，两台设备，主设备4核4g</w:t>
      </w:r>
    </w:p>
    <w:p>
      <w:pPr>
        <w:numPr>
          <w:numId w:val="27"/>
        </w:numPr>
        <w:spacing w:before="120" w:after="120" w:line="288" w:lineRule="auto"/>
        <w:ind w:left="0"/>
        <w:jc w:val="left"/>
      </w:pPr>
      <w:r>
        <w:rPr>
          <w:rFonts w:eastAsia="等线" w:ascii="Arial" w:cs="Arial" w:hAnsi="Arial"/>
          <w:b w:val="true"/>
          <w:sz w:val="22"/>
        </w:rPr>
        <w:t>容器化方案：</w:t>
      </w:r>
      <w:r>
        <w:rPr>
          <w:rFonts w:eastAsia="等线" w:ascii="Arial" w:cs="Arial" w:hAnsi="Arial"/>
          <w:sz w:val="22"/>
        </w:rPr>
        <w:t xml:space="preserve"> K3s/K8s 集群拓扑。</w:t>
      </w:r>
    </w:p>
    <w:p>
      <w:pPr>
        <w:numPr>
          <w:numId w:val="28"/>
        </w:numPr>
        <w:spacing w:before="120" w:after="120" w:line="288" w:lineRule="auto"/>
        <w:ind w:left="0"/>
        <w:jc w:val="left"/>
      </w:pPr>
      <w:r>
        <w:rPr>
          <w:rFonts w:eastAsia="等线" w:ascii="Arial" w:cs="Arial" w:hAnsi="Arial"/>
          <w:b w:val="true"/>
          <w:sz w:val="22"/>
        </w:rPr>
        <w:t>IaC 方案：</w:t>
      </w:r>
      <w:r>
        <w:rPr>
          <w:rFonts w:eastAsia="等线" w:ascii="Arial" w:cs="Arial" w:hAnsi="Arial"/>
          <w:sz w:val="22"/>
        </w:rPr>
        <w:t xml:space="preserve"> Terraform 模块划分。</w:t>
      </w:r>
    </w:p>
    <w:p>
      <w:pPr>
        <w:numPr>
          <w:numId w:val="29"/>
        </w:numPr>
        <w:spacing w:before="120" w:after="120" w:line="288" w:lineRule="auto"/>
        <w:ind w:left="453"/>
        <w:jc w:val="left"/>
      </w:pPr>
      <w:r>
        <w:rPr>
          <w:rFonts w:eastAsia="等线" w:ascii="Arial" w:cs="Arial" w:hAnsi="Arial"/>
          <w:sz w:val="22"/>
        </w:rPr>
        <w:t>无需引入</w:t>
      </w:r>
    </w:p>
    <w:p>
      <w:pPr>
        <w:numPr>
          <w:numId w:val="30"/>
        </w:numPr>
        <w:spacing w:before="120" w:after="120" w:line="288" w:lineRule="auto"/>
        <w:ind w:left="0"/>
        <w:jc w:val="left"/>
      </w:pPr>
      <w:r>
        <w:rPr>
          <w:rFonts w:eastAsia="等线" w:ascii="Arial" w:cs="Arial" w:hAnsi="Arial"/>
          <w:b w:val="true"/>
          <w:sz w:val="22"/>
        </w:rPr>
        <w:t>自动化运维：</w:t>
      </w:r>
      <w:r>
        <w:rPr>
          <w:rFonts w:eastAsia="等线" w:ascii="Arial" w:cs="Arial" w:hAnsi="Arial"/>
          <w:sz w:val="22"/>
        </w:rPr>
        <w:t xml:space="preserve"> Ansible 配置管理逻辑。</w:t>
      </w:r>
    </w:p>
    <w:p>
      <w:pPr>
        <w:numPr>
          <w:numId w:val="31"/>
        </w:numPr>
        <w:spacing w:before="120" w:after="120" w:line="288" w:lineRule="auto"/>
        <w:ind w:left="453"/>
        <w:jc w:val="left"/>
      </w:pPr>
      <w:r>
        <w:rPr>
          <w:rFonts w:eastAsia="等线" w:ascii="Arial" w:cs="Arial" w:hAnsi="Arial"/>
          <w:sz w:val="22"/>
        </w:rPr>
        <w:t>需要，而且需要做运维白化（管理平台）</w:t>
      </w:r>
    </w:p>
    <w:p>
      <w:pPr>
        <w:numPr>
          <w:numId w:val="32"/>
        </w:numPr>
        <w:spacing w:before="120" w:after="120" w:line="288" w:lineRule="auto"/>
        <w:ind w:left="0"/>
        <w:jc w:val="left"/>
      </w:pPr>
      <w:r>
        <w:rPr>
          <w:rFonts w:eastAsia="等线" w:ascii="Arial" w:cs="Arial" w:hAnsi="Arial"/>
          <w:b w:val="true"/>
          <w:sz w:val="22"/>
        </w:rPr>
        <w:t>核心流程 (Core Sequence)</w:t>
      </w:r>
    </w:p>
    <w:p>
      <w:pPr>
        <w:numPr>
          <w:numId w:val="33"/>
        </w:numPr>
        <w:spacing w:before="120" w:after="120" w:line="288" w:lineRule="auto"/>
        <w:ind w:left="0"/>
        <w:jc w:val="left"/>
      </w:pPr>
      <w:r>
        <w:rPr>
          <w:rFonts w:eastAsia="等线" w:ascii="Arial" w:cs="Arial" w:hAnsi="Arial"/>
          <w:sz w:val="22"/>
        </w:rPr>
        <w:t>使用 Mermaid 绘制核心业务逻辑的时序图，红色标注</w:t>
      </w:r>
      <w:r>
        <w:rPr>
          <w:rFonts w:eastAsia="等线" w:ascii="Arial" w:cs="Arial" w:hAnsi="Arial"/>
          <w:b w:val="true"/>
          <w:sz w:val="22"/>
        </w:rPr>
        <w:t>同步阻塞点</w:t>
      </w:r>
      <w:r>
        <w:rPr>
          <w:rFonts w:eastAsia="等线" w:ascii="Arial" w:cs="Arial" w:hAnsi="Arial"/>
          <w:sz w:val="22"/>
        </w:rPr>
        <w:t>。</w:t>
      </w:r>
    </w:p>
    <w:p>
      <w:pPr>
        <w:numPr>
          <w:numId w:val="34"/>
        </w:numPr>
        <w:spacing w:before="120" w:after="120" w:line="288" w:lineRule="auto"/>
        <w:ind w:left="0"/>
        <w:jc w:val="left"/>
      </w:pPr>
      <w:r>
        <w:rPr>
          <w:rFonts w:eastAsia="等线" w:ascii="Arial" w:cs="Arial" w:hAnsi="Arial"/>
          <w:b w:val="true"/>
          <w:sz w:val="22"/>
        </w:rPr>
        <w:t>接口设计 (API Design)</w:t>
      </w:r>
    </w:p>
    <w:p>
      <w:pPr>
        <w:numPr>
          <w:numId w:val="35"/>
        </w:numPr>
        <w:spacing w:before="120" w:after="120" w:line="288" w:lineRule="auto"/>
        <w:ind w:left="0"/>
        <w:jc w:val="left"/>
      </w:pPr>
      <w:r>
        <w:rPr>
          <w:rFonts w:eastAsia="等线" w:ascii="Arial" w:cs="Arial" w:hAnsi="Arial"/>
          <w:sz w:val="22"/>
        </w:rPr>
        <w:t>定义核心 RESTful/gRPC 接口规范及关键参数。</w:t>
      </w:r>
    </w:p>
    <w:p>
      <w:pPr>
        <w:numPr>
          <w:numId w:val="36"/>
        </w:numPr>
        <w:spacing w:before="120" w:after="120" w:line="288" w:lineRule="auto"/>
        <w:ind w:left="0"/>
        <w:jc w:val="left"/>
      </w:pPr>
      <w:r>
        <w:rPr>
          <w:rFonts w:eastAsia="等线" w:ascii="Arial" w:cs="Arial" w:hAnsi="Arial"/>
          <w:b w:val="true"/>
          <w:sz w:val="22"/>
        </w:rPr>
        <w:t>安全架构 (Security &amp; Compliance)</w:t>
      </w:r>
    </w:p>
    <w:p>
      <w:pPr>
        <w:numPr>
          <w:numId w:val="37"/>
        </w:numPr>
        <w:spacing w:before="120" w:after="120" w:line="288" w:lineRule="auto"/>
        <w:ind w:left="0"/>
        <w:jc w:val="left"/>
      </w:pPr>
      <w:r>
        <w:rPr>
          <w:rFonts w:eastAsia="等线" w:ascii="Arial" w:cs="Arial" w:hAnsi="Arial"/>
          <w:b w:val="true"/>
          <w:sz w:val="22"/>
        </w:rPr>
        <w:t>认证鉴权：</w:t>
      </w:r>
      <w:r>
        <w:rPr>
          <w:rFonts w:eastAsia="等线" w:ascii="Arial" w:cs="Arial" w:hAnsi="Arial"/>
          <w:sz w:val="22"/>
        </w:rPr>
        <w:t xml:space="preserve"> OAuth2.0/JWT。</w:t>
      </w:r>
    </w:p>
    <w:p>
      <w:pPr>
        <w:numPr>
          <w:numId w:val="38"/>
        </w:numPr>
        <w:spacing w:before="120" w:after="120" w:line="288" w:lineRule="auto"/>
        <w:ind w:left="453"/>
        <w:jc w:val="left"/>
      </w:pPr>
      <w:r>
        <w:rPr>
          <w:rFonts w:eastAsia="等线" w:ascii="Arial" w:cs="Arial" w:hAnsi="Arial"/>
          <w:sz w:val="22"/>
        </w:rPr>
        <w:t>刷新令牌选择</w:t>
      </w:r>
    </w:p>
    <w:p>
      <w:pPr>
        <w:numPr>
          <w:numId w:val="39"/>
        </w:numPr>
        <w:spacing w:before="120" w:after="120" w:line="288" w:lineRule="auto"/>
        <w:ind w:left="453"/>
        <w:jc w:val="left"/>
      </w:pPr>
      <w:r>
        <w:rPr>
          <w:rFonts w:eastAsia="等线" w:ascii="Arial" w:cs="Arial" w:hAnsi="Arial"/>
          <w:sz w:val="22"/>
        </w:rPr>
        <w:t>学生和教师绑定</w:t>
      </w:r>
    </w:p>
    <w:p>
      <w:pPr>
        <w:numPr>
          <w:numId w:val="40"/>
        </w:numPr>
        <w:spacing w:before="120" w:after="120" w:line="288" w:lineRule="auto"/>
        <w:ind w:left="0"/>
        <w:jc w:val="left"/>
      </w:pPr>
      <w:r>
        <w:rPr>
          <w:rFonts w:eastAsia="等线" w:ascii="Arial" w:cs="Arial" w:hAnsi="Arial"/>
          <w:b w:val="true"/>
          <w:sz w:val="22"/>
        </w:rPr>
        <w:t>DevSecOps：</w:t>
      </w:r>
      <w:r>
        <w:rPr>
          <w:rFonts w:eastAsia="等线" w:ascii="Arial" w:cs="Arial" w:hAnsi="Arial"/>
          <w:sz w:val="22"/>
        </w:rPr>
        <w:t xml:space="preserve"> 镜像扫描、密钥管理（Secrets Management）。</w:t>
      </w:r>
    </w:p>
    <w:p>
      <w:pPr>
        <w:numPr>
          <w:numId w:val="41"/>
        </w:numPr>
        <w:spacing w:before="120" w:after="120" w:line="288" w:lineRule="auto"/>
        <w:ind w:left="453"/>
        <w:jc w:val="left"/>
      </w:pPr>
      <w:r>
        <w:rPr>
          <w:rFonts w:eastAsia="等线" w:ascii="Arial" w:cs="Arial" w:hAnsi="Arial"/>
          <w:sz w:val="22"/>
        </w:rPr>
        <w:t>使用github action</w:t>
      </w:r>
    </w:p>
    <w:p>
      <w:pPr>
        <w:numPr>
          <w:numId w:val="42"/>
        </w:numPr>
        <w:spacing w:before="120" w:after="120" w:line="288" w:lineRule="auto"/>
        <w:ind w:left="0"/>
        <w:jc w:val="left"/>
      </w:pPr>
      <w:r>
        <w:rPr>
          <w:rFonts w:eastAsia="等线" w:ascii="Arial" w:cs="Arial" w:hAnsi="Arial"/>
          <w:b w:val="true"/>
          <w:sz w:val="22"/>
        </w:rPr>
        <w:t>可观测性 (Observability)</w:t>
      </w:r>
    </w:p>
    <w:p>
      <w:pPr>
        <w:numPr>
          <w:numId w:val="43"/>
        </w:numPr>
        <w:spacing w:before="120" w:after="120" w:line="288" w:lineRule="auto"/>
        <w:ind w:left="0"/>
        <w:jc w:val="left"/>
      </w:pPr>
      <w:r>
        <w:rPr>
          <w:rFonts w:eastAsia="等线" w:ascii="Arial" w:cs="Arial" w:hAnsi="Arial"/>
          <w:b w:val="true"/>
          <w:sz w:val="22"/>
        </w:rPr>
        <w:t>Logging/Tracing/Metrics：</w:t>
      </w:r>
      <w:r>
        <w:rPr>
          <w:rFonts w:eastAsia="等线" w:ascii="Arial" w:cs="Arial" w:hAnsi="Arial"/>
          <w:sz w:val="22"/>
        </w:rPr>
        <w:t xml:space="preserve"> 普罗米修斯、Grafana 监控指标定义。</w:t>
      </w:r>
    </w:p>
    <w:p>
      <w:pPr>
        <w:numPr>
          <w:numId w:val="44"/>
        </w:numPr>
        <w:spacing w:before="120" w:after="120" w:line="288" w:lineRule="auto"/>
        <w:ind w:left="0"/>
        <w:jc w:val="left"/>
      </w:pPr>
      <w:r>
        <w:rPr>
          <w:rFonts w:eastAsia="等线" w:ascii="Arial" w:cs="Arial" w:hAnsi="Arial"/>
          <w:b w:val="true"/>
          <w:sz w:val="22"/>
        </w:rPr>
        <w:t>高可用与容灾 (HA/DR)</w:t>
      </w:r>
    </w:p>
    <w:p>
      <w:pPr>
        <w:numPr>
          <w:numId w:val="45"/>
        </w:numPr>
        <w:spacing w:before="120" w:after="120" w:line="288" w:lineRule="auto"/>
        <w:ind w:left="0"/>
        <w:jc w:val="left"/>
      </w:pPr>
      <w:r>
        <w:rPr>
          <w:rFonts w:eastAsia="等线" w:ascii="Arial" w:cs="Arial" w:hAnsi="Arial"/>
          <w:b w:val="true"/>
          <w:sz w:val="22"/>
        </w:rPr>
        <w:t>容错机制：</w:t>
      </w:r>
      <w:r>
        <w:rPr>
          <w:rFonts w:eastAsia="等线" w:ascii="Arial" w:cs="Arial" w:hAnsi="Arial"/>
          <w:sz w:val="22"/>
        </w:rPr>
        <w:t xml:space="preserve"> 熔断、降级、限流策略。</w:t>
      </w:r>
    </w:p>
    <w:p>
      <w:pPr>
        <w:numPr>
          <w:numId w:val="46"/>
        </w:numPr>
        <w:spacing w:before="120" w:after="120" w:line="288" w:lineRule="auto"/>
        <w:ind w:left="0"/>
        <w:jc w:val="left"/>
      </w:pPr>
      <w:r>
        <w:rPr>
          <w:rFonts w:eastAsia="等线" w:ascii="Arial" w:cs="Arial" w:hAnsi="Arial"/>
          <w:b w:val="true"/>
          <w:sz w:val="22"/>
        </w:rPr>
        <w:t>备份恢复：</w:t>
      </w:r>
      <w:r>
        <w:rPr>
          <w:rFonts w:eastAsia="等线" w:ascii="Arial" w:cs="Arial" w:hAnsi="Arial"/>
          <w:sz w:val="22"/>
        </w:rPr>
        <w:t xml:space="preserve"> RTO/RPO 目标。</w:t>
      </w:r>
    </w:p>
    <w:p>
      <w:pPr>
        <w:numPr>
          <w:numId w:val="47"/>
        </w:numPr>
        <w:spacing w:before="120" w:after="120" w:line="288" w:lineRule="auto"/>
        <w:ind w:left="0"/>
        <w:jc w:val="left"/>
      </w:pPr>
      <w:r>
        <w:rPr>
          <w:rFonts w:eastAsia="等线" w:ascii="Arial" w:cs="Arial" w:hAnsi="Arial"/>
          <w:b w:val="true"/>
          <w:sz w:val="22"/>
        </w:rPr>
        <w:t>性能评估 (Performance Benchmarking)</w:t>
      </w:r>
    </w:p>
    <w:p>
      <w:pPr>
        <w:numPr>
          <w:numId w:val="48"/>
        </w:numPr>
        <w:spacing w:before="120" w:after="120" w:line="288" w:lineRule="auto"/>
        <w:ind w:left="0"/>
        <w:jc w:val="left"/>
      </w:pPr>
      <w:r>
        <w:rPr>
          <w:rFonts w:eastAsia="等线" w:ascii="Arial" w:cs="Arial" w:hAnsi="Arial"/>
          <w:sz w:val="22"/>
        </w:rPr>
        <w:t xml:space="preserve">预估 QPS/TPS 支撑能力，红色标注可能的 </w:t>
      </w:r>
      <w:r>
        <w:rPr>
          <w:rFonts w:eastAsia="等线" w:ascii="Arial" w:cs="Arial" w:hAnsi="Arial"/>
          <w:b w:val="true"/>
          <w:sz w:val="22"/>
        </w:rPr>
        <w:t>Database Bottleneck</w:t>
      </w:r>
      <w:r>
        <w:rPr>
          <w:rFonts w:eastAsia="等线" w:ascii="Arial" w:cs="Arial" w:hAnsi="Arial"/>
          <w:sz w:val="22"/>
        </w:rPr>
        <w:t>。</w:t>
      </w:r>
    </w:p>
    <w:p>
      <w:pPr>
        <w:numPr>
          <w:numId w:val="49"/>
        </w:numPr>
        <w:spacing w:before="120" w:after="120" w:line="288" w:lineRule="auto"/>
        <w:ind w:left="0"/>
        <w:jc w:val="left"/>
      </w:pPr>
      <w:r>
        <w:rPr>
          <w:rFonts w:eastAsia="等线" w:ascii="Arial" w:cs="Arial" w:hAnsi="Arial"/>
          <w:b w:val="true"/>
          <w:sz w:val="22"/>
        </w:rPr>
        <w:t>开发里程碑</w:t>
      </w:r>
    </w:p>
    <w:p>
      <w:pPr>
        <w:numPr>
          <w:numId w:val="50"/>
        </w:numPr>
        <w:spacing w:before="120" w:after="120" w:line="288" w:lineRule="auto"/>
        <w:ind w:left="0"/>
        <w:jc w:val="left"/>
      </w:pPr>
      <w:r>
        <w:rPr>
          <w:rFonts w:eastAsia="等线" w:ascii="Arial" w:cs="Arial" w:hAnsi="Arial"/>
          <w:sz w:val="22"/>
        </w:rPr>
        <w:t>关键技术验证 (PoC) 到灰度发布的时间</w:t>
      </w:r>
    </w:p>
    <w:p>
      <w:pPr>
        <w:numPr>
          <w:numId w:val="51"/>
        </w:numPr>
        <w:spacing w:before="120" w:after="120" w:line="288" w:lineRule="auto"/>
        <w:ind w:left="453"/>
        <w:jc w:val="left"/>
      </w:pPr>
      <w:r>
        <w:rPr>
          <w:rFonts w:eastAsia="等线" w:ascii="Arial" w:cs="Arial" w:hAnsi="Arial"/>
          <w:sz w:val="22"/>
        </w:rPr>
        <w:t>五月二十号前完成mvp上线</w:t>
      </w:r>
    </w:p>
    <w:p>
      <w:pPr>
        <w:numPr>
          <w:numId w:val="52"/>
        </w:numPr>
        <w:spacing w:before="120" w:after="120" w:line="288" w:lineRule="auto"/>
        <w:ind w:left="0"/>
        <w:jc w:val="left"/>
      </w:pPr>
      <w:r>
        <w:rPr>
          <w:rFonts w:eastAsia="等线" w:ascii="Arial" w:cs="Arial" w:hAnsi="Arial"/>
          <w:sz w:val="22"/>
        </w:rPr>
        <w:br/>
      </w:r>
      <w:r>
        <w:rPr>
          <w:rFonts w:eastAsia="等线" w:ascii="Arial" w:cs="Arial" w:hAnsi="Arial"/>
          <w:b w:val="true"/>
          <w:sz w:val="22"/>
        </w:rPr>
        <w:t>"A robust architecture is characterized not by its complexity, but by its resilience under duress and its clarity of purpose. True architectural excellence lies in the harmonious orchestration of decoupled services, ensuring that the system can gracefully degrade without catastrophic failure. As we transition toward a cloud-native paradigm, the focus shifts from managing individual servers to governing immutable infrastructure, where security is baked into the fabric of the deployment rather than being bolted on as an afterthought."</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46664">
    <w:lvl>
      <w:numFmt w:val="bullet"/>
      <w:suff w:val="tab"/>
      <w:lvlText w:val="•"/>
      <w:rPr>
        <w:color w:val="3370ff"/>
      </w:rPr>
    </w:lvl>
  </w:abstractNum>
  <w:abstractNum w:abstractNumId="2846665">
    <w:lvl>
      <w:numFmt w:val="bullet"/>
      <w:suff w:val="tab"/>
      <w:lvlText w:val="•"/>
      <w:rPr>
        <w:color w:val="3370ff"/>
      </w:rPr>
    </w:lvl>
  </w:abstractNum>
  <w:abstractNum w:abstractNumId="2846666">
    <w:lvl>
      <w:numFmt w:val="bullet"/>
      <w:suff w:val="tab"/>
      <w:lvlText w:val="•"/>
      <w:rPr>
        <w:color w:val="3370ff"/>
      </w:rPr>
    </w:lvl>
  </w:abstractNum>
  <w:abstractNum w:abstractNumId="2846667">
    <w:lvl>
      <w:numFmt w:val="bullet"/>
      <w:suff w:val="tab"/>
      <w:lvlText w:val="￮"/>
      <w:rPr>
        <w:color w:val="3370ff"/>
      </w:rPr>
    </w:lvl>
  </w:abstractNum>
  <w:abstractNum w:abstractNumId="2846668">
    <w:lvl>
      <w:numFmt w:val="bullet"/>
      <w:suff w:val="tab"/>
      <w:lvlText w:val="￮"/>
      <w:rPr>
        <w:color w:val="3370ff"/>
      </w:rPr>
    </w:lvl>
  </w:abstractNum>
  <w:abstractNum w:abstractNumId="2846669">
    <w:lvl>
      <w:numFmt w:val="bullet"/>
      <w:suff w:val="tab"/>
      <w:lvlText w:val="￮"/>
      <w:rPr>
        <w:color w:val="3370ff"/>
      </w:rPr>
    </w:lvl>
  </w:abstractNum>
  <w:abstractNum w:abstractNumId="2846670">
    <w:lvl>
      <w:numFmt w:val="bullet"/>
      <w:suff w:val="tab"/>
      <w:lvlText w:val="•"/>
      <w:rPr>
        <w:color w:val="3370ff"/>
      </w:rPr>
    </w:lvl>
  </w:abstractNum>
  <w:abstractNum w:abstractNumId="2846671">
    <w:lvl>
      <w:numFmt w:val="bullet"/>
      <w:suff w:val="tab"/>
      <w:lvlText w:val="￮"/>
      <w:rPr>
        <w:color w:val="3370ff"/>
      </w:rPr>
    </w:lvl>
  </w:abstractNum>
  <w:abstractNum w:abstractNumId="2846672">
    <w:lvl>
      <w:numFmt w:val="bullet"/>
      <w:suff w:val="tab"/>
      <w:lvlText w:val="•"/>
      <w:rPr>
        <w:color w:val="3370ff"/>
      </w:rPr>
    </w:lvl>
  </w:abstractNum>
  <w:abstractNum w:abstractNumId="2846673">
    <w:lvl>
      <w:numFmt w:val="bullet"/>
      <w:suff w:val="tab"/>
      <w:lvlText w:val="￮"/>
      <w:rPr>
        <w:color w:val="3370ff"/>
      </w:rPr>
    </w:lvl>
  </w:abstractNum>
  <w:abstractNum w:abstractNumId="2846674">
    <w:lvl>
      <w:numFmt w:val="bullet"/>
      <w:suff w:val="tab"/>
      <w:lvlText w:val="￮"/>
      <w:rPr>
        <w:color w:val="3370ff"/>
      </w:rPr>
    </w:lvl>
  </w:abstractNum>
  <w:abstractNum w:abstractNumId="2846675">
    <w:lvl>
      <w:numFmt w:val="bullet"/>
      <w:suff w:val="tab"/>
      <w:lvlText w:val="￮"/>
      <w:rPr>
        <w:color w:val="3370ff"/>
      </w:rPr>
    </w:lvl>
  </w:abstractNum>
  <w:abstractNum w:abstractNumId="2846676">
    <w:lvl>
      <w:start w:val="1"/>
      <w:numFmt w:val="decimal"/>
      <w:suff w:val="tab"/>
      <w:lvlText w:val="%1."/>
      <w:rPr>
        <w:color w:val="3370ff"/>
      </w:rPr>
    </w:lvl>
  </w:abstractNum>
  <w:abstractNum w:abstractNumId="2846677">
    <w:lvl>
      <w:numFmt w:val="bullet"/>
      <w:suff w:val="tab"/>
      <w:lvlText w:val="•"/>
      <w:rPr>
        <w:color w:val="3370ff"/>
      </w:rPr>
    </w:lvl>
  </w:abstractNum>
  <w:abstractNum w:abstractNumId="2846678">
    <w:lvl>
      <w:numFmt w:val="bullet"/>
      <w:suff w:val="tab"/>
      <w:lvlText w:val="•"/>
      <w:rPr>
        <w:color w:val="3370ff"/>
      </w:rPr>
    </w:lvl>
  </w:abstractNum>
  <w:abstractNum w:abstractNumId="2846679">
    <w:lvl>
      <w:start w:val="2"/>
      <w:numFmt w:val="decimal"/>
      <w:suff w:val="tab"/>
      <w:lvlText w:val="%1."/>
      <w:rPr>
        <w:color w:val="3370ff"/>
      </w:rPr>
    </w:lvl>
  </w:abstractNum>
  <w:abstractNum w:abstractNumId="2846680">
    <w:lvl>
      <w:numFmt w:val="bullet"/>
      <w:suff w:val="tab"/>
      <w:lvlText w:val="•"/>
      <w:rPr>
        <w:color w:val="3370ff"/>
      </w:rPr>
    </w:lvl>
  </w:abstractNum>
  <w:abstractNum w:abstractNumId="2846681">
    <w:lvl>
      <w:numFmt w:val="bullet"/>
      <w:suff w:val="tab"/>
      <w:lvlText w:val="￮"/>
      <w:rPr>
        <w:color w:val="3370ff"/>
      </w:rPr>
    </w:lvl>
  </w:abstractNum>
  <w:abstractNum w:abstractNumId="2846682">
    <w:lvl>
      <w:start w:val="3"/>
      <w:numFmt w:val="decimal"/>
      <w:suff w:val="tab"/>
      <w:lvlText w:val="%1."/>
      <w:rPr>
        <w:color w:val="3370ff"/>
      </w:rPr>
    </w:lvl>
  </w:abstractNum>
  <w:abstractNum w:abstractNumId="2846683">
    <w:lvl>
      <w:numFmt w:val="bullet"/>
      <w:suff w:val="tab"/>
      <w:lvlText w:val="•"/>
      <w:rPr>
        <w:color w:val="3370ff"/>
      </w:rPr>
    </w:lvl>
  </w:abstractNum>
  <w:abstractNum w:abstractNumId="2846684">
    <w:lvl>
      <w:numFmt w:val="bullet"/>
      <w:suff w:val="tab"/>
      <w:lvlText w:val="•"/>
      <w:rPr>
        <w:color w:val="3370ff"/>
      </w:rPr>
    </w:lvl>
  </w:abstractNum>
  <w:abstractNum w:abstractNumId="2846685">
    <w:lvl>
      <w:numFmt w:val="bullet"/>
      <w:suff w:val="tab"/>
      <w:lvlText w:val="￮"/>
      <w:rPr>
        <w:color w:val="3370ff"/>
      </w:rPr>
    </w:lvl>
  </w:abstractNum>
  <w:abstractNum w:abstractNumId="2846686">
    <w:lvl>
      <w:numFmt w:val="bullet"/>
      <w:suff w:val="tab"/>
      <w:lvlText w:val="￮"/>
      <w:rPr>
        <w:color w:val="3370ff"/>
      </w:rPr>
    </w:lvl>
  </w:abstractNum>
  <w:abstractNum w:abstractNumId="2846687">
    <w:lvl>
      <w:numFmt w:val="bullet"/>
      <w:suff w:val="tab"/>
      <w:lvlText w:val="￮"/>
      <w:rPr>
        <w:color w:val="3370ff"/>
      </w:rPr>
    </w:lvl>
  </w:abstractNum>
  <w:abstractNum w:abstractNumId="2846688">
    <w:lvl>
      <w:start w:val="4"/>
      <w:numFmt w:val="decimal"/>
      <w:suff w:val="tab"/>
      <w:lvlText w:val="%1."/>
      <w:rPr>
        <w:color w:val="3370ff"/>
      </w:rPr>
    </w:lvl>
  </w:abstractNum>
  <w:abstractNum w:abstractNumId="2846689">
    <w:lvl>
      <w:start w:val="1"/>
      <w:numFmt w:val="lowerLetter"/>
      <w:suff w:val="tab"/>
      <w:lvlText w:val="%1."/>
      <w:rPr>
        <w:color w:val="3370ff"/>
      </w:rPr>
    </w:lvl>
  </w:abstractNum>
  <w:abstractNum w:abstractNumId="2846690">
    <w:lvl>
      <w:numFmt w:val="bullet"/>
      <w:suff w:val="tab"/>
      <w:lvlText w:val="•"/>
      <w:rPr>
        <w:color w:val="3370ff"/>
      </w:rPr>
    </w:lvl>
  </w:abstractNum>
  <w:abstractNum w:abstractNumId="2846691">
    <w:lvl>
      <w:numFmt w:val="bullet"/>
      <w:suff w:val="tab"/>
      <w:lvlText w:val="•"/>
      <w:rPr>
        <w:color w:val="3370ff"/>
      </w:rPr>
    </w:lvl>
  </w:abstractNum>
  <w:abstractNum w:abstractNumId="2846692">
    <w:lvl>
      <w:numFmt w:val="bullet"/>
      <w:suff w:val="tab"/>
      <w:lvlText w:val="￮"/>
      <w:rPr>
        <w:color w:val="3370ff"/>
      </w:rPr>
    </w:lvl>
  </w:abstractNum>
  <w:abstractNum w:abstractNumId="2846693">
    <w:lvl>
      <w:numFmt w:val="bullet"/>
      <w:suff w:val="tab"/>
      <w:lvlText w:val="•"/>
      <w:rPr>
        <w:color w:val="3370ff"/>
      </w:rPr>
    </w:lvl>
  </w:abstractNum>
  <w:abstractNum w:abstractNumId="2846694">
    <w:lvl>
      <w:numFmt w:val="bullet"/>
      <w:suff w:val="tab"/>
      <w:lvlText w:val="￮"/>
      <w:rPr>
        <w:color w:val="3370ff"/>
      </w:rPr>
    </w:lvl>
  </w:abstractNum>
  <w:abstractNum w:abstractNumId="2846695">
    <w:lvl>
      <w:start w:val="5"/>
      <w:numFmt w:val="decimal"/>
      <w:suff w:val="tab"/>
      <w:lvlText w:val="%1."/>
      <w:rPr>
        <w:color w:val="3370ff"/>
      </w:rPr>
    </w:lvl>
  </w:abstractNum>
  <w:abstractNum w:abstractNumId="2846696">
    <w:lvl>
      <w:numFmt w:val="bullet"/>
      <w:suff w:val="tab"/>
      <w:lvlText w:val="•"/>
      <w:rPr>
        <w:color w:val="3370ff"/>
      </w:rPr>
    </w:lvl>
  </w:abstractNum>
  <w:abstractNum w:abstractNumId="2846697">
    <w:lvl>
      <w:start w:val="6"/>
      <w:numFmt w:val="decimal"/>
      <w:suff w:val="tab"/>
      <w:lvlText w:val="%1."/>
      <w:rPr>
        <w:color w:val="3370ff"/>
      </w:rPr>
    </w:lvl>
  </w:abstractNum>
  <w:abstractNum w:abstractNumId="2846698">
    <w:lvl>
      <w:numFmt w:val="bullet"/>
      <w:suff w:val="tab"/>
      <w:lvlText w:val="•"/>
      <w:rPr>
        <w:color w:val="3370ff"/>
      </w:rPr>
    </w:lvl>
  </w:abstractNum>
  <w:abstractNum w:abstractNumId="2846699">
    <w:lvl>
      <w:start w:val="7"/>
      <w:numFmt w:val="decimal"/>
      <w:suff w:val="tab"/>
      <w:lvlText w:val="%1."/>
      <w:rPr>
        <w:color w:val="3370ff"/>
      </w:rPr>
    </w:lvl>
  </w:abstractNum>
  <w:abstractNum w:abstractNumId="2846700">
    <w:lvl>
      <w:numFmt w:val="bullet"/>
      <w:suff w:val="tab"/>
      <w:lvlText w:val="•"/>
      <w:rPr>
        <w:color w:val="3370ff"/>
      </w:rPr>
    </w:lvl>
  </w:abstractNum>
  <w:abstractNum w:abstractNumId="2846701">
    <w:lvl>
      <w:numFmt w:val="bullet"/>
      <w:suff w:val="tab"/>
      <w:lvlText w:val="￮"/>
      <w:rPr>
        <w:color w:val="3370ff"/>
      </w:rPr>
    </w:lvl>
  </w:abstractNum>
  <w:abstractNum w:abstractNumId="2846702">
    <w:lvl>
      <w:numFmt w:val="bullet"/>
      <w:suff w:val="tab"/>
      <w:lvlText w:val="￮"/>
      <w:rPr>
        <w:color w:val="3370ff"/>
      </w:rPr>
    </w:lvl>
  </w:abstractNum>
  <w:abstractNum w:abstractNumId="2846703">
    <w:lvl>
      <w:numFmt w:val="bullet"/>
      <w:suff w:val="tab"/>
      <w:lvlText w:val="•"/>
      <w:rPr>
        <w:color w:val="3370ff"/>
      </w:rPr>
    </w:lvl>
  </w:abstractNum>
  <w:abstractNum w:abstractNumId="2846704">
    <w:lvl>
      <w:numFmt w:val="bullet"/>
      <w:suff w:val="tab"/>
      <w:lvlText w:val="￮"/>
      <w:rPr>
        <w:color w:val="3370ff"/>
      </w:rPr>
    </w:lvl>
  </w:abstractNum>
  <w:abstractNum w:abstractNumId="2846705">
    <w:lvl>
      <w:start w:val="8"/>
      <w:numFmt w:val="decimal"/>
      <w:suff w:val="tab"/>
      <w:lvlText w:val="%1."/>
      <w:rPr>
        <w:color w:val="3370ff"/>
      </w:rPr>
    </w:lvl>
  </w:abstractNum>
  <w:abstractNum w:abstractNumId="2846706">
    <w:lvl>
      <w:numFmt w:val="bullet"/>
      <w:suff w:val="tab"/>
      <w:lvlText w:val="•"/>
      <w:rPr>
        <w:color w:val="3370ff"/>
      </w:rPr>
    </w:lvl>
  </w:abstractNum>
  <w:abstractNum w:abstractNumId="2846707">
    <w:lvl>
      <w:start w:val="9"/>
      <w:numFmt w:val="decimal"/>
      <w:suff w:val="tab"/>
      <w:lvlText w:val="%1."/>
      <w:rPr>
        <w:color w:val="3370ff"/>
      </w:rPr>
    </w:lvl>
  </w:abstractNum>
  <w:abstractNum w:abstractNumId="2846708">
    <w:lvl>
      <w:numFmt w:val="bullet"/>
      <w:suff w:val="tab"/>
      <w:lvlText w:val="•"/>
      <w:rPr>
        <w:color w:val="3370ff"/>
      </w:rPr>
    </w:lvl>
  </w:abstractNum>
  <w:abstractNum w:abstractNumId="2846709">
    <w:lvl>
      <w:numFmt w:val="bullet"/>
      <w:suff w:val="tab"/>
      <w:lvlText w:val="•"/>
      <w:rPr>
        <w:color w:val="3370ff"/>
      </w:rPr>
    </w:lvl>
  </w:abstractNum>
  <w:abstractNum w:abstractNumId="2846710">
    <w:lvl>
      <w:start w:val="10"/>
      <w:numFmt w:val="decimal"/>
      <w:suff w:val="tab"/>
      <w:lvlText w:val="%1."/>
      <w:rPr>
        <w:color w:val="3370ff"/>
      </w:rPr>
    </w:lvl>
  </w:abstractNum>
  <w:abstractNum w:abstractNumId="2846711">
    <w:lvl>
      <w:numFmt w:val="bullet"/>
      <w:suff w:val="tab"/>
      <w:lvlText w:val="•"/>
      <w:rPr>
        <w:color w:val="3370ff"/>
      </w:rPr>
    </w:lvl>
  </w:abstractNum>
  <w:abstractNum w:abstractNumId="2846712">
    <w:lvl>
      <w:start w:val="11"/>
      <w:numFmt w:val="decimal"/>
      <w:suff w:val="tab"/>
      <w:lvlText w:val="%1."/>
      <w:rPr>
        <w:color w:val="3370ff"/>
      </w:rPr>
    </w:lvl>
  </w:abstractNum>
  <w:abstractNum w:abstractNumId="2846713">
    <w:lvl>
      <w:numFmt w:val="bullet"/>
      <w:suff w:val="tab"/>
      <w:lvlText w:val="•"/>
      <w:rPr>
        <w:color w:val="3370ff"/>
      </w:rPr>
    </w:lvl>
  </w:abstractNum>
  <w:abstractNum w:abstractNumId="2846714">
    <w:lvl>
      <w:numFmt w:val="bullet"/>
      <w:suff w:val="tab"/>
      <w:lvlText w:val="￮"/>
      <w:rPr>
        <w:color w:val="3370ff"/>
      </w:rPr>
    </w:lvl>
  </w:abstractNum>
  <w:abstractNum w:abstractNumId="2846715">
    <w:lvl>
      <w:numFmt w:val="bullet"/>
      <w:suff w:val="tab"/>
      <w:lvlText w:val="•"/>
      <w:rPr>
        <w:color w:val="3370ff"/>
      </w:rPr>
    </w:lvl>
  </w:abstractNum>
  <w:num w:numId="1">
    <w:abstractNumId w:val="2846664"/>
  </w:num>
  <w:num w:numId="2">
    <w:abstractNumId w:val="2846665"/>
  </w:num>
  <w:num w:numId="3">
    <w:abstractNumId w:val="2846666"/>
  </w:num>
  <w:num w:numId="4">
    <w:abstractNumId w:val="2846667"/>
  </w:num>
  <w:num w:numId="5">
    <w:abstractNumId w:val="2846668"/>
  </w:num>
  <w:num w:numId="6">
    <w:abstractNumId w:val="2846669"/>
  </w:num>
  <w:num w:numId="7">
    <w:abstractNumId w:val="2846670"/>
  </w:num>
  <w:num w:numId="8">
    <w:abstractNumId w:val="2846671"/>
  </w:num>
  <w:num w:numId="9">
    <w:abstractNumId w:val="2846672"/>
  </w:num>
  <w:num w:numId="10">
    <w:abstractNumId w:val="2846673"/>
  </w:num>
  <w:num w:numId="11">
    <w:abstractNumId w:val="2846674"/>
  </w:num>
  <w:num w:numId="12">
    <w:abstractNumId w:val="2846675"/>
  </w:num>
  <w:num w:numId="13">
    <w:abstractNumId w:val="2846676"/>
  </w:num>
  <w:num w:numId="14">
    <w:abstractNumId w:val="2846677"/>
  </w:num>
  <w:num w:numId="15">
    <w:abstractNumId w:val="2846678"/>
  </w:num>
  <w:num w:numId="16">
    <w:abstractNumId w:val="2846679"/>
  </w:num>
  <w:num w:numId="17">
    <w:abstractNumId w:val="2846680"/>
  </w:num>
  <w:num w:numId="18">
    <w:abstractNumId w:val="2846681"/>
  </w:num>
  <w:num w:numId="19">
    <w:abstractNumId w:val="2846682"/>
  </w:num>
  <w:num w:numId="20">
    <w:abstractNumId w:val="2846683"/>
  </w:num>
  <w:num w:numId="21">
    <w:abstractNumId w:val="2846684"/>
  </w:num>
  <w:num w:numId="22">
    <w:abstractNumId w:val="2846685"/>
  </w:num>
  <w:num w:numId="23">
    <w:abstractNumId w:val="2846686"/>
  </w:num>
  <w:num w:numId="24">
    <w:abstractNumId w:val="2846687"/>
  </w:num>
  <w:num w:numId="25">
    <w:abstractNumId w:val="2846688"/>
  </w:num>
  <w:num w:numId="26">
    <w:abstractNumId w:val="2846689"/>
  </w:num>
  <w:num w:numId="27">
    <w:abstractNumId w:val="2846690"/>
  </w:num>
  <w:num w:numId="28">
    <w:abstractNumId w:val="2846691"/>
  </w:num>
  <w:num w:numId="29">
    <w:abstractNumId w:val="2846692"/>
  </w:num>
  <w:num w:numId="30">
    <w:abstractNumId w:val="2846693"/>
  </w:num>
  <w:num w:numId="31">
    <w:abstractNumId w:val="2846694"/>
  </w:num>
  <w:num w:numId="32">
    <w:abstractNumId w:val="2846695"/>
  </w:num>
  <w:num w:numId="33">
    <w:abstractNumId w:val="2846696"/>
  </w:num>
  <w:num w:numId="34">
    <w:abstractNumId w:val="2846697"/>
  </w:num>
  <w:num w:numId="35">
    <w:abstractNumId w:val="2846698"/>
  </w:num>
  <w:num w:numId="36">
    <w:abstractNumId w:val="2846699"/>
  </w:num>
  <w:num w:numId="37">
    <w:abstractNumId w:val="2846700"/>
  </w:num>
  <w:num w:numId="38">
    <w:abstractNumId w:val="2846701"/>
  </w:num>
  <w:num w:numId="39">
    <w:abstractNumId w:val="2846702"/>
  </w:num>
  <w:num w:numId="40">
    <w:abstractNumId w:val="2846703"/>
  </w:num>
  <w:num w:numId="41">
    <w:abstractNumId w:val="2846704"/>
  </w:num>
  <w:num w:numId="42">
    <w:abstractNumId w:val="2846705"/>
  </w:num>
  <w:num w:numId="43">
    <w:abstractNumId w:val="2846706"/>
  </w:num>
  <w:num w:numId="44">
    <w:abstractNumId w:val="2846707"/>
  </w:num>
  <w:num w:numId="45">
    <w:abstractNumId w:val="2846708"/>
  </w:num>
  <w:num w:numId="46">
    <w:abstractNumId w:val="2846709"/>
  </w:num>
  <w:num w:numId="47">
    <w:abstractNumId w:val="2846710"/>
  </w:num>
  <w:num w:numId="48">
    <w:abstractNumId w:val="2846711"/>
  </w:num>
  <w:num w:numId="49">
    <w:abstractNumId w:val="2846712"/>
  </w:num>
  <w:num w:numId="50">
    <w:abstractNumId w:val="2846713"/>
  </w:num>
  <w:num w:numId="51">
    <w:abstractNumId w:val="2846714"/>
  </w:num>
  <w:num w:numId="52">
    <w:abstractNumId w:val="284671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2026-05-07T10:28:06Z</dcterms:created>
  <dc:creator>Apache POI</dc:creator>
</cp:coreProperties>
</file>