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yo7rqg"/>
        <w:numPr/>
        <w:pBdr>
          <w:bottom/>
        </w:pBdr>
        <w:autoSpaceDE w:val="false"/>
        <w:autoSpaceDN w:val="false"/>
        <w:snapToGrid w:val="false"/>
        <w:spacing w:before="0" w:after="0" w:line="493" w:lineRule="atLeast"/>
        <w:ind/>
        <w:jc w:val="center"/>
        <w:rPr>
          <w:rFonts w:ascii="微软雅黑" w:hAnsi="微软雅黑" w:eastAsia="微软雅黑" w:cs="微软雅黑"/>
          <w:color w:val="000000"/>
          <w:sz w:val="34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37"/>
          <w:u w:val="none"/>
          <w:shd w:val="clear" w:color="auto" w:fill="FFFFFF"/>
        </w:rPr>
        <w:t>专业维度自定义填写指南</w:t>
      </w:r>
    </w:p>
    <w:p>
      <w:pPr>
        <w:pBdr>
          <w:bottom w:val="thick" w:sz="0"/>
        </w:pBdr>
        <w:autoSpaceDE w:val="false"/>
        <w:autoSpaceDN w:val="false"/>
        <w:snapToGrid w:val="false"/>
        <w:spacing w:line="493" w:lineRule="atLeast"/>
        <w:ind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新增专业维度时，需按以下两部分规范填写，确保信息清晰、评分逻辑统一。</w:t>
      </w:r>
    </w:p>
    <w:p>
      <w:pPr>
        <w:pStyle w:val="ablt93"/>
        <w:spacing w:line="493" w:lineRule="atLeast"/>
        <w:ind/>
        <w:rPr>
          <w:rFonts w:ascii="微软雅黑" w:hAnsi="微软雅黑" w:eastAsia="微软雅黑" w:cs="微软雅黑"/>
          <w:b/>
          <w:color w:val="000000"/>
          <w:shd w:val="clear" w:color="auto" w:fill="FFC000"/>
        </w:rPr>
      </w:pPr>
      <w:r>
        <w:rPr>
          <w:rFonts w:ascii="微软雅黑" w:hAnsi="微软雅黑" w:eastAsia="微软雅黑" w:cs="微软雅黑"/>
          <w:b/>
          <w:color w:val="000000"/>
          <w:shd w:val="clear" w:color="auto" w:fill="FFC000"/>
        </w:rPr>
        <w:t>第一部分（考核维度）：维度中文名称</w:t>
      </w:r>
    </w:p>
    <w:p>
      <w:pPr>
        <w:numPr>
          <w:ilvl w:val="0"/>
          <w:numId w:val="1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核心要求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：名称直接展示在学员页面，需满足 3 个条件：</w:t>
      </w:r>
    </w:p>
    <w:p>
      <w:pPr>
        <w:pBdr>
          <w:bottom w:val="thick" w:sz="0"/>
        </w:pBdr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 xml:space="preserve">1、字数限制：最多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8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 xml:space="preserve"> 个字；</w:t>
      </w:r>
    </w:p>
    <w:p>
      <w:pPr>
        <w:pBdr>
          <w:bottom w:val="thick" w:sz="0"/>
        </w:pBdr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2、含义明确：通过名称能让学员快速理解该维度的考核内容或方向；</w:t>
      </w:r>
    </w:p>
    <w:p>
      <w:p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3、表述简洁：语言通俗易懂。</w:t>
      </w:r>
    </w:p>
    <w:p>
      <w:pPr>
        <w:pStyle w:val="ablt93"/>
        <w:spacing w:line="493" w:lineRule="atLeast"/>
        <w:ind/>
        <w:rPr>
          <w:rFonts w:ascii="微软雅黑" w:hAnsi="微软雅黑" w:eastAsia="微软雅黑" w:cs="微软雅黑"/>
          <w:b/>
          <w:color w:val="000000"/>
          <w:shd w:val="clear" w:color="auto" w:fill="FFC000"/>
        </w:rPr>
      </w:pPr>
      <w:r>
        <w:rPr>
          <w:rFonts w:ascii="微软雅黑" w:hAnsi="微软雅黑" w:eastAsia="微软雅黑" w:cs="微软雅黑"/>
          <w:b/>
          <w:color w:val="000000"/>
          <w:shd w:val="clear" w:color="auto" w:fill="FFC000"/>
        </w:rPr>
        <w:t>第二部分（评分标准）：维度评分标准</w:t>
      </w:r>
    </w:p>
    <w:p>
      <w:pPr>
        <w:pBdr>
          <w:bottom/>
        </w:pBdr>
        <w:autoSpaceDE w:val="false"/>
        <w:autoSpaceDN w:val="false"/>
        <w:snapToGrid w:val="false"/>
        <w:spacing w:line="493" w:lineRule="atLeast"/>
        <w:ind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需完整填写 “评估内容”和“评分标准描述”，  按需填写 “关键内容”</w:t>
      </w:r>
    </w:p>
    <w:p>
      <w:pPr>
        <w:rPr/>
      </w:pPr>
    </w:p>
    <w:p>
      <w:pPr>
        <w:pBdr/>
        <w:autoSpaceDE w:val="false"/>
        <w:autoSpaceDN w:val="false"/>
        <w:snapToGrid w:val="false"/>
        <w:spacing w:line="493" w:lineRule="atLeast"/>
        <w:ind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具体要求如下：</w:t>
      </w:r>
    </w:p>
    <w:p>
      <w:pPr>
        <w:pBdr>
          <w:bottom w:val="thick" w:sz="0"/>
        </w:pBdr>
        <w:autoSpaceDE w:val="false"/>
        <w:autoSpaceDN w:val="false"/>
        <w:snapToGrid w:val="false"/>
        <w:spacing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1. 评估内容</w:t>
      </w:r>
    </w:p>
    <w:p>
      <w:pPr>
        <w:numPr>
          <w:ilvl w:val="0"/>
          <w:numId w:val="2"/>
        </w:numPr>
        <w:pBdr>
          <w:bottom w:val="thick" w:sz="0"/>
        </w:pBdr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填写要求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：用一句话说明该维度的考核对象，即 “衡量学员在对话中的 XX 能力 / 表现”。</w:t>
      </w:r>
    </w:p>
    <w:p>
      <w:pPr>
        <w:numPr>
          <w:ilvl w:val="0"/>
          <w:numId w:val="2"/>
        </w:numPr>
        <w:pBdr>
          <w:bottom w:val="thick" w:sz="0"/>
        </w:pBdr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示例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：衡量学员在对话中对分红险功能性价值与收益性价值的呈现能力。</w:t>
      </w:r>
    </w:p>
    <w:p>
      <w:pPr>
        <w:pStyle w:val="ablt93"/>
        <w:rPr>
          <w:rFonts w:ascii="微软雅黑" w:hAnsi="微软雅黑" w:eastAsia="微软雅黑" w:cs="微软雅黑"/>
          <w:b/>
          <w:color w:val="000000"/>
        </w:rPr>
      </w:pPr>
      <w:r>
        <w:rPr>
          <w:rFonts w:ascii="微软雅黑" w:hAnsi="微软雅黑" w:eastAsia="微软雅黑" w:cs="微软雅黑"/>
          <w:b/>
          <w:color w:val="000000"/>
        </w:rPr>
        <w:t>2. 评分标准描述</w:t>
      </w:r>
    </w:p>
    <w:p>
      <w:pPr>
        <w:numPr>
          <w:ilvl w:val="0"/>
          <w:numId w:val="3"/>
        </w:numPr>
        <w:pBdr>
          <w:bottom w:val="thick" w:sz="0"/>
        </w:pBdr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核心作用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：明确打分规则（高低分标准），供大模型评分使用。</w:t>
      </w:r>
    </w:p>
    <w:p>
      <w:pPr>
        <w:numPr>
          <w:ilvl w:val="0"/>
          <w:numId w:val="3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推荐格式1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（按分数从高到低排序，相邻分数段数值不重合）：</w:t>
      </w:r>
    </w:p>
    <w:p>
      <w:pPr>
        <w:pBdr/>
        <w:autoSpaceDE w:val="false"/>
        <w:autoSpaceDN w:val="false"/>
        <w:spacing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color w:val="000000"/>
          <w:sz w:val="22"/>
        </w:rPr>
        <w:drawing>
          <wp:inline distT="0" distB="0" distL="0" distR="0">
            <wp:extent cx="5760085" cy="5760085"/>
            <wp:effectExtent l="0" t="0" r="0" b="0"/>
            <wp:docPr id="2" name="文本框 911wl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分数段【9</w:t>
                        </w:r>
                        <w:r>
                          <w:rPr>
                            <w:rStyle w:val="zlddme"/>
                          </w:rPr>
                          <w:t>2</w:t>
                        </w:r>
                        <w:r>
                          <w:rPr>
                            <w:rStyle w:val="zlddme"/>
                          </w:rPr>
                          <w:t>-100分】：程度：卓越；描述：学员</w:t>
                        </w:r>
                        <w:r>
                          <w:rPr>
                            <w:rStyle w:val="zlddme"/>
                          </w:rPr>
                          <w:t>x</w:t>
                        </w:r>
                        <w:r>
                          <w:rPr>
                            <w:rStyle w:val="zlddme"/>
                          </w:rPr>
                          <w:t>x</w:t>
                        </w:r>
                        <w:r>
                          <w:rPr>
                            <w:rStyle w:val="zlddme"/>
                          </w:rPr>
                          <w:t>x</w:t>
                        </w:r>
                        <w:r>
                          <w:rPr>
                            <w:rStyle w:val="zlddme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分数段【</w:t>
                        </w:r>
                        <w:r>
                          <w:rPr>
                            <w:rStyle w:val="zlddme"/>
                          </w:rPr>
                          <w:t>8</w:t>
                        </w:r>
                        <w:r>
                          <w:rPr>
                            <w:rStyle w:val="zlddme"/>
                          </w:rPr>
                          <w:t>1</w:t>
                        </w:r>
                        <w:r>
                          <w:rPr>
                            <w:rStyle w:val="zlddme"/>
                          </w:rPr>
                          <w:t>-</w:t>
                        </w:r>
                        <w:r>
                          <w:rPr>
                            <w:rStyle w:val="zlddme"/>
                          </w:rPr>
                          <w:t>9</w:t>
                        </w:r>
                        <w:r>
                          <w:rPr>
                            <w:rStyle w:val="zlddme"/>
                          </w:rPr>
                          <w:t>1</w:t>
                        </w:r>
                        <w:r>
                          <w:rPr>
                            <w:rStyle w:val="zlddme"/>
                          </w:rPr>
                          <w:t>分】：程度：良好；描述：</w:t>
                        </w:r>
                        <w:r>
                          <w:rPr>
                            <w:rStyle w:val="zlddme"/>
                          </w:rPr>
                          <w:t>学员xxx</w:t>
                        </w:r>
                        <w:r>
                          <w:rPr>
                            <w:rStyle w:val="zlddme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分数段【</w:t>
                        </w:r>
                        <w:r>
                          <w:rPr>
                            <w:rStyle w:val="zlddme"/>
                          </w:rPr>
                          <w:t>7</w:t>
                        </w:r>
                        <w:r>
                          <w:rPr>
                            <w:rStyle w:val="zlddme"/>
                          </w:rPr>
                          <w:t>0</w:t>
                        </w:r>
                        <w:r>
                          <w:rPr>
                            <w:rStyle w:val="zlddme"/>
                          </w:rPr>
                          <w:t>-</w:t>
                        </w:r>
                        <w:r>
                          <w:rPr>
                            <w:rStyle w:val="zlddme"/>
                          </w:rPr>
                          <w:t>8</w:t>
                        </w:r>
                        <w:r>
                          <w:rPr>
                            <w:rStyle w:val="zlddme"/>
                          </w:rPr>
                          <w:t>0</w:t>
                        </w:r>
                        <w:r>
                          <w:rPr>
                            <w:rStyle w:val="zlddme"/>
                          </w:rPr>
                          <w:t>分】：程度：一般；描述：</w:t>
                        </w:r>
                        <w:r>
                          <w:rPr>
                            <w:rStyle w:val="zlddme"/>
                          </w:rPr>
                          <w:t>学员xxx</w:t>
                        </w:r>
                        <w:r>
                          <w:rPr>
                            <w:rStyle w:val="zlddme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分数段【</w:t>
                        </w:r>
                        <w:r>
                          <w:rPr>
                            <w:rStyle w:val="zlddme"/>
                          </w:rPr>
                          <w:t>3</w:t>
                        </w:r>
                        <w:r>
                          <w:rPr>
                            <w:rStyle w:val="zlddme"/>
                          </w:rPr>
                          <w:t>8</w:t>
                        </w:r>
                        <w:r>
                          <w:rPr>
                            <w:rStyle w:val="zlddme"/>
                          </w:rPr>
                          <w:t>-</w:t>
                        </w:r>
                        <w:r>
                          <w:rPr>
                            <w:rStyle w:val="zlddme"/>
                          </w:rPr>
                          <w:t>6</w:t>
                        </w:r>
                        <w:r>
                          <w:rPr>
                            <w:rStyle w:val="zlddme"/>
                          </w:rPr>
                          <w:t>9分】：程度：较差；描述：</w:t>
                        </w:r>
                        <w:r>
                          <w:rPr>
                            <w:rStyle w:val="zlddme"/>
                          </w:rPr>
                          <w:t>学员xxx</w:t>
                        </w:r>
                        <w:r>
                          <w:rPr>
                            <w:rStyle w:val="zlddme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>分数段【0-</w:t>
                        </w:r>
                        <w:r>
                          <w:rPr>
                            <w:rStyle w:val="zlddme"/>
                          </w:rPr>
                          <w:t>3</w:t>
                        </w:r>
                        <w:r>
                          <w:rPr>
                            <w:rStyle w:val="zlddme"/>
                          </w:rPr>
                          <w:t>7</w:t>
                        </w:r>
                        <w:r>
                          <w:rPr>
                            <w:rStyle w:val="zlddme"/>
                          </w:rPr>
                          <w:t>分】：程度：非常差；描述：</w:t>
                        </w:r>
                        <w:r>
                          <w:rPr>
                            <w:rStyle w:val="zlddme"/>
                          </w:rPr>
                          <w:t>学员xxx</w:t>
                        </w:r>
                        <w:r>
                          <w:rPr>
                            <w:rStyle w:val="zlddme"/>
                          </w:rPr>
                          <w:t>；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3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推荐格式2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（说明计分要求）：</w:t>
      </w:r>
    </w:p>
    <w:p>
      <w:p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color w:val="000000"/>
          <w:sz w:val="22"/>
        </w:rPr>
        <w:drawing>
          <wp:inline distT="0" distB="0" distL="0" distR="0">
            <wp:extent cx="5760085" cy="5760085"/>
            <wp:effectExtent l="0" t="0" r="0" b="0"/>
            <wp:docPr id="4" name="文本框 jjl4v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仅考虑关键内容命中情况，</w:t>
                        </w:r>
                        <w:r>
                          <w:rPr>
                            <w:rStyle w:val="zlddme"/>
                          </w:rPr>
                          <w:t>根据命中关键内容的数量占全部关键内容数量的比例计算得分</w:t>
                        </w:r>
                        <w:r>
                          <w:rPr>
                            <w:rStyle w:val="zlddme"/>
                          </w:rPr>
                          <w:t>。评分范围0-100分。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>需完整准确的提及以下核心关键内容/对应指定数值。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autoSpaceDE w:val="false"/>
        <w:autoSpaceDN w:val="false"/>
        <w:spacing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color w:val="000000"/>
          <w:sz w:val="22"/>
        </w:rPr>
        <w:drawing>
          <wp:inline distT="0" distB="0" distL="0" distR="0">
            <wp:extent cx="5760085" cy="5760085"/>
            <wp:effectExtent l="0" t="0" r="0" b="0"/>
            <wp:docPr id="6" name="文本框 7di9s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>需完整准确的提及以下关键内容中</w:t>
                        </w:r>
                        <w:r>
                          <w:rPr>
                            <w:rStyle w:val="gxo25j"/>
                          </w:rPr>
                          <w:t>的</w:t>
                        </w:r>
                        <w:r>
                          <w:rPr>
                            <w:rStyle w:val="zlddme"/>
                          </w:rPr>
                          <w:t>任意一个，即得满分。评分范围0-100分。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3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注意事项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：分数段的 “下限” 与下一段的 “上限” 需相邻（如 92 与 91），不可重复（如避免 92与 92）。</w:t>
      </w:r>
    </w:p>
    <w:p>
      <w:pPr>
        <w:pStyle w:val="ablt93"/>
        <w:rPr>
          <w:rFonts w:ascii="微软雅黑" w:hAnsi="微软雅黑" w:eastAsia="微软雅黑" w:cs="微软雅黑"/>
          <w:b/>
          <w:color w:val="000000"/>
        </w:rPr>
      </w:pPr>
      <w:r>
        <w:rPr>
          <w:rFonts w:ascii="微软雅黑" w:hAnsi="微软雅黑" w:eastAsia="微软雅黑" w:cs="微软雅黑"/>
          <w:b/>
          <w:color w:val="000000"/>
        </w:rPr>
        <w:t>3. 关键内容（非必填，特定场景下必填）</w:t>
      </w:r>
    </w:p>
    <w:p>
      <w:pPr>
        <w:numPr>
          <w:ilvl w:val="0"/>
          <w:numId w:val="4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必填场景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：当评分需结合 “具体标准” 或 “固定信息” 对比时，必须填写，常见两类场景：</w:t>
      </w:r>
    </w:p>
    <w:p>
      <w:pPr>
        <w:numPr>
          <w:ilvl w:val="0"/>
          <w:numId w:val="5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需按标准匹配评分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：如 “客户适配性” 维度，需判断学员方案是否符合客户风险类型，可填写具体适配标准：</w:t>
      </w:r>
    </w:p>
    <w:p>
      <w:pPr>
        <w:pBdr>
          <w:bottom w:val="thick" w:sz="0"/>
        </w:pBdr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color w:val="000000"/>
          <w:sz w:val="20"/>
        </w:rPr>
        <w:drawing>
          <wp:inline distT="0" distB="0" distL="0" distR="0">
            <wp:extent cx="5760085" cy="5760085"/>
            <wp:effectExtent l="0" t="0" r="0" b="0"/>
            <wp:docPr id="8" name="文本框 swie7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## 客户适配标准：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- 稳如泰山型（稳健风险评级）：本金安全优先，权益类占比≤30%，固收类≥60%，现金类≤10%；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- 成长平衡型（成长风险评级）：收益风险平衡，权益类50-60%（行业集中度≤15%），固收类30-40%；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>- 积极优化型（进取风险评级）：核心卫星策略，70%稳健基+30%高弹性基，权益仓位保留80%。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autoSpaceDE w:val="false"/>
        <w:autoSpaceDN w:val="false"/>
        <w:snapToGrid w:val="false"/>
        <w:spacing w:before="120" w:after="120" w:line="493" w:lineRule="atLeast"/>
        <w:ind w:left="0"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2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、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需命中固定信息评分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：如考核 “关键数值 / 产品”，需学员提及特定内容，可填写：</w:t>
      </w:r>
    </w:p>
    <w:p>
      <w:pPr>
        <w:pBdr/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若需 “全部命中得满分”（关键内容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精准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 xml:space="preserve">命中）：填写必须提及的所有信息，如 </w:t>
      </w:r>
    </w:p>
    <w:p>
      <w:pPr>
        <w:spacing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color w:val="000000"/>
          <w:sz w:val="20"/>
        </w:rPr>
        <w:drawing>
          <wp:inline distT="0" distB="0" distL="0" distR="0">
            <wp:extent cx="5760085" cy="5760085"/>
            <wp:effectExtent l="0" t="0" r="0" b="0"/>
            <wp:docPr id="10" name="文本框 4i3e6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业绩比较基准 4.5%</w:t>
                        </w:r>
                        <w:r>
                          <w:rPr>
                            <w:rStyle w:val="kguj3x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利率 3.25%</w:t>
                        </w:r>
                        <w:r>
                          <w:rPr>
                            <w:rStyle w:val="kguj3x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>推荐产品 A</w:t>
                        </w:r>
                        <w:r>
                          <w:rPr>
                            <w:rStyle w:val="kguj3x"/>
                          </w:rPr>
                          <w:t>；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autoSpaceDE w:val="false"/>
        <w:autoSpaceDN w:val="false"/>
        <w:snapToGrid w:val="false"/>
        <w:spacing w:before="60" w:after="120" w:line="493" w:lineRule="atLeast"/>
        <w:ind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若需 “命中任意一项得满分”（关键内容任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一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 xml:space="preserve">命中）：填写可选提及的信息，如 </w:t>
      </w:r>
    </w:p>
    <w:p>
      <w:pPr>
        <w:spacing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>
          <w:rFonts w:ascii="微软雅黑" w:hAnsi="微软雅黑" w:eastAsia="微软雅黑" w:cs="微软雅黑"/>
          <w:color w:val="000000"/>
          <w:sz w:val="20"/>
        </w:rPr>
        <w:drawing>
          <wp:inline distT="0" distB="0" distL="0" distR="0">
            <wp:extent cx="5760085" cy="5760085"/>
            <wp:effectExtent l="0" t="0" r="0" b="0"/>
            <wp:docPr id="12" name="文本框 2tur7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推荐产品 A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 xml:space="preserve">推荐产品 </w:t>
                        </w:r>
                        <w:r>
                          <w:rPr>
                            <w:rStyle w:val="kguj3x"/>
                          </w:rPr>
                          <w:t>B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 xml:space="preserve">推荐产品 </w:t>
                        </w:r>
                        <w:r>
                          <w:rPr>
                            <w:rStyle w:val="kguj3x"/>
                          </w:rPr>
                          <w:t>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autoSpaceDE w:val="false"/>
        <w:autoSpaceDN w:val="false"/>
        <w:snapToGrid w:val="false"/>
        <w:spacing w:before="120" w:after="120" w:line="493" w:lineRule="atLeast"/>
        <w:ind/>
        <w:rPr>
          <w:b/>
        </w:rPr>
      </w:pPr>
      <w:r>
        <w:rPr/>
        <w:br w:type="textWrapping"/>
      </w:r>
      <w:r>
        <w:rPr>
          <w:b/>
        </w:rPr>
        <w:t>样例：</w:t>
      </w:r>
    </w:p>
    <w:p>
      <w:pPr>
        <w:numPr>
          <w:ilvl w:val="0"/>
          <w:numId w:val="6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b/>
        </w:rPr>
      </w:pPr>
      <w:r>
        <w:rPr>
          <w:b/>
        </w:rPr>
        <w:t>客户</w:t>
      </w:r>
      <w:r>
        <w:rPr>
          <w:b/>
        </w:rPr>
        <w:t>适配性</w:t>
      </w:r>
    </w:p>
    <w:p>
      <w:pPr>
        <w:pBdr/>
        <w:autoSpaceDE w:val="false"/>
        <w:autoSpaceDN w:val="false"/>
        <w:snapToGrid w:val="false"/>
        <w:spacing w:before="120" w:after="120" w:line="493" w:lineRule="atLeast"/>
        <w:ind w:left="336"/>
        <w:rPr>
          <w:b/>
        </w:rPr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vi2nf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评估内容：学员提供的方案核心要素（如产品类型、配置金额、期限设置等）与客户核心特征（如年龄、风险承受能力、风险偏好、资产规模、财务目标、现金流状况等）的匹配程度。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适配性高[90-100分]：方案与客户核心特征高度契合，无偏差；核心要素精准匹配需求与承受能力，</w:t>
                        </w:r>
                        <w:r>
                          <w:rPr>
                            <w:rStyle w:val="zlddme"/>
                          </w:rPr>
                          <w:t>全面覆盖短/中/长期财务目标</w:t>
                        </w:r>
                        <w:r>
                          <w:rPr>
                            <w:rStyle w:val="zlddme"/>
                          </w:rPr>
                          <w:t>；风险匹配度高，无执行障碍。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适配性较好[70-89分]：仅细节偏差（如配置金额略超、期限小幅不同步），不影响核心适配；核心要素基本匹配，无明显风险压力或执行障碍。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适配性较差[40-69分]：核心要素明显不匹配（如产品类型相悖、配置比例偏离）；核心财务目标部分未覆盖；与风险承受能力有冲突，存在局部逻辑矛盾。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适配性很差[0-39分]：方案与客户核心特征（风险偏好、核心目标）完全相悖；核心要素严重冲突（如高风险配保守型客户）；完全未覆盖核心目标，方案基本无效。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## 客户适配标准：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- 稳如泰山型（稳健风险评级）：本金安全优先，权益类占比≤30%，固收类≥60%，现金类≤10%；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- 成长平衡型（成长风险评级）：收益风险平衡，权益类50-60%（行业集中度≤15%），固收类30-40%；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>- 积极优化型（进取风险评级）：核心卫星策略，70%稳健基+30%高弹性基，权益仓位保留80%。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pBdr/>
        <w:autoSpaceDE w:val="false"/>
        <w:autoSpaceDN w:val="false"/>
        <w:snapToGrid w:val="false"/>
        <w:spacing w:before="120" w:after="120" w:line="493" w:lineRule="atLeast"/>
        <w:ind/>
        <w:rPr>
          <w:b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关键内容精准命中</w:t>
      </w:r>
    </w:p>
    <w:p>
      <w:pPr>
        <w:pBdr/>
        <w:autoSpaceDE w:val="false"/>
        <w:autoSpaceDN w:val="false"/>
        <w:snapToGrid w:val="false"/>
        <w:spacing w:before="120" w:after="120" w:line="493" w:lineRule="atLeast"/>
        <w:ind w:left="336"/>
        <w:rPr>
          <w:b/>
        </w:rPr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7d1nv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仅考虑关键内容命中情况，</w:t>
                        </w:r>
                        <w:r>
                          <w:rPr>
                            <w:rStyle w:val="zlddme"/>
                          </w:rPr>
                          <w:t>根据命中关键内容的数量占全部关键内容数量的比例计算得分</w:t>
                        </w:r>
                        <w:r>
                          <w:rPr>
                            <w:rStyle w:val="zlddme"/>
                          </w:rPr>
                          <w:t>。评分范围0-100分。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需完整准确的提及以下核心关键内容/对应指定数值。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Style w:val="57rz6f"/>
                          </w:rPr>
                          <w:t>X</w:t>
                        </w:r>
                        <w:r>
                          <w:rPr>
                            <w:rStyle w:val="57rz6f"/>
                          </w:rPr>
                          <w:t>产品</w:t>
                        </w:r>
                        <w:r>
                          <w:rPr>
                            <w:rStyle w:val="57rz6f"/>
                          </w:rPr>
                          <w:t>预计</w:t>
                        </w:r>
                        <w:r>
                          <w:rPr>
                            <w:rStyle w:val="57rz6f"/>
                          </w:rPr>
                          <w:t>发行</w:t>
                        </w:r>
                        <w:r>
                          <w:rPr>
                            <w:rStyle w:val="57rz6f"/>
                          </w:rPr>
                          <w:t>时间</w:t>
                        </w:r>
                        <w:r>
                          <w:rPr>
                            <w:rStyle w:val="57rz6f"/>
                          </w:rPr>
                          <w:t>为</w:t>
                        </w:r>
                        <w:r>
                          <w:rPr>
                            <w:rStyle w:val="57rz6f"/>
                          </w:rPr>
                          <w:t>2</w:t>
                        </w:r>
                        <w:r>
                          <w:rPr>
                            <w:rStyle w:val="57rz6f"/>
                          </w:rPr>
                          <w:t>0</w:t>
                        </w:r>
                        <w:r>
                          <w:rPr>
                            <w:rStyle w:val="57rz6f"/>
                          </w:rPr>
                          <w:t>2</w:t>
                        </w:r>
                        <w:r>
                          <w:rPr>
                            <w:rStyle w:val="57rz6f"/>
                          </w:rPr>
                          <w:t>5</w:t>
                        </w:r>
                        <w:r>
                          <w:rPr>
                            <w:rStyle w:val="57rz6f"/>
                          </w:rPr>
                          <w:t>年</w:t>
                        </w:r>
                        <w:r>
                          <w:rPr>
                            <w:rStyle w:val="57rz6f"/>
                          </w:rPr>
                          <w:t>1</w:t>
                        </w:r>
                        <w:r>
                          <w:rPr>
                            <w:rStyle w:val="57rz6f"/>
                          </w:rPr>
                          <w:t>0</w:t>
                        </w:r>
                        <w:r>
                          <w:rPr>
                            <w:rStyle w:val="57rz6f"/>
                          </w:rPr>
                          <w:t>月</w:t>
                        </w:r>
                        <w:r>
                          <w:rPr>
                            <w:rStyle w:val="57rz6f"/>
                          </w:rPr>
                          <w:t>2</w:t>
                        </w:r>
                        <w:r>
                          <w:rPr>
                            <w:rStyle w:val="57rz6f"/>
                          </w:rPr>
                          <w:t>0</w:t>
                        </w:r>
                        <w:r>
                          <w:rPr>
                            <w:rStyle w:val="57rz6f"/>
                          </w:rPr>
                          <w:t>日</w:t>
                        </w:r>
                        <w:r>
                          <w:rPr>
                            <w:rStyle w:val="57rz6f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57rz6f"/>
                          </w:rPr>
                          <w:t>x</w:t>
                        </w:r>
                        <w:r>
                          <w:rPr>
                            <w:rStyle w:val="57rz6f"/>
                          </w:rPr>
                          <w:t>产品</w:t>
                        </w:r>
                        <w:r>
                          <w:rPr>
                            <w:rStyle w:val="57rz6f"/>
                          </w:rPr>
                          <w:t>业绩</w:t>
                        </w:r>
                        <w:r>
                          <w:rPr>
                            <w:rStyle w:val="57rz6f"/>
                          </w:rPr>
                          <w:t>比较</w:t>
                        </w:r>
                        <w:r>
                          <w:rPr>
                            <w:rStyle w:val="57rz6f"/>
                          </w:rPr>
                          <w:t>基准</w:t>
                        </w:r>
                        <w:r>
                          <w:rPr>
                            <w:rStyle w:val="57rz6f"/>
                          </w:rPr>
                          <w:t>为</w:t>
                        </w:r>
                        <w:r>
                          <w:rPr>
                            <w:rStyle w:val="57rz6f"/>
                          </w:rPr>
                          <w:t>2</w:t>
                        </w:r>
                        <w:r>
                          <w:rPr>
                            <w:rStyle w:val="57rz6f"/>
                          </w:rPr>
                          <w:t>.</w:t>
                        </w:r>
                        <w:r>
                          <w:rPr>
                            <w:rStyle w:val="57rz6f"/>
                          </w:rPr>
                          <w:t>5</w:t>
                        </w:r>
                        <w:r>
                          <w:rPr>
                            <w:rStyle w:val="57rz6f"/>
                          </w:rPr>
                          <w:t>%</w:t>
                        </w:r>
                        <w:r>
                          <w:rPr>
                            <w:rStyle w:val="57rz6f"/>
                          </w:rPr>
                          <w:t>/</w:t>
                        </w:r>
                        <w:r>
                          <w:rPr>
                            <w:rStyle w:val="57rz6f"/>
                          </w:rPr>
                          <w:t>年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pBdr/>
        <w:autoSpaceDE w:val="false"/>
        <w:autoSpaceDN w:val="false"/>
        <w:snapToGrid w:val="false"/>
        <w:spacing w:before="120" w:after="120" w:line="493" w:lineRule="atLeast"/>
        <w:rPr>
          <w:b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关键内容任一命中</w:t>
      </w:r>
    </w:p>
    <w:p>
      <w:pPr>
        <w:pBdr>
          <w:bottom w:val="thick" w:sz="0"/>
        </w:pBdr>
        <w:autoSpaceDE w:val="false"/>
        <w:autoSpaceDN w:val="false"/>
        <w:snapToGrid w:val="false"/>
        <w:spacing w:before="120" w:after="120"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qw72c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仅评估学员在对话过程中，如有提到以下关键内容中</w:t>
                        </w:r>
                        <w:r>
                          <w:rPr>
                            <w:rStyle w:val="gxo25j"/>
                          </w:rPr>
                          <w:t>的</w:t>
                        </w:r>
                        <w:r>
                          <w:rPr>
                            <w:rStyle w:val="zlddme"/>
                          </w:rPr>
                          <w:t>任意一个，即得满分。评分范围0-100分。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华安新兴动力混合发起式 A</w:t>
                        </w:r>
                        <w:r>
                          <w:rPr>
                            <w:rStyle w:val="57rz6f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/>
                        </w:pPr>
                        <w:r>
                          <w:rPr>
                            <w:rStyle w:val="zlddme"/>
                          </w:rPr>
                          <w:t>西部利得创业板综合 ETF 联接 A</w:t>
                        </w:r>
                        <w:r>
                          <w:rPr>
                            <w:rStyle w:val="57rz6f"/>
                          </w:rPr>
                          <w:t>；</w:t>
                        </w:r>
                      </w:p>
                      <w:p>
                        <w:pPr>
                          <w:pStyle w:val="kj2h5b"/>
                          <w:rPr>
                            <w:rStyle w:val="zlddme"/>
                          </w:rPr>
                        </w:pPr>
                        <w:r>
                          <w:rPr>
                            <w:rStyle w:val="zlddme"/>
                          </w:rPr>
                          <w:t>中金中证全指指数增强 A</w:t>
                        </w:r>
                        <w:r>
                          <w:rPr>
                            <w:rStyle w:val="57rz6f"/>
                          </w:rPr>
                          <w:t>；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autoSpaceDE w:val="false"/>
        <w:autoSpaceDN w:val="false"/>
        <w:spacing w:line="493" w:lineRule="atLeast"/>
        <w:ind/>
        <w:rPr>
          <w:rFonts w:ascii="微软雅黑" w:hAnsi="微软雅黑" w:eastAsia="微软雅黑" w:cs="微软雅黑"/>
          <w:color w:val="000000"/>
          <w:sz w:val="20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ascii="微软雅黑" w:hAnsi="微软雅黑" w:eastAsia="微软雅黑" w:cs="微软雅黑"/>
        <w:b/>
        <w:i w:val="false"/>
        <w:strike w:val="false"/>
        <w:color w:val="000000"/>
        <w:spacing w:val="0"/>
        <w:kern w:val="2"/>
        <w:sz w:val="22"/>
        <w:szCs w:val="22"/>
        <w:u w:val="none"/>
        <w:shd w:val="clear" w:color="auto" w:fill="FFFFFF"/>
      </w:r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num w:numId="2">
    <w:abstractNumId w:val="3"/>
  </w:num>
  <w:num w:numId="1">
    <w:abstractNumId w:val="2"/>
  </w:num>
  <w:num w:numId="6">
    <w:abstractNumId w:val="4"/>
  </w:num>
  <w:num w:numId="5">
    <w:abstractNumId w:val="6"/>
  </w:num>
  <w:num w:numId="4">
    <w:abstractNumId w:val="5"/>
  </w:num>
  <w:num w:numId="3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yo7rqg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7il3w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0vny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ivgs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j2h5b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zlddme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fmomn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2025-10-31T16:28:52Z</dcterms:created>
  <dcterms:modified xsi:type="dcterms:W3CDTF">2025-10-31T16:28:52Z</dcterms:modified>
</cp:coreProperties>
</file>