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1F6BC">
      <w:pPr>
        <w:pStyle w:val="3"/>
        <w:ind w:firstLine="0" w:firstLineChars="0"/>
      </w:pPr>
    </w:p>
    <w:p w14:paraId="342344AB">
      <w:pPr>
        <w:pStyle w:val="3"/>
        <w:ind w:firstLine="0" w:firstLineChars="0"/>
      </w:pPr>
    </w:p>
    <w:p w14:paraId="480E1AB4">
      <w:pPr>
        <w:pStyle w:val="3"/>
        <w:spacing w:line="240" w:lineRule="auto"/>
        <w:ind w:firstLine="0" w:firstLineChars="0"/>
      </w:pPr>
      <w:r>
        <w:rPr>
          <w:rFonts w:hint="eastAsia"/>
        </w:rPr>
        <w:drawing>
          <wp:inline distT="0" distB="0" distL="0" distR="0">
            <wp:extent cx="3482975" cy="6318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p w14:paraId="60234946">
      <w:pPr>
        <w:pStyle w:val="3"/>
        <w:ind w:firstLine="0" w:firstLineChars="0"/>
      </w:pPr>
    </w:p>
    <w:p w14:paraId="44BEF31F">
      <w:pPr>
        <w:pStyle w:val="3"/>
        <w:ind w:firstLine="0" w:firstLineChars="0"/>
      </w:pPr>
    </w:p>
    <w:p w14:paraId="6C81CD4B">
      <w:pPr>
        <w:pStyle w:val="3"/>
        <w:ind w:firstLine="0" w:firstLineChars="0"/>
      </w:pPr>
    </w:p>
    <w:p w14:paraId="4AAD98B4">
      <w:pPr>
        <w:pStyle w:val="17"/>
      </w:pPr>
      <w:r>
        <w:t>本科毕业论文（设计）</w:t>
      </w:r>
    </w:p>
    <w:p w14:paraId="00C7FEF2"/>
    <w:p w14:paraId="138C3D51">
      <w:pPr>
        <w:pStyle w:val="17"/>
      </w:pPr>
      <w:r>
        <w:t>文献综述</w:t>
      </w:r>
    </w:p>
    <w:p w14:paraId="06191722"/>
    <w:p w14:paraId="0B993601"/>
    <w:p w14:paraId="0FB97A81">
      <w:pPr>
        <w:pStyle w:val="3"/>
        <w:ind w:firstLine="0" w:firstLineChars="0"/>
      </w:pPr>
    </w:p>
    <w:tbl>
      <w:tblPr>
        <w:tblStyle w:val="19"/>
        <w:tblW w:w="0" w:type="auto"/>
        <w:jc w:val="center"/>
        <w:tblLayout w:type="autofit"/>
        <w:tblCellMar>
          <w:top w:w="0" w:type="dxa"/>
          <w:left w:w="108" w:type="dxa"/>
          <w:bottom w:w="0" w:type="dxa"/>
          <w:right w:w="108" w:type="dxa"/>
        </w:tblCellMar>
      </w:tblPr>
      <w:tblGrid>
        <w:gridCol w:w="1838"/>
        <w:gridCol w:w="4536"/>
      </w:tblGrid>
      <w:tr w14:paraId="19B6AA0A">
        <w:tblPrEx>
          <w:tblCellMar>
            <w:top w:w="0" w:type="dxa"/>
            <w:left w:w="108" w:type="dxa"/>
            <w:bottom w:w="0" w:type="dxa"/>
            <w:right w:w="108" w:type="dxa"/>
          </w:tblCellMar>
        </w:tblPrEx>
        <w:trPr>
          <w:trHeight w:val="570" w:hRule="atLeast"/>
          <w:jc w:val="center"/>
        </w:trPr>
        <w:tc>
          <w:tcPr>
            <w:tcW w:w="1838" w:type="dxa"/>
            <w:vAlign w:val="bottom"/>
          </w:tcPr>
          <w:p w14:paraId="599D502F">
            <w:pPr>
              <w:jc w:val="distribute"/>
              <w:rPr>
                <w:rFonts w:ascii="楷体_GB2312" w:eastAsia="楷体_GB2312"/>
                <w:b/>
                <w:bCs/>
                <w:spacing w:val="-20"/>
                <w:sz w:val="30"/>
                <w:szCs w:val="30"/>
              </w:rPr>
            </w:pPr>
            <w:r>
              <w:rPr>
                <w:rFonts w:hint="eastAsia" w:ascii="楷体_GB2312" w:eastAsia="楷体_GB2312"/>
                <w:b/>
                <w:bCs/>
                <w:spacing w:val="-20"/>
                <w:sz w:val="30"/>
                <w:szCs w:val="30"/>
              </w:rPr>
              <w:t>学</w:t>
            </w:r>
            <w:r>
              <w:rPr>
                <w:rFonts w:ascii="楷体_GB2312" w:eastAsia="楷体_GB2312"/>
                <w:b/>
                <w:bCs/>
                <w:spacing w:val="-20"/>
                <w:sz w:val="30"/>
                <w:szCs w:val="30"/>
              </w:rPr>
              <w:t xml:space="preserve"> </w:t>
            </w:r>
            <w:r>
              <w:rPr>
                <w:rFonts w:hint="eastAsia" w:ascii="楷体_GB2312" w:eastAsia="楷体_GB2312"/>
                <w:b/>
                <w:bCs/>
                <w:spacing w:val="-20"/>
                <w:sz w:val="30"/>
                <w:szCs w:val="30"/>
              </w:rPr>
              <w:t>生</w:t>
            </w:r>
            <w:r>
              <w:rPr>
                <w:rFonts w:ascii="楷体_GB2312" w:eastAsia="楷体_GB2312"/>
                <w:b/>
                <w:bCs/>
                <w:spacing w:val="-20"/>
                <w:sz w:val="30"/>
                <w:szCs w:val="30"/>
              </w:rPr>
              <w:t xml:space="preserve"> </w:t>
            </w:r>
            <w:r>
              <w:rPr>
                <w:rFonts w:hint="eastAsia" w:ascii="楷体_GB2312" w:eastAsia="楷体_GB2312"/>
                <w:b/>
                <w:bCs/>
                <w:spacing w:val="-20"/>
                <w:sz w:val="30"/>
                <w:szCs w:val="30"/>
              </w:rPr>
              <w:t>姓</w:t>
            </w:r>
            <w:r>
              <w:rPr>
                <w:rFonts w:ascii="楷体_GB2312" w:eastAsia="楷体_GB2312"/>
                <w:b/>
                <w:bCs/>
                <w:spacing w:val="-20"/>
                <w:sz w:val="30"/>
                <w:szCs w:val="30"/>
              </w:rPr>
              <w:t xml:space="preserve"> </w:t>
            </w:r>
            <w:r>
              <w:rPr>
                <w:rFonts w:hint="eastAsia" w:ascii="楷体_GB2312" w:eastAsia="楷体_GB2312"/>
                <w:b/>
                <w:bCs/>
                <w:spacing w:val="-20"/>
                <w:sz w:val="30"/>
                <w:szCs w:val="30"/>
              </w:rPr>
              <w:t>名</w:t>
            </w:r>
          </w:p>
        </w:tc>
        <w:tc>
          <w:tcPr>
            <w:tcW w:w="4536" w:type="dxa"/>
            <w:tcBorders>
              <w:bottom w:val="single" w:color="auto" w:sz="12" w:space="0"/>
            </w:tcBorders>
            <w:vAlign w:val="center"/>
          </w:tcPr>
          <w:p w14:paraId="031A0ECE">
            <w:pPr>
              <w:jc w:val="center"/>
              <w:rPr>
                <w:rFonts w:eastAsia="楷体_GB2312"/>
                <w:b/>
                <w:bCs/>
                <w:spacing w:val="-20"/>
                <w:sz w:val="30"/>
                <w:szCs w:val="30"/>
              </w:rPr>
            </w:pPr>
            <w:r>
              <w:rPr>
                <w:rFonts w:hint="eastAsia" w:eastAsia="楷体_GB2312"/>
                <w:b/>
                <w:bCs/>
                <w:spacing w:val="-20"/>
                <w:sz w:val="30"/>
                <w:szCs w:val="30"/>
              </w:rPr>
              <w:t>罗俊杰</w:t>
            </w:r>
          </w:p>
        </w:tc>
      </w:tr>
      <w:tr w14:paraId="537AB21F">
        <w:tblPrEx>
          <w:tblCellMar>
            <w:top w:w="0" w:type="dxa"/>
            <w:left w:w="108" w:type="dxa"/>
            <w:bottom w:w="0" w:type="dxa"/>
            <w:right w:w="108" w:type="dxa"/>
          </w:tblCellMar>
        </w:tblPrEx>
        <w:trPr>
          <w:trHeight w:val="570" w:hRule="atLeast"/>
          <w:jc w:val="center"/>
        </w:trPr>
        <w:tc>
          <w:tcPr>
            <w:tcW w:w="1838" w:type="dxa"/>
            <w:vAlign w:val="bottom"/>
          </w:tcPr>
          <w:p w14:paraId="0FA5F3C4">
            <w:pPr>
              <w:jc w:val="distribute"/>
              <w:rPr>
                <w:rFonts w:ascii="楷体_GB2312" w:eastAsia="楷体_GB2312"/>
                <w:b/>
                <w:bCs/>
                <w:spacing w:val="-20"/>
                <w:sz w:val="30"/>
                <w:szCs w:val="30"/>
              </w:rPr>
            </w:pPr>
            <w:r>
              <w:rPr>
                <w:rFonts w:hint="eastAsia" w:ascii="楷体_GB2312" w:eastAsia="楷体_GB2312"/>
                <w:b/>
                <w:bCs/>
                <w:spacing w:val="-20"/>
                <w:sz w:val="30"/>
                <w:szCs w:val="30"/>
              </w:rPr>
              <w:t>学号</w:t>
            </w:r>
          </w:p>
        </w:tc>
        <w:tc>
          <w:tcPr>
            <w:tcW w:w="4536" w:type="dxa"/>
            <w:tcBorders>
              <w:top w:val="single" w:color="auto" w:sz="12" w:space="0"/>
              <w:bottom w:val="single" w:color="auto" w:sz="12" w:space="0"/>
            </w:tcBorders>
            <w:vAlign w:val="center"/>
          </w:tcPr>
          <w:p w14:paraId="6C855E2C">
            <w:pPr>
              <w:jc w:val="center"/>
              <w:rPr>
                <w:b/>
                <w:sz w:val="30"/>
                <w:szCs w:val="30"/>
              </w:rPr>
            </w:pPr>
            <w:r>
              <w:rPr>
                <w:rFonts w:hint="eastAsia"/>
                <w:b/>
                <w:sz w:val="30"/>
                <w:szCs w:val="30"/>
              </w:rPr>
              <w:t>2022081092</w:t>
            </w:r>
          </w:p>
        </w:tc>
      </w:tr>
      <w:tr w14:paraId="2746D5AD">
        <w:tblPrEx>
          <w:tblCellMar>
            <w:top w:w="0" w:type="dxa"/>
            <w:left w:w="108" w:type="dxa"/>
            <w:bottom w:w="0" w:type="dxa"/>
            <w:right w:w="108" w:type="dxa"/>
          </w:tblCellMar>
        </w:tblPrEx>
        <w:trPr>
          <w:trHeight w:val="570" w:hRule="atLeast"/>
          <w:jc w:val="center"/>
        </w:trPr>
        <w:tc>
          <w:tcPr>
            <w:tcW w:w="1838" w:type="dxa"/>
            <w:vAlign w:val="bottom"/>
          </w:tcPr>
          <w:p w14:paraId="25103E15">
            <w:pPr>
              <w:jc w:val="distribute"/>
              <w:rPr>
                <w:rFonts w:ascii="楷体_GB2312" w:eastAsia="楷体_GB2312"/>
                <w:b/>
                <w:bCs/>
                <w:spacing w:val="-20"/>
                <w:sz w:val="30"/>
                <w:szCs w:val="30"/>
              </w:rPr>
            </w:pPr>
            <w:r>
              <w:rPr>
                <w:rFonts w:hint="eastAsia" w:ascii="楷体_GB2312" w:eastAsia="楷体_GB2312"/>
                <w:b/>
                <w:bCs/>
                <w:spacing w:val="-20"/>
                <w:sz w:val="30"/>
                <w:szCs w:val="30"/>
              </w:rPr>
              <w:t>专业</w:t>
            </w:r>
          </w:p>
        </w:tc>
        <w:tc>
          <w:tcPr>
            <w:tcW w:w="4536" w:type="dxa"/>
            <w:tcBorders>
              <w:top w:val="single" w:color="auto" w:sz="12" w:space="0"/>
              <w:bottom w:val="single" w:color="auto" w:sz="12" w:space="0"/>
            </w:tcBorders>
            <w:vAlign w:val="center"/>
          </w:tcPr>
          <w:p w14:paraId="7B2A77E7">
            <w:pPr>
              <w:jc w:val="center"/>
              <w:rPr>
                <w:b/>
                <w:sz w:val="30"/>
                <w:szCs w:val="30"/>
              </w:rPr>
            </w:pPr>
            <w:r>
              <w:rPr>
                <w:rFonts w:hint="eastAsia" w:eastAsia="楷体_GB2312"/>
                <w:b/>
                <w:bCs/>
                <w:spacing w:val="-20"/>
                <w:sz w:val="30"/>
                <w:szCs w:val="30"/>
              </w:rPr>
              <w:t>软件工程</w:t>
            </w:r>
          </w:p>
        </w:tc>
      </w:tr>
      <w:tr w14:paraId="334CB1C5">
        <w:tblPrEx>
          <w:tblCellMar>
            <w:top w:w="0" w:type="dxa"/>
            <w:left w:w="108" w:type="dxa"/>
            <w:bottom w:w="0" w:type="dxa"/>
            <w:right w:w="108" w:type="dxa"/>
          </w:tblCellMar>
        </w:tblPrEx>
        <w:trPr>
          <w:trHeight w:val="570" w:hRule="atLeast"/>
          <w:jc w:val="center"/>
        </w:trPr>
        <w:tc>
          <w:tcPr>
            <w:tcW w:w="1838" w:type="dxa"/>
            <w:vAlign w:val="bottom"/>
          </w:tcPr>
          <w:p w14:paraId="638011F5">
            <w:pPr>
              <w:jc w:val="distribute"/>
              <w:rPr>
                <w:rFonts w:ascii="楷体_GB2312" w:eastAsia="楷体_GB2312"/>
                <w:b/>
                <w:bCs/>
                <w:spacing w:val="-20"/>
                <w:sz w:val="30"/>
                <w:szCs w:val="30"/>
              </w:rPr>
            </w:pPr>
            <w:r>
              <w:rPr>
                <w:rFonts w:hint="eastAsia" w:ascii="楷体_GB2312" w:eastAsia="楷体_GB2312"/>
                <w:b/>
                <w:bCs/>
                <w:spacing w:val="-20"/>
                <w:sz w:val="30"/>
                <w:szCs w:val="30"/>
              </w:rPr>
              <w:t>年级班级</w:t>
            </w:r>
          </w:p>
        </w:tc>
        <w:tc>
          <w:tcPr>
            <w:tcW w:w="4536" w:type="dxa"/>
            <w:tcBorders>
              <w:top w:val="single" w:color="auto" w:sz="12" w:space="0"/>
              <w:bottom w:val="single" w:color="auto" w:sz="12" w:space="0"/>
            </w:tcBorders>
            <w:vAlign w:val="center"/>
          </w:tcPr>
          <w:p w14:paraId="433DC21D">
            <w:pPr>
              <w:jc w:val="center"/>
              <w:rPr>
                <w:rFonts w:eastAsia="楷体_GB2312"/>
                <w:b/>
                <w:bCs/>
                <w:spacing w:val="-20"/>
                <w:sz w:val="30"/>
                <w:szCs w:val="30"/>
              </w:rPr>
            </w:pPr>
            <w:r>
              <w:rPr>
                <w:rFonts w:hint="eastAsia" w:eastAsia="楷体_GB2312"/>
                <w:b/>
                <w:bCs/>
                <w:spacing w:val="-20"/>
                <w:sz w:val="30"/>
                <w:szCs w:val="30"/>
              </w:rPr>
              <w:t>2022</w:t>
            </w:r>
            <w:r>
              <w:rPr>
                <w:rFonts w:eastAsia="楷体_GB2312"/>
                <w:b/>
                <w:bCs/>
                <w:spacing w:val="-20"/>
                <w:sz w:val="30"/>
                <w:szCs w:val="30"/>
              </w:rPr>
              <w:t>级</w:t>
            </w:r>
            <w:sdt>
              <w:sdtPr>
                <w:rPr>
                  <w:rFonts w:hint="eastAsia" w:eastAsia="楷体_GB2312"/>
                  <w:b/>
                  <w:bCs/>
                  <w:spacing w:val="-20"/>
                  <w:sz w:val="30"/>
                  <w:szCs w:val="30"/>
                </w:rPr>
                <w:alias w:val="班级"/>
                <w:tag w:val="班级"/>
                <w:id w:val="-621771704"/>
                <w:placeholder>
                  <w:docPart w:val="212A239D950F4C01B37958FEE11438FB"/>
                </w:placeholder>
                <w:dropDownList>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rPr>
                  <w:rFonts w:hint="eastAsia" w:eastAsia="楷体_GB2312"/>
                  <w:b/>
                  <w:bCs/>
                  <w:spacing w:val="-20"/>
                  <w:sz w:val="30"/>
                  <w:szCs w:val="30"/>
                </w:rPr>
              </w:sdtEndPr>
              <w:sdtContent>
                <w:r>
                  <w:rPr>
                    <w:rFonts w:hint="eastAsia" w:eastAsia="楷体_GB2312"/>
                    <w:b/>
                    <w:bCs/>
                    <w:spacing w:val="-20"/>
                    <w:sz w:val="30"/>
                    <w:szCs w:val="30"/>
                  </w:rPr>
                  <w:t>3</w:t>
                </w:r>
              </w:sdtContent>
            </w:sdt>
            <w:r>
              <w:rPr>
                <w:rFonts w:hint="eastAsia" w:eastAsia="楷体_GB2312"/>
                <w:b/>
                <w:bCs/>
                <w:spacing w:val="-20"/>
                <w:sz w:val="30"/>
                <w:szCs w:val="30"/>
              </w:rPr>
              <w:t>班</w:t>
            </w:r>
          </w:p>
        </w:tc>
      </w:tr>
      <w:tr w14:paraId="3DEE2813">
        <w:tblPrEx>
          <w:tblCellMar>
            <w:top w:w="0" w:type="dxa"/>
            <w:left w:w="108" w:type="dxa"/>
            <w:bottom w:w="0" w:type="dxa"/>
            <w:right w:w="108" w:type="dxa"/>
          </w:tblCellMar>
        </w:tblPrEx>
        <w:trPr>
          <w:trHeight w:val="570" w:hRule="atLeast"/>
          <w:jc w:val="center"/>
        </w:trPr>
        <w:tc>
          <w:tcPr>
            <w:tcW w:w="1838" w:type="dxa"/>
            <w:vAlign w:val="bottom"/>
          </w:tcPr>
          <w:p w14:paraId="204CA73D">
            <w:pPr>
              <w:jc w:val="distribute"/>
              <w:rPr>
                <w:rFonts w:ascii="楷体_GB2312" w:eastAsia="楷体_GB2312"/>
                <w:b/>
                <w:bCs/>
                <w:spacing w:val="-20"/>
                <w:sz w:val="30"/>
                <w:szCs w:val="30"/>
              </w:rPr>
            </w:pPr>
            <w:r>
              <w:rPr>
                <w:rFonts w:hint="eastAsia" w:ascii="楷体_GB2312" w:eastAsia="楷体_GB2312"/>
                <w:b/>
                <w:bCs/>
                <w:spacing w:val="-20"/>
                <w:sz w:val="30"/>
                <w:szCs w:val="30"/>
              </w:rPr>
              <w:t>指导教师</w:t>
            </w:r>
          </w:p>
        </w:tc>
        <w:tc>
          <w:tcPr>
            <w:tcW w:w="4536" w:type="dxa"/>
            <w:tcBorders>
              <w:top w:val="single" w:color="auto" w:sz="12" w:space="0"/>
              <w:bottom w:val="single" w:color="auto" w:sz="12" w:space="0"/>
            </w:tcBorders>
            <w:vAlign w:val="center"/>
          </w:tcPr>
          <w:p w14:paraId="37B88C61">
            <w:pPr>
              <w:jc w:val="center"/>
              <w:rPr>
                <w:rFonts w:eastAsia="楷体_GB2312"/>
                <w:b/>
                <w:bCs/>
                <w:spacing w:val="-20"/>
                <w:sz w:val="30"/>
                <w:szCs w:val="30"/>
              </w:rPr>
            </w:pPr>
            <w:r>
              <w:rPr>
                <w:rFonts w:hint="eastAsia" w:eastAsia="楷体_GB2312"/>
                <w:b/>
                <w:bCs/>
                <w:spacing w:val="-20"/>
                <w:sz w:val="30"/>
                <w:szCs w:val="30"/>
              </w:rPr>
              <w:t>刘孙俊（</w:t>
            </w:r>
            <w:sdt>
              <w:sdtPr>
                <w:rPr>
                  <w:rFonts w:hint="eastAsia" w:eastAsia="楷体_GB2312"/>
                  <w:b/>
                  <w:bCs/>
                  <w:spacing w:val="-20"/>
                  <w:sz w:val="30"/>
                  <w:szCs w:val="30"/>
                </w:rPr>
                <w:alias w:val="职称"/>
                <w:tag w:val="职称"/>
                <w:id w:val="1654561631"/>
                <w:placeholder>
                  <w:docPart w:val="3A33DA4561D742FEAB76D8AE7AE66F6A"/>
                </w:placeholder>
                <w:dropDownList>
                  <w:listItem w:displayText="讲师" w:value="讲师"/>
                  <w:listItem w:displayText="副教授" w:value="副教授"/>
                  <w:listItem w:displayText="教授" w:value="教授"/>
                  <w:listItem w:displayText="助教" w:value="助教"/>
                </w:dropDownList>
              </w:sdtPr>
              <w:sdtEndPr>
                <w:rPr>
                  <w:rFonts w:hint="eastAsia" w:eastAsia="楷体_GB2312"/>
                  <w:b/>
                  <w:bCs/>
                  <w:spacing w:val="-20"/>
                  <w:sz w:val="30"/>
                  <w:szCs w:val="30"/>
                </w:rPr>
              </w:sdtEndPr>
              <w:sdtContent>
                <w:r>
                  <w:rPr>
                    <w:rFonts w:hint="eastAsia" w:eastAsia="楷体_GB2312"/>
                    <w:b/>
                    <w:bCs/>
                    <w:spacing w:val="-20"/>
                    <w:sz w:val="30"/>
                    <w:szCs w:val="30"/>
                  </w:rPr>
                  <w:t>副教授</w:t>
                </w:r>
              </w:sdtContent>
            </w:sdt>
            <w:r>
              <w:rPr>
                <w:rFonts w:hint="eastAsia" w:eastAsia="楷体_GB2312"/>
                <w:b/>
                <w:bCs/>
                <w:spacing w:val="-20"/>
                <w:sz w:val="30"/>
                <w:szCs w:val="30"/>
              </w:rPr>
              <w:t>）</w:t>
            </w:r>
          </w:p>
        </w:tc>
      </w:tr>
      <w:tr w14:paraId="2613E8E5">
        <w:tblPrEx>
          <w:tblCellMar>
            <w:top w:w="0" w:type="dxa"/>
            <w:left w:w="108" w:type="dxa"/>
            <w:bottom w:w="0" w:type="dxa"/>
            <w:right w:w="108" w:type="dxa"/>
          </w:tblCellMar>
        </w:tblPrEx>
        <w:trPr>
          <w:trHeight w:val="570" w:hRule="atLeast"/>
          <w:jc w:val="center"/>
        </w:trPr>
        <w:tc>
          <w:tcPr>
            <w:tcW w:w="1838" w:type="dxa"/>
            <w:vAlign w:val="bottom"/>
          </w:tcPr>
          <w:p w14:paraId="74843BA3">
            <w:pPr>
              <w:jc w:val="distribute"/>
              <w:rPr>
                <w:rFonts w:ascii="楷体_GB2312" w:eastAsia="楷体_GB2312"/>
                <w:b/>
                <w:bCs/>
                <w:spacing w:val="-20"/>
                <w:sz w:val="30"/>
                <w:szCs w:val="30"/>
              </w:rPr>
            </w:pPr>
            <w:r>
              <w:rPr>
                <w:rFonts w:hint="eastAsia" w:ascii="楷体_GB2312" w:eastAsia="楷体_GB2312"/>
                <w:b/>
                <w:bCs/>
                <w:spacing w:val="-20"/>
                <w:sz w:val="30"/>
                <w:szCs w:val="30"/>
              </w:rPr>
              <w:t>所在学院</w:t>
            </w:r>
          </w:p>
        </w:tc>
        <w:tc>
          <w:tcPr>
            <w:tcW w:w="4536" w:type="dxa"/>
            <w:tcBorders>
              <w:top w:val="single" w:color="auto" w:sz="12" w:space="0"/>
              <w:bottom w:val="single" w:color="auto" w:sz="12" w:space="0"/>
            </w:tcBorders>
            <w:vAlign w:val="center"/>
          </w:tcPr>
          <w:p w14:paraId="0FF0DB26">
            <w:pPr>
              <w:jc w:val="center"/>
              <w:rPr>
                <w:rFonts w:eastAsia="楷体_GB2312"/>
                <w:b/>
                <w:bCs/>
                <w:color w:val="70AD47" w:themeColor="accent6"/>
                <w:spacing w:val="-20"/>
                <w:sz w:val="30"/>
                <w:szCs w:val="30"/>
                <w14:textFill>
                  <w14:solidFill>
                    <w14:schemeClr w14:val="accent6"/>
                  </w14:solidFill>
                </w14:textFill>
              </w:rPr>
            </w:pPr>
            <w:r>
              <w:rPr>
                <w:rFonts w:hint="eastAsia" w:eastAsia="楷体_GB2312"/>
                <w:b/>
                <w:bCs/>
                <w:spacing w:val="-20"/>
                <w:sz w:val="30"/>
                <w:szCs w:val="30"/>
              </w:rPr>
              <w:t>软件工程学院</w:t>
            </w:r>
          </w:p>
        </w:tc>
      </w:tr>
      <w:tr w14:paraId="6D71A22F">
        <w:tblPrEx>
          <w:tblCellMar>
            <w:top w:w="0" w:type="dxa"/>
            <w:left w:w="108" w:type="dxa"/>
            <w:bottom w:w="0" w:type="dxa"/>
            <w:right w:w="108" w:type="dxa"/>
          </w:tblCellMar>
        </w:tblPrEx>
        <w:trPr>
          <w:trHeight w:val="570" w:hRule="atLeast"/>
          <w:jc w:val="center"/>
        </w:trPr>
        <w:tc>
          <w:tcPr>
            <w:tcW w:w="1838" w:type="dxa"/>
            <w:vAlign w:val="bottom"/>
          </w:tcPr>
          <w:p w14:paraId="64DA537C">
            <w:pPr>
              <w:jc w:val="distribute"/>
              <w:rPr>
                <w:rFonts w:ascii="楷体_GB2312" w:eastAsia="楷体_GB2312"/>
                <w:b/>
                <w:bCs/>
                <w:sz w:val="30"/>
              </w:rPr>
            </w:pPr>
            <w:r>
              <w:rPr>
                <w:rFonts w:hint="eastAsia" w:ascii="楷体_GB2312" w:eastAsia="楷体_GB2312"/>
                <w:b/>
                <w:bCs/>
                <w:spacing w:val="-20"/>
                <w:sz w:val="30"/>
                <w:szCs w:val="30"/>
              </w:rPr>
              <w:t>提交日期</w:t>
            </w:r>
          </w:p>
        </w:tc>
        <w:tc>
          <w:tcPr>
            <w:tcW w:w="4536" w:type="dxa"/>
            <w:tcBorders>
              <w:top w:val="single" w:color="auto" w:sz="12" w:space="0"/>
              <w:bottom w:val="single" w:color="auto" w:sz="12" w:space="0"/>
            </w:tcBorders>
            <w:vAlign w:val="center"/>
          </w:tcPr>
          <w:p w14:paraId="26C1A207">
            <w:pPr>
              <w:jc w:val="center"/>
              <w:rPr>
                <w:rFonts w:eastAsia="楷体_GB2312"/>
                <w:b/>
                <w:bCs/>
                <w:color w:val="70AD47" w:themeColor="accent6"/>
                <w:spacing w:val="-20"/>
                <w:sz w:val="30"/>
                <w:szCs w:val="30"/>
                <w14:textFill>
                  <w14:solidFill>
                    <w14:schemeClr w14:val="accent6"/>
                  </w14:solidFill>
                </w14:textFill>
              </w:rPr>
            </w:pPr>
            <w:sdt>
              <w:sdtPr>
                <w:rPr>
                  <w:rFonts w:hint="eastAsia" w:eastAsia="楷体_GB2312"/>
                  <w:b/>
                  <w:bCs/>
                  <w:spacing w:val="-20"/>
                  <w:sz w:val="30"/>
                  <w:szCs w:val="30"/>
                </w:rPr>
                <w:alias w:val="提交日期"/>
                <w:tag w:val="提交日期"/>
                <w:id w:val="125893517"/>
                <w:placeholder>
                  <w:docPart w:val="9387B2BBE9AD437D912987D85852CE65"/>
                </w:placeholder>
                <w:date w:fullDate="2025-12-27T00:00:00Z">
                  <w:dateFormat w:val="yyyy年M月d日"/>
                  <w:lid w:val="zh-CN"/>
                  <w:storeMappedDataAs w:val="datetime"/>
                  <w:calendar w:val="gregorian"/>
                </w:date>
              </w:sdtPr>
              <w:sdtEndPr>
                <w:rPr>
                  <w:rFonts w:hint="eastAsia" w:eastAsia="楷体_GB2312"/>
                  <w:b/>
                  <w:bCs/>
                  <w:spacing w:val="-20"/>
                  <w:sz w:val="30"/>
                  <w:szCs w:val="30"/>
                </w:rPr>
              </w:sdtEndPr>
              <w:sdtContent>
                <w:r>
                  <w:rPr>
                    <w:rFonts w:hint="eastAsia" w:eastAsia="楷体_GB2312"/>
                    <w:b/>
                    <w:bCs/>
                    <w:spacing w:val="-20"/>
                    <w:sz w:val="30"/>
                    <w:szCs w:val="30"/>
                  </w:rPr>
                  <w:t>2025年12月27日</w:t>
                </w:r>
              </w:sdtContent>
            </w:sdt>
          </w:p>
        </w:tc>
      </w:tr>
    </w:tbl>
    <w:p w14:paraId="3B67D564">
      <w:pPr>
        <w:jc w:val="center"/>
        <w:rPr>
          <w:rFonts w:hint="eastAsia" w:hAnsi="华文中宋" w:eastAsia="华文中宋"/>
          <w:sz w:val="30"/>
          <w:szCs w:val="30"/>
        </w:rPr>
      </w:pPr>
    </w:p>
    <w:p w14:paraId="197241F6">
      <w:pPr>
        <w:jc w:val="center"/>
        <w:rPr>
          <w:rFonts w:eastAsia="华文中宋"/>
          <w:sz w:val="30"/>
          <w:szCs w:val="30"/>
        </w:rPr>
      </w:pPr>
      <w:r>
        <w:rPr>
          <w:rFonts w:hAnsi="华文中宋" w:eastAsia="华文中宋"/>
          <w:sz w:val="30"/>
          <w:szCs w:val="30"/>
        </w:rPr>
        <w:t>20</w:t>
      </w:r>
      <w:r>
        <w:rPr>
          <w:rFonts w:hint="eastAsia" w:hAnsi="华文中宋" w:eastAsia="华文中宋"/>
          <w:sz w:val="30"/>
          <w:szCs w:val="30"/>
        </w:rPr>
        <w:t>25</w:t>
      </w:r>
      <w:r>
        <w:rPr>
          <w:rFonts w:hAnsi="华文中宋" w:eastAsia="华文中宋"/>
          <w:sz w:val="30"/>
          <w:szCs w:val="30"/>
        </w:rPr>
        <w:t xml:space="preserve"> 年</w:t>
      </w:r>
      <w:r>
        <w:rPr>
          <w:rFonts w:hint="eastAsia" w:hAnsi="华文中宋" w:eastAsia="华文中宋"/>
          <w:sz w:val="30"/>
          <w:szCs w:val="30"/>
        </w:rPr>
        <w:t>12</w:t>
      </w:r>
      <w:r>
        <w:rPr>
          <w:rFonts w:hAnsi="华文中宋" w:eastAsia="华文中宋"/>
          <w:sz w:val="30"/>
          <w:szCs w:val="30"/>
        </w:rPr>
        <w:t>月</w:t>
      </w:r>
    </w:p>
    <w:p w14:paraId="4F592BAB">
      <w:pPr>
        <w:pStyle w:val="3"/>
        <w:ind w:firstLine="0" w:firstLineChars="0"/>
        <w:jc w:val="center"/>
      </w:pPr>
      <w:r>
        <w:rPr>
          <w:rFonts w:hAnsi="华文中宋" w:eastAsia="华文中宋"/>
          <w:sz w:val="30"/>
          <w:szCs w:val="30"/>
        </w:rPr>
        <w:t>成都信息工程</w:t>
      </w:r>
      <w:r>
        <w:rPr>
          <w:rFonts w:hint="eastAsia" w:hAnsi="华文中宋" w:eastAsia="华文中宋"/>
          <w:sz w:val="30"/>
          <w:szCs w:val="30"/>
        </w:rPr>
        <w:t>大学 软件工程学</w:t>
      </w:r>
      <w:r>
        <w:rPr>
          <w:rFonts w:hAnsi="华文中宋" w:eastAsia="华文中宋"/>
          <w:sz w:val="30"/>
          <w:szCs w:val="30"/>
        </w:rPr>
        <w:t>院</w:t>
      </w:r>
    </w:p>
    <w:p w14:paraId="2AED2CE5">
      <w:pPr>
        <w:pStyle w:val="3"/>
        <w:ind w:firstLine="0" w:firstLineChars="0"/>
        <w:sectPr>
          <w:headerReference r:id="rId5" w:type="default"/>
          <w:footerReference r:id="rId6" w:type="default"/>
          <w:pgSz w:w="11906" w:h="16838"/>
          <w:pgMar w:top="1440" w:right="1797" w:bottom="1440" w:left="1797" w:header="851" w:footer="992" w:gutter="0"/>
          <w:cols w:space="425" w:num="1"/>
          <w:titlePg/>
          <w:docGrid w:type="lines" w:linePitch="312" w:charSpace="0"/>
        </w:sectPr>
      </w:pPr>
    </w:p>
    <w:p w14:paraId="67E004A3">
      <w:pPr>
        <w:pStyle w:val="16"/>
      </w:pPr>
      <w:r>
        <w:rPr>
          <w:rFonts w:hint="eastAsia"/>
        </w:rPr>
        <w:t>基于Web的助农产品销售系统设计与实现文献综述</w:t>
      </w:r>
    </w:p>
    <w:p w14:paraId="181ECAF1">
      <w:pPr>
        <w:pStyle w:val="2"/>
        <w:spacing w:before="312"/>
      </w:pPr>
      <w:r>
        <w:rPr>
          <w:rFonts w:hint="eastAsia"/>
        </w:rPr>
        <w:t>基本概念的概述</w:t>
      </w:r>
    </w:p>
    <w:p w14:paraId="705C3E57">
      <w:pPr>
        <w:pStyle w:val="4"/>
      </w:pPr>
      <w:r>
        <w:rPr>
          <w:rFonts w:hint="eastAsia"/>
        </w:rPr>
        <w:t>“互联网+农业”与电商扶贫</w:t>
      </w:r>
    </w:p>
    <w:p w14:paraId="1DD071B0">
      <w:pPr>
        <w:pStyle w:val="3"/>
        <w:ind w:firstLine="480"/>
      </w:pPr>
      <w:r>
        <w:rPr>
          <w:rFonts w:hint="eastAsia"/>
        </w:rPr>
        <w:t>当前，行业对于“互联网+农业”的定义虽各有侧重，但核心共识在于利用现代信息技术对于农业产业链进行全方位的升级和改造。电商扶贫作为国家精准扶贫战略的重要组成部分，其本质是通过</w:t>
      </w:r>
      <w:r>
        <w:rPr>
          <w:rFonts w:cs="Times New Roman"/>
        </w:rPr>
        <w:t>Web</w:t>
      </w:r>
      <w:r>
        <w:rPr>
          <w:rFonts w:hint="eastAsia"/>
        </w:rPr>
        <w:t>服务打破地理隔阂，将贫困地区的农特产品直接对接广阔的市场需求。这种基于互联网的规模经济范式，消除了农户在市场推广、物流对接方面的技术壁垒，使得偏远地区的农产品能够以低成本、高效率的方式实现价值转化。</w:t>
      </w:r>
    </w:p>
    <w:p w14:paraId="60A63DEF">
      <w:pPr>
        <w:pStyle w:val="3"/>
        <w:ind w:firstLine="480"/>
      </w:pPr>
      <w:r>
        <w:rPr>
          <w:rFonts w:hint="eastAsia"/>
        </w:rPr>
        <w:t>在乡村振兴战略背景下，数字乡村建设已经成为推动中国农业农村现代化的重要途经。政策文件持续强调信息技术与农业农村的深度融合。《数字乡村发展行动计划</w:t>
      </w:r>
      <w:r>
        <w:rPr>
          <w:rFonts w:cs="Times New Roman"/>
        </w:rPr>
        <w:t>（2022—202</w:t>
      </w:r>
      <w:r>
        <w:rPr>
          <w:rFonts w:hint="eastAsia" w:cs="Times New Roman"/>
        </w:rPr>
        <w:t>5年）</w:t>
      </w:r>
      <w:r>
        <w:rPr>
          <w:rFonts w:hint="eastAsia"/>
        </w:rPr>
        <w:t>》明确提出，要“深化农产品电商发展”，深入推进“互联网+”农产品出村进城工程</w:t>
      </w:r>
      <w:r>
        <w:rPr>
          <w:rFonts w:hint="eastAsia"/>
          <w:vertAlign w:val="superscript"/>
        </w:rPr>
        <w:fldChar w:fldCharType="begin"/>
      </w:r>
      <w:r>
        <w:rPr>
          <w:rFonts w:hint="eastAsia"/>
          <w:vertAlign w:val="superscript"/>
        </w:rPr>
        <w:instrText xml:space="preserve"> REF _Ref10088 \r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乡村振兴战略是我国解决“三农”问题、实现城乡结合发展的核心举措，而“互联网+农业”与电商扶贫作为数字经济与乡村发展深度融合的关键路径，已成为推动农业升级、拓宽农产品流通渠道、促进农民增收的重要支撑</w:t>
      </w:r>
      <w:r>
        <w:rPr>
          <w:rFonts w:hint="eastAsia"/>
          <w:vertAlign w:val="superscript"/>
        </w:rPr>
        <w:fldChar w:fldCharType="begin"/>
      </w:r>
      <w:r>
        <w:rPr>
          <w:rFonts w:hint="eastAsia"/>
          <w:vertAlign w:val="superscript"/>
        </w:rPr>
        <w:instrText xml:space="preserve"> REF _Ref10209 \r \h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w:t>
      </w:r>
    </w:p>
    <w:p w14:paraId="64A2E139">
      <w:pPr>
        <w:pStyle w:val="4"/>
      </w:pPr>
      <w:r>
        <w:rPr>
          <w:rFonts w:hint="eastAsia"/>
        </w:rPr>
        <w:t>Vue框架</w:t>
      </w:r>
    </w:p>
    <w:p w14:paraId="57A73B05">
      <w:pPr>
        <w:widowControl/>
        <w:ind w:firstLine="480" w:firstLineChars="200"/>
        <w:jc w:val="left"/>
        <w:rPr>
          <w:rFonts w:cs="Times New Roman"/>
          <w:sz w:val="24"/>
          <w:szCs w:val="24"/>
        </w:rPr>
      </w:pPr>
      <w:r>
        <w:rPr>
          <w:rFonts w:cs="Times New Roman"/>
          <w:sz w:val="24"/>
          <w:szCs w:val="24"/>
        </w:rPr>
        <w:t>随着Web技术的演进，传统的单体架构正逐步被前后端分离架构取代。这种架构变革不仅是开发模式的转变，更是为了应对现代互联网应用对多端适配、高响应速度及复杂业务逻辑的需求</w:t>
      </w:r>
      <w:r>
        <w:rPr>
          <w:rFonts w:cs="Times New Roman"/>
          <w:sz w:val="24"/>
          <w:szCs w:val="24"/>
          <w:vertAlign w:val="superscript"/>
        </w:rPr>
        <w:fldChar w:fldCharType="begin"/>
      </w:r>
      <w:r>
        <w:rPr>
          <w:rFonts w:cs="Times New Roman"/>
          <w:sz w:val="24"/>
          <w:szCs w:val="24"/>
          <w:vertAlign w:val="superscript"/>
        </w:rPr>
        <w:instrText xml:space="preserve"> REF _Ref10542 \r \h </w:instrText>
      </w:r>
      <w:r>
        <w:rPr>
          <w:rFonts w:cs="Times New Roman"/>
          <w:sz w:val="24"/>
          <w:szCs w:val="24"/>
          <w:vertAlign w:val="superscript"/>
        </w:rPr>
        <w:fldChar w:fldCharType="separate"/>
      </w:r>
      <w:r>
        <w:rPr>
          <w:rFonts w:cs="Times New Roman"/>
          <w:sz w:val="24"/>
          <w:szCs w:val="24"/>
          <w:vertAlign w:val="superscript"/>
        </w:rPr>
        <w:t>[3]</w:t>
      </w:r>
      <w:r>
        <w:rPr>
          <w:rFonts w:cs="Times New Roman"/>
          <w:sz w:val="24"/>
          <w:szCs w:val="24"/>
          <w:vertAlign w:val="superscript"/>
        </w:rPr>
        <w:fldChar w:fldCharType="end"/>
      </w:r>
      <w:r>
        <w:rPr>
          <w:rFonts w:cs="Times New Roman"/>
          <w:sz w:val="24"/>
          <w:szCs w:val="24"/>
        </w:rPr>
        <w:t>。</w:t>
      </w:r>
    </w:p>
    <w:p w14:paraId="45901D8F">
      <w:pPr>
        <w:widowControl/>
        <w:ind w:firstLine="480" w:firstLineChars="200"/>
        <w:jc w:val="left"/>
        <w:rPr>
          <w:rFonts w:cs="Times New Roman"/>
          <w:sz w:val="24"/>
          <w:szCs w:val="24"/>
        </w:rPr>
      </w:pPr>
      <w:r>
        <w:rPr>
          <w:rFonts w:cs="Times New Roman"/>
          <w:sz w:val="24"/>
          <w:szCs w:val="24"/>
        </w:rPr>
        <w:t>Vue.js作为前后端分离架构下的主流渐进式前端框架，凭借四大核心特性适配助农电商场景需求。其基于MVVM架构，实现数据层、视图层与业务逻辑层解耦，通过ViewModel自动同步数据与视图，商品库存、价格等变动无需手动操作DOM即可实时更新，保障信息准确性</w:t>
      </w:r>
      <w:r>
        <w:rPr>
          <w:rFonts w:cs="Times New Roman"/>
          <w:sz w:val="24"/>
          <w:szCs w:val="24"/>
          <w:vertAlign w:val="superscript"/>
        </w:rPr>
        <w:fldChar w:fldCharType="begin"/>
      </w:r>
      <w:r>
        <w:rPr>
          <w:rFonts w:cs="Times New Roman"/>
          <w:sz w:val="24"/>
          <w:szCs w:val="24"/>
          <w:vertAlign w:val="superscript"/>
        </w:rPr>
        <w:instrText xml:space="preserve"> REF _Ref10875 \r \h </w:instrText>
      </w:r>
      <w:r>
        <w:rPr>
          <w:rFonts w:cs="Times New Roman"/>
          <w:sz w:val="24"/>
          <w:szCs w:val="24"/>
          <w:vertAlign w:val="superscript"/>
        </w:rPr>
        <w:fldChar w:fldCharType="separate"/>
      </w:r>
      <w:r>
        <w:rPr>
          <w:rFonts w:cs="Times New Roman"/>
          <w:sz w:val="24"/>
          <w:szCs w:val="24"/>
          <w:vertAlign w:val="superscript"/>
        </w:rPr>
        <w:t>[4]</w:t>
      </w:r>
      <w:r>
        <w:rPr>
          <w:rFonts w:cs="Times New Roman"/>
          <w:sz w:val="24"/>
          <w:szCs w:val="24"/>
          <w:vertAlign w:val="superscript"/>
        </w:rPr>
        <w:fldChar w:fldCharType="end"/>
      </w:r>
      <w:r>
        <w:rPr>
          <w:rFonts w:cs="Times New Roman"/>
          <w:sz w:val="24"/>
          <w:szCs w:val="24"/>
        </w:rPr>
        <w:t>。响应式系统依托观察者模式，通过Object.defineProperty监听数据变化，搭配虚拟DOM的diff算法，仅更新差异部分，大幅降低渲染消耗，适配农村弱网环境下的商品列表展示、分类筛选等核心场景。组件化开发可拆分复杂业务为独立复用组件，商品卡片、订单表单等通用模块封装后可灵活复用，配合Element-ui等成熟组件库，降低开发成本并便于团队协作维护。框架核心库轻量无强制依赖，支持按需扩展，兼容除IE8及以下外的主流浏览器与各类移动终端，有效解决助农电商多终端适配痛点，为弱网环境、多样化设备场景下的电商应用提供高效、稳定的技术支撑</w:t>
      </w:r>
      <w:r>
        <w:rPr>
          <w:rFonts w:cs="Times New Roman"/>
          <w:sz w:val="24"/>
          <w:szCs w:val="24"/>
          <w:vertAlign w:val="superscript"/>
        </w:rPr>
        <w:fldChar w:fldCharType="begin"/>
      </w:r>
      <w:r>
        <w:rPr>
          <w:rFonts w:cs="Times New Roman"/>
          <w:sz w:val="24"/>
          <w:szCs w:val="24"/>
          <w:vertAlign w:val="superscript"/>
        </w:rPr>
        <w:instrText xml:space="preserve"> REF _Ref10950 \r \h</w:instrText>
      </w:r>
      <w:r>
        <w:rPr>
          <w:rFonts w:hint="eastAsia" w:cs="Times New Roman"/>
          <w:sz w:val="24"/>
          <w:szCs w:val="24"/>
          <w:vertAlign w:val="superscript"/>
        </w:rPr>
        <w:instrText xml:space="preserve">\#"[0" </w:instrText>
      </w:r>
      <w:r>
        <w:rPr>
          <w:rFonts w:cs="Times New Roman"/>
          <w:sz w:val="24"/>
          <w:szCs w:val="24"/>
          <w:vertAlign w:val="superscript"/>
        </w:rPr>
        <w:instrText xml:space="preserve"> \* MERGEFORMAT </w:instrText>
      </w:r>
      <w:r>
        <w:rPr>
          <w:rFonts w:cs="Times New Roman"/>
          <w:sz w:val="24"/>
          <w:szCs w:val="24"/>
          <w:vertAlign w:val="superscript"/>
        </w:rPr>
        <w:fldChar w:fldCharType="separate"/>
      </w:r>
      <w:r>
        <w:rPr>
          <w:rFonts w:hint="eastAsia" w:cs="Times New Roman"/>
          <w:sz w:val="24"/>
          <w:szCs w:val="24"/>
          <w:vertAlign w:val="superscript"/>
        </w:rPr>
        <w:t>[</w:t>
      </w:r>
      <w:r>
        <w:rPr>
          <w:rFonts w:cs="Times New Roman"/>
          <w:sz w:val="24"/>
          <w:szCs w:val="24"/>
          <w:vertAlign w:val="superscript"/>
        </w:rPr>
        <w:t>5</w:t>
      </w:r>
      <w:r>
        <w:rPr>
          <w:rFonts w:cs="Times New Roman"/>
          <w:sz w:val="24"/>
          <w:szCs w:val="24"/>
          <w:vertAlign w:val="superscript"/>
        </w:rPr>
        <w:fldChar w:fldCharType="end"/>
      </w:r>
      <w:r>
        <w:rPr>
          <w:rFonts w:hint="eastAsia" w:cs="Times New Roman"/>
          <w:sz w:val="24"/>
          <w:szCs w:val="24"/>
          <w:vertAlign w:val="superscript"/>
        </w:rPr>
        <w:t>,</w:t>
      </w:r>
      <w:r>
        <w:rPr>
          <w:rFonts w:cs="Times New Roman"/>
          <w:sz w:val="24"/>
          <w:szCs w:val="24"/>
          <w:vertAlign w:val="superscript"/>
        </w:rPr>
        <w:fldChar w:fldCharType="begin"/>
      </w:r>
      <w:r>
        <w:rPr>
          <w:rFonts w:cs="Times New Roman"/>
          <w:sz w:val="24"/>
          <w:szCs w:val="24"/>
          <w:vertAlign w:val="superscript"/>
        </w:rPr>
        <w:instrText xml:space="preserve"> REF _Ref10954 \r \h</w:instrText>
      </w:r>
      <w:r>
        <w:rPr>
          <w:rFonts w:hint="eastAsia" w:cs="Times New Roman"/>
          <w:sz w:val="24"/>
          <w:szCs w:val="24"/>
          <w:vertAlign w:val="superscript"/>
        </w:rPr>
        <w:instrText xml:space="preserve">\#"0]" </w:instrText>
      </w:r>
      <w:r>
        <w:rPr>
          <w:rFonts w:cs="Times New Roman"/>
          <w:sz w:val="24"/>
          <w:szCs w:val="24"/>
          <w:vertAlign w:val="superscript"/>
        </w:rPr>
        <w:instrText xml:space="preserve"> \* MERGEFORMAT </w:instrText>
      </w:r>
      <w:r>
        <w:rPr>
          <w:rFonts w:cs="Times New Roman"/>
          <w:sz w:val="24"/>
          <w:szCs w:val="24"/>
          <w:vertAlign w:val="superscript"/>
        </w:rPr>
        <w:fldChar w:fldCharType="separate"/>
      </w:r>
      <w:r>
        <w:rPr>
          <w:rFonts w:cs="Times New Roman"/>
          <w:sz w:val="24"/>
          <w:szCs w:val="24"/>
          <w:vertAlign w:val="superscript"/>
        </w:rPr>
        <w:t>6</w:t>
      </w:r>
      <w:r>
        <w:rPr>
          <w:rFonts w:hint="eastAsia" w:cs="Times New Roman"/>
          <w:sz w:val="24"/>
          <w:szCs w:val="24"/>
          <w:vertAlign w:val="superscript"/>
        </w:rPr>
        <w:t>]</w:t>
      </w:r>
      <w:r>
        <w:rPr>
          <w:rFonts w:cs="Times New Roman"/>
          <w:sz w:val="24"/>
          <w:szCs w:val="24"/>
          <w:vertAlign w:val="superscript"/>
        </w:rPr>
        <w:fldChar w:fldCharType="end"/>
      </w:r>
      <w:r>
        <w:rPr>
          <w:rFonts w:cs="Times New Roman"/>
          <w:sz w:val="24"/>
          <w:szCs w:val="24"/>
        </w:rPr>
        <w:t>。</w:t>
      </w:r>
    </w:p>
    <w:p w14:paraId="44CAE29F">
      <w:pPr>
        <w:pStyle w:val="3"/>
        <w:ind w:firstLine="480"/>
      </w:pPr>
    </w:p>
    <w:p w14:paraId="3664C847">
      <w:pPr>
        <w:pStyle w:val="4"/>
      </w:pPr>
      <w:r>
        <w:rPr>
          <w:rFonts w:hint="eastAsia"/>
        </w:rPr>
        <w:t>SpringBoot框架</w:t>
      </w:r>
    </w:p>
    <w:p w14:paraId="53640F74">
      <w:pPr>
        <w:widowControl/>
        <w:jc w:val="left"/>
        <w:rPr>
          <w:rFonts w:cs="Times New Roman"/>
        </w:rPr>
      </w:pPr>
      <w:r>
        <w:rPr>
          <w:rFonts w:cs="Times New Roman"/>
          <w:sz w:val="24"/>
          <w:szCs w:val="24"/>
        </w:rPr>
        <w:t>SpringBoot作为Spring生态的轻量化后端框架，以“约定优于配置”为核心，凭借四大核心特性成为助农电商后端优选方案，适配农村场景下快速开发、简化部署、稳定运行的需求。其起步依赖与自动配置机制，将Web、数据库等常用组件封装为标准化“starter”模块，无需繁杂XML配置，引入相关依赖即可快速集成商品管理、订单处理等核心功能，让开发聚焦业务逻辑</w:t>
      </w:r>
      <w:r>
        <w:rPr>
          <w:rFonts w:cs="Times New Roman"/>
          <w:sz w:val="24"/>
          <w:szCs w:val="24"/>
          <w:vertAlign w:val="superscript"/>
        </w:rPr>
        <w:fldChar w:fldCharType="begin"/>
      </w:r>
      <w:r>
        <w:rPr>
          <w:rFonts w:cs="Times New Roman"/>
          <w:sz w:val="24"/>
          <w:szCs w:val="24"/>
          <w:vertAlign w:val="superscript"/>
        </w:rPr>
        <w:instrText xml:space="preserve"> REF _Ref218217300 \r \h  \* MERGEFORMAT </w:instrText>
      </w:r>
      <w:r>
        <w:rPr>
          <w:rFonts w:cs="Times New Roman"/>
          <w:sz w:val="24"/>
          <w:szCs w:val="24"/>
          <w:vertAlign w:val="superscript"/>
        </w:rPr>
        <w:fldChar w:fldCharType="separate"/>
      </w:r>
      <w:r>
        <w:rPr>
          <w:rFonts w:cs="Times New Roman"/>
          <w:sz w:val="24"/>
          <w:szCs w:val="24"/>
          <w:vertAlign w:val="superscript"/>
        </w:rPr>
        <w:t>[7]</w:t>
      </w:r>
      <w:r>
        <w:rPr>
          <w:rFonts w:cs="Times New Roman"/>
          <w:sz w:val="24"/>
          <w:szCs w:val="24"/>
          <w:vertAlign w:val="superscript"/>
        </w:rPr>
        <w:fldChar w:fldCharType="end"/>
      </w:r>
      <w:r>
        <w:rPr>
          <w:rFonts w:cs="Times New Roman"/>
          <w:sz w:val="24"/>
          <w:szCs w:val="24"/>
        </w:rPr>
        <w:t>。内置Tomcat等嵌入式服务器，项目可打包为独立JAR包直接运行，无需额外配置服务器，适配农村运维能力薄弱现状，降低部署门槛与运维成本，支持多环境灵活落地。通过集中配置文件实现多环境快速切换，数据库连接、第三方接口等配置可灵活调整，无需修改代码即可适配不同部署场景，满足电商后期扩展需求。无缝兼容Spring生态及Redis、RabbitMQ等第三方工具</w:t>
      </w:r>
      <w:r>
        <w:rPr>
          <w:rFonts w:cs="Times New Roman"/>
          <w:sz w:val="24"/>
          <w:szCs w:val="24"/>
          <w:vertAlign w:val="superscript"/>
        </w:rPr>
        <w:fldChar w:fldCharType="begin"/>
      </w:r>
      <w:r>
        <w:rPr>
          <w:rFonts w:cs="Times New Roman"/>
          <w:sz w:val="24"/>
          <w:szCs w:val="24"/>
          <w:vertAlign w:val="superscript"/>
        </w:rPr>
        <w:instrText xml:space="preserve"> REF _Ref218217325 \r \h  \* MERGEFORMAT </w:instrText>
      </w:r>
      <w:r>
        <w:rPr>
          <w:rFonts w:cs="Times New Roman"/>
          <w:sz w:val="24"/>
          <w:szCs w:val="24"/>
          <w:vertAlign w:val="superscript"/>
        </w:rPr>
        <w:fldChar w:fldCharType="separate"/>
      </w:r>
      <w:r>
        <w:rPr>
          <w:rFonts w:cs="Times New Roman"/>
          <w:sz w:val="24"/>
          <w:szCs w:val="24"/>
          <w:vertAlign w:val="superscript"/>
        </w:rPr>
        <w:t>[8]</w:t>
      </w:r>
      <w:r>
        <w:rPr>
          <w:rFonts w:cs="Times New Roman"/>
          <w:sz w:val="24"/>
          <w:szCs w:val="24"/>
          <w:vertAlign w:val="superscript"/>
        </w:rPr>
        <w:fldChar w:fldCharType="end"/>
      </w:r>
      <w:r>
        <w:rPr>
          <w:rFonts w:cs="Times New Roman"/>
          <w:sz w:val="24"/>
          <w:szCs w:val="24"/>
        </w:rPr>
        <w:t>，可通过Spring Security实现权限管控，Redis缓存热门农产品数据优化弱网响应，RabbitMQ异步处理订单与物流通知，保障促销等高并发场景稳定运行，同时支持微服务架构扩展，为助农电商规模化升级提供坚实技术支撑。</w:t>
      </w:r>
    </w:p>
    <w:p w14:paraId="40B1AFCE">
      <w:pPr>
        <w:pStyle w:val="2"/>
        <w:spacing w:before="312"/>
      </w:pPr>
      <w:r>
        <w:rPr>
          <w:rFonts w:hint="eastAsia"/>
        </w:rPr>
        <w:t>国内外对助农电商系统的研究现状</w:t>
      </w:r>
    </w:p>
    <w:p w14:paraId="7BB2436E">
      <w:pPr>
        <w:pStyle w:val="4"/>
      </w:pPr>
      <w:r>
        <w:rPr>
          <w:rFonts w:hint="eastAsia"/>
        </w:rPr>
        <w:t>国外研究现状</w:t>
      </w:r>
    </w:p>
    <w:p w14:paraId="00D1CBC0">
      <w:pPr>
        <w:pStyle w:val="3"/>
        <w:ind w:firstLine="480"/>
      </w:pPr>
      <w:r>
        <w:rPr>
          <w:rFonts w:hint="eastAsia"/>
        </w:rPr>
        <w:t>在国外，关于农产品电子商务的研究起步较早，侧重于供应链管理与食品安全溯源。</w:t>
      </w:r>
      <w:r>
        <w:t>研究焦点集中于供应链全链路优化管理与食品安全全流程溯源两大核心方向，相关研究多与实际产业场景深度结合，形成了“实践验证-理论提炼-技术迭代”的研究闭环。</w:t>
      </w:r>
    </w:p>
    <w:p w14:paraId="0B8230BD">
      <w:pPr>
        <w:pStyle w:val="3"/>
        <w:ind w:firstLine="480"/>
        <w:rPr>
          <w:rFonts w:cs="宋体"/>
          <w:kern w:val="0"/>
          <w:szCs w:val="24"/>
        </w:rPr>
      </w:pPr>
      <w:r>
        <w:rPr>
          <w:rFonts w:cs="宋体"/>
          <w:kern w:val="0"/>
          <w:szCs w:val="24"/>
        </w:rPr>
        <w:t>国外农产品电商研究起步较早，已形成“产业实践赋能理论创新”的深度融合模式。在产业实践层面，美国Amazon Fresh与日本Oisix分别代表了两种主流范式：前者依托强大的物流网络实现“采摘至送达”的48小时极速冷链流转；后者则通过整合中小农户资源，利用专属溯源平台实现种植、施肥及采收信息的全维度数字化透明。</w:t>
      </w:r>
    </w:p>
    <w:p w14:paraId="1C9467AE">
      <w:pPr>
        <w:pStyle w:val="3"/>
        <w:ind w:firstLine="480"/>
        <w:rPr>
          <w:rFonts w:cs="宋体"/>
          <w:kern w:val="0"/>
          <w:szCs w:val="24"/>
        </w:rPr>
      </w:pPr>
      <w:r>
        <w:rPr>
          <w:rFonts w:cs="宋体"/>
          <w:kern w:val="0"/>
          <w:szCs w:val="24"/>
        </w:rPr>
        <w:t>基于上述实践，</w:t>
      </w:r>
      <w:r>
        <w:rPr>
          <w:rFonts w:cs="Times New Roman"/>
          <w:kern w:val="0"/>
          <w:szCs w:val="24"/>
        </w:rPr>
        <w:t>Mustafa</w:t>
      </w:r>
      <w:r>
        <w:rPr>
          <w:rFonts w:hint="eastAsia" w:cs="Times New Roman"/>
          <w:kern w:val="0"/>
          <w:szCs w:val="24"/>
        </w:rPr>
        <w:t>等</w:t>
      </w:r>
      <w:r>
        <w:rPr>
          <w:rFonts w:cs="宋体"/>
          <w:kern w:val="0"/>
          <w:szCs w:val="24"/>
          <w:vertAlign w:val="superscript"/>
        </w:rPr>
        <w:fldChar w:fldCharType="begin"/>
      </w:r>
      <w:r>
        <w:rPr>
          <w:rFonts w:cs="Times New Roman"/>
          <w:kern w:val="0"/>
          <w:szCs w:val="24"/>
          <w:vertAlign w:val="superscript"/>
        </w:rPr>
        <w:instrText xml:space="preserve"> REF _Ref218217341 \r \h </w:instrText>
      </w:r>
      <w:r>
        <w:rPr>
          <w:rFonts w:cs="宋体"/>
          <w:kern w:val="0"/>
          <w:szCs w:val="24"/>
          <w:vertAlign w:val="superscript"/>
        </w:rPr>
        <w:instrText xml:space="preserve"> \* MERGEFORMAT </w:instrText>
      </w:r>
      <w:r>
        <w:rPr>
          <w:rFonts w:cs="宋体"/>
          <w:kern w:val="0"/>
          <w:szCs w:val="24"/>
          <w:vertAlign w:val="superscript"/>
        </w:rPr>
        <w:fldChar w:fldCharType="separate"/>
      </w:r>
      <w:r>
        <w:rPr>
          <w:rFonts w:cs="Times New Roman"/>
          <w:kern w:val="0"/>
          <w:szCs w:val="24"/>
          <w:vertAlign w:val="superscript"/>
        </w:rPr>
        <w:t>[9]</w:t>
      </w:r>
      <w:r>
        <w:rPr>
          <w:rFonts w:cs="宋体"/>
          <w:kern w:val="0"/>
          <w:szCs w:val="24"/>
          <w:vertAlign w:val="superscript"/>
        </w:rPr>
        <w:fldChar w:fldCharType="end"/>
      </w:r>
      <w:r>
        <w:rPr>
          <w:rFonts w:cs="宋体"/>
          <w:kern w:val="0"/>
          <w:szCs w:val="24"/>
        </w:rPr>
        <w:t>通过长期调研指出，发达国家的核心竞争力源于两大支撑体系：一是智能冷链网络，通过温控仓储与路径优化算法将损耗率降至5%以下；二是高度信息化的溯源体系，利用物联网传感器实现全链路数据存证。</w:t>
      </w:r>
    </w:p>
    <w:p w14:paraId="045A32DA">
      <w:pPr>
        <w:pStyle w:val="3"/>
        <w:ind w:firstLine="480"/>
        <w:rPr>
          <w:rFonts w:cs="宋体"/>
          <w:kern w:val="0"/>
          <w:szCs w:val="24"/>
        </w:rPr>
      </w:pPr>
      <w:r>
        <w:rPr>
          <w:rFonts w:cs="宋体"/>
          <w:kern w:val="0"/>
          <w:szCs w:val="24"/>
        </w:rPr>
        <w:t>为进一步提升溯源安全性，</w:t>
      </w:r>
      <w:r>
        <w:rPr>
          <w:rFonts w:cs="Times New Roman"/>
          <w:kern w:val="0"/>
          <w:szCs w:val="24"/>
        </w:rPr>
        <w:t>Ellahi</w:t>
      </w:r>
      <w:r>
        <w:rPr>
          <w:rFonts w:cs="宋体"/>
          <w:kern w:val="0"/>
          <w:szCs w:val="24"/>
        </w:rPr>
        <w:t>等</w:t>
      </w:r>
      <w:r>
        <w:rPr>
          <w:rFonts w:cs="宋体"/>
          <w:kern w:val="0"/>
          <w:szCs w:val="24"/>
          <w:vertAlign w:val="superscript"/>
        </w:rPr>
        <w:fldChar w:fldCharType="begin"/>
      </w:r>
      <w:r>
        <w:rPr>
          <w:rFonts w:cs="宋体"/>
          <w:kern w:val="0"/>
          <w:szCs w:val="24"/>
          <w:vertAlign w:val="superscript"/>
        </w:rPr>
        <w:instrText xml:space="preserve"> REF _Ref218217386 \r \h  \* MERGEFORMAT </w:instrText>
      </w:r>
      <w:r>
        <w:rPr>
          <w:rFonts w:cs="宋体"/>
          <w:kern w:val="0"/>
          <w:szCs w:val="24"/>
          <w:vertAlign w:val="superscript"/>
        </w:rPr>
        <w:fldChar w:fldCharType="separate"/>
      </w:r>
      <w:r>
        <w:rPr>
          <w:rFonts w:cs="宋体"/>
          <w:kern w:val="0"/>
          <w:szCs w:val="24"/>
          <w:vertAlign w:val="superscript"/>
        </w:rPr>
        <w:t>[10]</w:t>
      </w:r>
      <w:r>
        <w:rPr>
          <w:rFonts w:cs="宋体"/>
          <w:kern w:val="0"/>
          <w:szCs w:val="24"/>
          <w:vertAlign w:val="superscript"/>
        </w:rPr>
        <w:fldChar w:fldCharType="end"/>
      </w:r>
      <w:r>
        <w:rPr>
          <w:rFonts w:cs="宋体"/>
          <w:kern w:val="0"/>
          <w:szCs w:val="24"/>
        </w:rPr>
        <w:t>提出了基于区块链的食品信任框架，利用分布式账本攻克了信息篡改与数据断层等行业痛点。然而，该研究同时揭示了技术落地的现实壁垒：试点数据显示，单户部署成本高达</w:t>
      </w:r>
      <w:r>
        <w:rPr>
          <w:rFonts w:cs="Times New Roman"/>
          <w:kern w:val="0"/>
          <w:szCs w:val="24"/>
        </w:rPr>
        <w:t>1.2</w:t>
      </w:r>
      <w:r>
        <w:rPr>
          <w:rFonts w:cs="宋体"/>
          <w:kern w:val="0"/>
          <w:szCs w:val="24"/>
        </w:rPr>
        <w:t>万美元，且伴随高昂的后期运维支出。这一结论表明，尽管区块链等前沿技术能显著提升系统信用，但在小规模农户群体中仍面临“高成本、低适配”的推广困境。</w:t>
      </w:r>
    </w:p>
    <w:p w14:paraId="135D8C9C">
      <w:pPr>
        <w:pStyle w:val="3"/>
        <w:ind w:firstLine="480"/>
        <w:rPr>
          <w:rFonts w:cs="宋体"/>
          <w:kern w:val="0"/>
          <w:szCs w:val="24"/>
        </w:rPr>
      </w:pPr>
      <w:r>
        <w:rPr>
          <w:rFonts w:cs="宋体"/>
          <w:kern w:val="0"/>
          <w:szCs w:val="24"/>
        </w:rPr>
        <w:t>综上所述，国外研究虽在供应链优化与食品溯源领域取得了丰硕成果，但如何降低技术门槛、构建适合中小规模经营主体的低成本高性能系统，仍是当前亟待突破的共识性难题。</w:t>
      </w:r>
    </w:p>
    <w:p w14:paraId="06E7E95F">
      <w:pPr>
        <w:pStyle w:val="4"/>
      </w:pPr>
      <w:r>
        <w:rPr>
          <w:rFonts w:hint="eastAsia"/>
        </w:rPr>
        <w:t>国内研究现状</w:t>
      </w:r>
    </w:p>
    <w:p w14:paraId="09F08F2F">
      <w:pPr>
        <w:pStyle w:val="3"/>
        <w:ind w:firstLine="480"/>
        <w:rPr>
          <w:rFonts w:cs="宋体"/>
          <w:kern w:val="0"/>
          <w:szCs w:val="24"/>
        </w:rPr>
      </w:pPr>
      <w:r>
        <w:rPr>
          <w:rFonts w:cs="宋体"/>
          <w:kern w:val="0"/>
          <w:szCs w:val="24"/>
        </w:rPr>
        <w:t>国内农村电商正处于由“规模扩张”向“质量提升”转型的关键阶段。早期研究主要聚焦于综合性电商平台的下沉战略，</w:t>
      </w:r>
      <w:r>
        <w:rPr>
          <w:rFonts w:hint="eastAsia" w:cs="宋体"/>
          <w:kern w:val="0"/>
          <w:szCs w:val="24"/>
        </w:rPr>
        <w:t>周应恒</w:t>
      </w:r>
      <w:r>
        <w:rPr>
          <w:rFonts w:cs="宋体"/>
          <w:kern w:val="0"/>
          <w:szCs w:val="24"/>
        </w:rPr>
        <w:t>等</w:t>
      </w:r>
      <w:r>
        <w:rPr>
          <w:rFonts w:cs="宋体"/>
          <w:kern w:val="0"/>
          <w:szCs w:val="24"/>
          <w:vertAlign w:val="superscript"/>
        </w:rPr>
        <w:fldChar w:fldCharType="begin"/>
      </w:r>
      <w:r>
        <w:rPr>
          <w:rFonts w:cs="宋体"/>
          <w:kern w:val="0"/>
          <w:szCs w:val="24"/>
          <w:vertAlign w:val="superscript"/>
        </w:rPr>
        <w:instrText xml:space="preserve"> REF _Ref218217412 \r \h  \* MERGEFORMAT </w:instrText>
      </w:r>
      <w:r>
        <w:rPr>
          <w:rFonts w:cs="宋体"/>
          <w:kern w:val="0"/>
          <w:szCs w:val="24"/>
          <w:vertAlign w:val="superscript"/>
        </w:rPr>
        <w:fldChar w:fldCharType="separate"/>
      </w:r>
      <w:r>
        <w:rPr>
          <w:rFonts w:cs="宋体"/>
          <w:kern w:val="0"/>
          <w:szCs w:val="24"/>
          <w:vertAlign w:val="superscript"/>
        </w:rPr>
        <w:t>[11]</w:t>
      </w:r>
      <w:r>
        <w:rPr>
          <w:rFonts w:cs="宋体"/>
          <w:kern w:val="0"/>
          <w:szCs w:val="24"/>
          <w:vertAlign w:val="superscript"/>
        </w:rPr>
        <w:fldChar w:fldCharType="end"/>
      </w:r>
      <w:r>
        <w:rPr>
          <w:rFonts w:cs="宋体"/>
          <w:kern w:val="0"/>
          <w:szCs w:val="24"/>
        </w:rPr>
        <w:t>以“淘宝村”为例，指出依托大型平台流量虽能带动产业集聚，但复杂的运营规则与高昂的推广成本（约占销售额</w:t>
      </w:r>
      <w:r>
        <w:rPr>
          <w:rFonts w:cs="Times New Roman"/>
          <w:kern w:val="0"/>
          <w:szCs w:val="24"/>
        </w:rPr>
        <w:t>35%</w:t>
      </w:r>
      <w:r>
        <w:rPr>
          <w:rFonts w:cs="宋体"/>
          <w:kern w:val="0"/>
          <w:szCs w:val="24"/>
        </w:rPr>
        <w:t>）构成了极高的准入门槛，导致缺乏专业技能的普通农户难以持续经营。</w:t>
      </w:r>
    </w:p>
    <w:p w14:paraId="6CB1B99A">
      <w:pPr>
        <w:pStyle w:val="3"/>
        <w:ind w:firstLine="480"/>
        <w:rPr>
          <w:rFonts w:cs="宋体"/>
          <w:kern w:val="0"/>
          <w:szCs w:val="24"/>
        </w:rPr>
      </w:pPr>
      <w:r>
        <w:rPr>
          <w:rFonts w:cs="宋体"/>
          <w:kern w:val="0"/>
          <w:szCs w:val="24"/>
        </w:rPr>
        <w:t>随着实践深入，通用平台的结构性缺陷日益凸显。李开静</w:t>
      </w:r>
      <w:r>
        <w:rPr>
          <w:rFonts w:cs="宋体"/>
          <w:kern w:val="0"/>
          <w:szCs w:val="24"/>
          <w:vertAlign w:val="superscript"/>
        </w:rPr>
        <w:fldChar w:fldCharType="begin"/>
      </w:r>
      <w:r>
        <w:rPr>
          <w:rFonts w:cs="宋体"/>
          <w:kern w:val="0"/>
          <w:szCs w:val="24"/>
          <w:vertAlign w:val="superscript"/>
        </w:rPr>
        <w:instrText xml:space="preserve"> REF _Ref218217427 \r \h  \* MERGEFORMAT </w:instrText>
      </w:r>
      <w:r>
        <w:rPr>
          <w:rFonts w:cs="宋体"/>
          <w:kern w:val="0"/>
          <w:szCs w:val="24"/>
          <w:vertAlign w:val="superscript"/>
        </w:rPr>
        <w:fldChar w:fldCharType="separate"/>
      </w:r>
      <w:r>
        <w:rPr>
          <w:rFonts w:cs="宋体"/>
          <w:kern w:val="0"/>
          <w:szCs w:val="24"/>
          <w:vertAlign w:val="superscript"/>
        </w:rPr>
        <w:t>[12]</w:t>
      </w:r>
      <w:r>
        <w:rPr>
          <w:rFonts w:cs="宋体"/>
          <w:kern w:val="0"/>
          <w:szCs w:val="24"/>
          <w:vertAlign w:val="superscript"/>
        </w:rPr>
        <w:fldChar w:fldCharType="end"/>
      </w:r>
      <w:r>
        <w:rPr>
          <w:rFonts w:cs="宋体"/>
          <w:kern w:val="0"/>
          <w:szCs w:val="24"/>
        </w:rPr>
        <w:t>通过广泛调研发现，现有商业平台缺乏“助农”公益属性，且难以全面展示农产品“非标”特性，导致产地信任缺失与低价竞争。针对此问题，</w:t>
      </w:r>
      <w:r>
        <w:rPr>
          <w:rFonts w:hint="eastAsia" w:cs="宋体"/>
          <w:kern w:val="0"/>
          <w:szCs w:val="24"/>
        </w:rPr>
        <w:t>颜强等</w:t>
      </w:r>
      <w:r>
        <w:rPr>
          <w:rFonts w:cs="宋体"/>
          <w:kern w:val="0"/>
          <w:szCs w:val="24"/>
          <w:vertAlign w:val="superscript"/>
        </w:rPr>
        <w:fldChar w:fldCharType="begin"/>
      </w:r>
      <w:r>
        <w:rPr>
          <w:rFonts w:cs="宋体"/>
          <w:kern w:val="0"/>
          <w:szCs w:val="24"/>
          <w:vertAlign w:val="superscript"/>
        </w:rPr>
        <w:instrText xml:space="preserve"> </w:instrText>
      </w:r>
      <w:r>
        <w:rPr>
          <w:rFonts w:hint="eastAsia" w:cs="宋体"/>
          <w:kern w:val="0"/>
          <w:szCs w:val="24"/>
          <w:vertAlign w:val="superscript"/>
        </w:rPr>
        <w:instrText xml:space="preserve">REF _Ref218217439 \r \h</w:instrText>
      </w:r>
      <w:r>
        <w:rPr>
          <w:rFonts w:cs="宋体"/>
          <w:kern w:val="0"/>
          <w:szCs w:val="24"/>
          <w:vertAlign w:val="superscript"/>
        </w:rPr>
        <w:instrText xml:space="preserve">  \* MERGEFORMAT </w:instrText>
      </w:r>
      <w:r>
        <w:rPr>
          <w:rFonts w:cs="宋体"/>
          <w:kern w:val="0"/>
          <w:szCs w:val="24"/>
          <w:vertAlign w:val="superscript"/>
        </w:rPr>
        <w:fldChar w:fldCharType="separate"/>
      </w:r>
      <w:r>
        <w:rPr>
          <w:rFonts w:cs="宋体"/>
          <w:kern w:val="0"/>
          <w:szCs w:val="24"/>
          <w:vertAlign w:val="superscript"/>
        </w:rPr>
        <w:t>[13]</w:t>
      </w:r>
      <w:r>
        <w:rPr>
          <w:rFonts w:cs="宋体"/>
          <w:kern w:val="0"/>
          <w:szCs w:val="24"/>
          <w:vertAlign w:val="superscript"/>
        </w:rPr>
        <w:fldChar w:fldCharType="end"/>
      </w:r>
      <w:r>
        <w:rPr>
          <w:rFonts w:cs="宋体"/>
          <w:kern w:val="0"/>
          <w:szCs w:val="24"/>
        </w:rPr>
        <w:t>提出构建“轻量化、低门槛”的垂直型助农平台，主张通过类社交软件的极简发布流程与公益展示专区，降低农户操作负担，实现产销端的精准对接。</w:t>
      </w:r>
    </w:p>
    <w:p w14:paraId="792A41FD">
      <w:pPr>
        <w:pStyle w:val="3"/>
        <w:ind w:firstLine="480"/>
        <w:rPr>
          <w:rFonts w:cs="宋体"/>
          <w:kern w:val="0"/>
          <w:szCs w:val="24"/>
        </w:rPr>
      </w:pPr>
      <w:r>
        <w:rPr>
          <w:rFonts w:cs="宋体"/>
          <w:kern w:val="0"/>
          <w:szCs w:val="24"/>
        </w:rPr>
        <w:t>在技术支撑层面，研究重心正从传统重型架构向轻量级全栈方案迁移。</w:t>
      </w:r>
      <w:r>
        <w:rPr>
          <w:rFonts w:hint="eastAsia" w:cs="宋体"/>
          <w:kern w:val="0"/>
          <w:szCs w:val="24"/>
        </w:rPr>
        <w:t>李俊</w:t>
      </w:r>
      <w:r>
        <w:rPr>
          <w:rFonts w:cs="宋体"/>
          <w:kern w:val="0"/>
          <w:szCs w:val="24"/>
          <w:vertAlign w:val="superscript"/>
        </w:rPr>
        <w:fldChar w:fldCharType="begin"/>
      </w:r>
      <w:r>
        <w:rPr>
          <w:rFonts w:cs="宋体"/>
          <w:kern w:val="0"/>
          <w:szCs w:val="24"/>
          <w:vertAlign w:val="superscript"/>
        </w:rPr>
        <w:instrText xml:space="preserve"> </w:instrText>
      </w:r>
      <w:r>
        <w:rPr>
          <w:rFonts w:hint="eastAsia" w:cs="宋体"/>
          <w:kern w:val="0"/>
          <w:szCs w:val="24"/>
          <w:vertAlign w:val="superscript"/>
        </w:rPr>
        <w:instrText xml:space="preserve">REF _Ref218217459 \r \h</w:instrText>
      </w:r>
      <w:r>
        <w:rPr>
          <w:rFonts w:cs="宋体"/>
          <w:kern w:val="0"/>
          <w:szCs w:val="24"/>
          <w:vertAlign w:val="superscript"/>
        </w:rPr>
        <w:instrText xml:space="preserve">  \* MERGEFORMAT </w:instrText>
      </w:r>
      <w:r>
        <w:rPr>
          <w:rFonts w:cs="宋体"/>
          <w:kern w:val="0"/>
          <w:szCs w:val="24"/>
          <w:vertAlign w:val="superscript"/>
        </w:rPr>
        <w:fldChar w:fldCharType="separate"/>
      </w:r>
      <w:r>
        <w:rPr>
          <w:rFonts w:cs="宋体"/>
          <w:kern w:val="0"/>
          <w:szCs w:val="24"/>
          <w:vertAlign w:val="superscript"/>
        </w:rPr>
        <w:t>[14]</w:t>
      </w:r>
      <w:r>
        <w:rPr>
          <w:rFonts w:cs="宋体"/>
          <w:kern w:val="0"/>
          <w:szCs w:val="24"/>
          <w:vertAlign w:val="superscript"/>
        </w:rPr>
        <w:fldChar w:fldCharType="end"/>
      </w:r>
      <w:r>
        <w:rPr>
          <w:rFonts w:cs="宋体"/>
          <w:kern w:val="0"/>
          <w:szCs w:val="24"/>
        </w:rPr>
        <w:t>基于</w:t>
      </w:r>
      <w:r>
        <w:rPr>
          <w:rFonts w:cs="Times New Roman"/>
          <w:kern w:val="0"/>
          <w:szCs w:val="24"/>
        </w:rPr>
        <w:t>SSM</w:t>
      </w:r>
      <w:r>
        <w:rPr>
          <w:rFonts w:cs="宋体"/>
          <w:kern w:val="0"/>
          <w:szCs w:val="24"/>
        </w:rPr>
        <w:t>框架的实践表明，传统</w:t>
      </w:r>
      <w:r>
        <w:rPr>
          <w:rFonts w:cs="Times New Roman"/>
          <w:kern w:val="0"/>
          <w:szCs w:val="24"/>
        </w:rPr>
        <w:t>Java</w:t>
      </w:r>
      <w:r>
        <w:rPr>
          <w:rFonts w:cs="宋体"/>
          <w:kern w:val="0"/>
          <w:szCs w:val="24"/>
        </w:rPr>
        <w:t>架构存在部署环境复杂、迭代周期长等短板，难以适应县域电商薄弱的运维能力。相比之下，</w:t>
      </w:r>
      <w:r>
        <w:rPr>
          <w:rFonts w:hint="eastAsia" w:cs="宋体"/>
          <w:kern w:val="0"/>
          <w:szCs w:val="24"/>
        </w:rPr>
        <w:t>SpringBoot+</w:t>
      </w:r>
      <w:r>
        <w:rPr>
          <w:rFonts w:cs="Times New Roman"/>
          <w:kern w:val="0"/>
          <w:szCs w:val="24"/>
        </w:rPr>
        <w:t>Vue</w:t>
      </w:r>
      <w:r>
        <w:rPr>
          <w:rFonts w:cs="宋体"/>
          <w:kern w:val="0"/>
          <w:szCs w:val="24"/>
        </w:rPr>
        <w:t>的全栈架构优势显著：该架构在高并发场景下的响应延迟较</w:t>
      </w:r>
      <w:r>
        <w:rPr>
          <w:rFonts w:cs="Times New Roman"/>
          <w:kern w:val="0"/>
          <w:szCs w:val="24"/>
        </w:rPr>
        <w:t>SSM</w:t>
      </w:r>
      <w:r>
        <w:rPr>
          <w:rFonts w:cs="宋体"/>
          <w:kern w:val="0"/>
          <w:szCs w:val="24"/>
        </w:rPr>
        <w:t>降低</w:t>
      </w:r>
      <w:r>
        <w:rPr>
          <w:rFonts w:cs="Times New Roman"/>
          <w:kern w:val="0"/>
          <w:szCs w:val="24"/>
        </w:rPr>
        <w:t>40%</w:t>
      </w:r>
      <w:r>
        <w:rPr>
          <w:rFonts w:cs="宋体"/>
          <w:kern w:val="0"/>
          <w:szCs w:val="24"/>
        </w:rPr>
        <w:t>以上，且能够高效处理</w:t>
      </w:r>
      <w:r>
        <w:rPr>
          <w:rFonts w:cs="Times New Roman"/>
          <w:kern w:val="0"/>
          <w:szCs w:val="24"/>
        </w:rPr>
        <w:t>I/O</w:t>
      </w:r>
      <w:r>
        <w:rPr>
          <w:rFonts w:cs="宋体"/>
          <w:kern w:val="0"/>
          <w:szCs w:val="24"/>
        </w:rPr>
        <w:t>密集型任务；同时，前后端分离模式使得相同功能模块的开发周期缩短了</w:t>
      </w:r>
      <w:r>
        <w:rPr>
          <w:rFonts w:cs="Times New Roman"/>
          <w:kern w:val="0"/>
          <w:szCs w:val="24"/>
        </w:rPr>
        <w:t>30%</w:t>
      </w:r>
      <w:r>
        <w:rPr>
          <w:rFonts w:cs="宋体"/>
          <w:kern w:val="0"/>
          <w:szCs w:val="24"/>
        </w:rPr>
        <w:t>，凭借其低成本、易维护及快速迭代的特性，已成为当前构建助农电商系统的最佳技术路径。</w:t>
      </w:r>
    </w:p>
    <w:p w14:paraId="653284DD">
      <w:pPr>
        <w:pStyle w:val="3"/>
        <w:ind w:firstLine="480"/>
        <w:rPr>
          <w:rFonts w:hint="eastAsia" w:ascii="宋体" w:hAnsi="宋体" w:cs="宋体"/>
          <w:kern w:val="0"/>
          <w:szCs w:val="24"/>
        </w:rPr>
      </w:pPr>
    </w:p>
    <w:p w14:paraId="5E1FF929">
      <w:pPr>
        <w:pStyle w:val="2"/>
        <w:spacing w:before="312"/>
      </w:pPr>
      <w:r>
        <w:rPr>
          <w:rFonts w:hint="eastAsia"/>
        </w:rPr>
        <w:t>助农销售系统的关键技术与架构流程</w:t>
      </w:r>
    </w:p>
    <w:p w14:paraId="0BA682CC">
      <w:pPr>
        <w:pStyle w:val="4"/>
      </w:pPr>
      <w:r>
        <w:rPr>
          <w:rFonts w:hint="eastAsia"/>
        </w:rPr>
        <w:t>系统架构设计</w:t>
      </w:r>
    </w:p>
    <w:p w14:paraId="0DF48AFA">
      <w:pPr>
        <w:pStyle w:val="3"/>
        <w:ind w:firstLine="480"/>
        <w:jc w:val="left"/>
        <w:rPr>
          <w:rFonts w:cs="Times New Roman"/>
          <w:szCs w:val="24"/>
        </w:rPr>
      </w:pPr>
      <w:r>
        <w:rPr>
          <w:rFonts w:cs="Times New Roman"/>
          <w:szCs w:val="24"/>
        </w:rPr>
        <w:t>本助农销售网站系统核心目标是实现农产品产地与消费者的直接对接，架构设计以“清晰分层、易实现、可扩展”为原则，采用经典的B/S架构分层思想，分为4个核心层级，各层级职责明确、协同工作，保障系统稳定运行</w:t>
      </w:r>
      <w:r>
        <w:rPr>
          <w:rFonts w:cs="Times New Roman"/>
          <w:szCs w:val="24"/>
          <w:vertAlign w:val="superscript"/>
        </w:rPr>
        <w:fldChar w:fldCharType="begin"/>
      </w:r>
      <w:r>
        <w:rPr>
          <w:rFonts w:cs="Times New Roman"/>
          <w:szCs w:val="24"/>
          <w:vertAlign w:val="superscript"/>
        </w:rPr>
        <w:instrText xml:space="preserve"> REF _Ref218217487 \r \h</w:instrText>
      </w:r>
      <w:r>
        <w:rPr>
          <w:rFonts w:hint="eastAsia" w:cs="Times New Roman"/>
          <w:szCs w:val="24"/>
          <w:vertAlign w:val="superscript"/>
        </w:rPr>
        <w:instrText xml:space="preserve">\#"[0"</w:instrText>
      </w:r>
      <w:r>
        <w:rPr>
          <w:rFonts w:cs="Times New Roman"/>
          <w:szCs w:val="24"/>
          <w:vertAlign w:val="superscript"/>
        </w:rPr>
        <w:instrText xml:space="preserve">  \* MERGEFORMAT </w:instrText>
      </w:r>
      <w:r>
        <w:rPr>
          <w:rFonts w:cs="Times New Roman"/>
          <w:szCs w:val="24"/>
          <w:vertAlign w:val="superscript"/>
        </w:rPr>
        <w:fldChar w:fldCharType="separate"/>
      </w:r>
      <w:r>
        <w:rPr>
          <w:rFonts w:hint="eastAsia" w:cs="Times New Roman"/>
          <w:szCs w:val="24"/>
          <w:vertAlign w:val="superscript"/>
        </w:rPr>
        <w:t>[</w:t>
      </w:r>
      <w:r>
        <w:rPr>
          <w:rFonts w:cs="Times New Roman"/>
          <w:szCs w:val="24"/>
          <w:vertAlign w:val="superscript"/>
        </w:rPr>
        <w:t>15</w:t>
      </w:r>
      <w:r>
        <w:rPr>
          <w:rFonts w:cs="Times New Roman"/>
          <w:szCs w:val="24"/>
          <w:vertAlign w:val="superscript"/>
        </w:rPr>
        <w:fldChar w:fldCharType="end"/>
      </w:r>
      <w:r>
        <w:rPr>
          <w:rFonts w:hint="eastAsia" w:cs="Times New Roman"/>
          <w:szCs w:val="24"/>
          <w:vertAlign w:val="superscript"/>
        </w:rPr>
        <w:t>,</w:t>
      </w:r>
      <w:r>
        <w:rPr>
          <w:rFonts w:cs="Times New Roman"/>
          <w:szCs w:val="24"/>
          <w:vertAlign w:val="superscript"/>
        </w:rPr>
        <w:fldChar w:fldCharType="begin"/>
      </w:r>
      <w:r>
        <w:rPr>
          <w:rFonts w:cs="Times New Roman"/>
          <w:szCs w:val="24"/>
          <w:vertAlign w:val="superscript"/>
        </w:rPr>
        <w:instrText xml:space="preserve"> REF _Ref218217488 \r \h</w:instrText>
      </w:r>
      <w:r>
        <w:rPr>
          <w:rFonts w:hint="eastAsia" w:cs="Times New Roman"/>
          <w:szCs w:val="24"/>
          <w:vertAlign w:val="superscript"/>
        </w:rPr>
        <w:instrText xml:space="preserve">\#"0]"</w:instrText>
      </w:r>
      <w:r>
        <w:rPr>
          <w:rFonts w:cs="Times New Roman"/>
          <w:szCs w:val="24"/>
          <w:vertAlign w:val="superscript"/>
        </w:rPr>
        <w:instrText xml:space="preserve">  \* MERGEFORMAT </w:instrText>
      </w:r>
      <w:r>
        <w:rPr>
          <w:rFonts w:cs="Times New Roman"/>
          <w:szCs w:val="24"/>
          <w:vertAlign w:val="superscript"/>
        </w:rPr>
        <w:fldChar w:fldCharType="separate"/>
      </w:r>
      <w:r>
        <w:rPr>
          <w:rFonts w:cs="Times New Roman"/>
          <w:szCs w:val="24"/>
          <w:vertAlign w:val="superscript"/>
        </w:rPr>
        <w:t>16</w:t>
      </w:r>
      <w:r>
        <w:rPr>
          <w:rFonts w:hint="eastAsia" w:cs="Times New Roman"/>
          <w:szCs w:val="24"/>
          <w:vertAlign w:val="superscript"/>
        </w:rPr>
        <w:t>]</w:t>
      </w:r>
      <w:r>
        <w:rPr>
          <w:rFonts w:cs="Times New Roman"/>
          <w:szCs w:val="24"/>
          <w:vertAlign w:val="superscript"/>
        </w:rPr>
        <w:fldChar w:fldCharType="end"/>
      </w:r>
      <w:r>
        <w:rPr>
          <w:rFonts w:cs="Times New Roman"/>
          <w:szCs w:val="24"/>
        </w:rPr>
        <w:t>。</w:t>
      </w:r>
    </w:p>
    <w:p w14:paraId="79845B81">
      <w:pPr>
        <w:pStyle w:val="3"/>
        <w:ind w:firstLine="480"/>
        <w:jc w:val="left"/>
        <w:rPr>
          <w:rFonts w:cs="Times New Roman"/>
          <w:szCs w:val="24"/>
        </w:rPr>
      </w:pPr>
      <w:r>
        <w:rPr>
          <w:rFonts w:cs="Times New Roman"/>
          <w:szCs w:val="24"/>
        </w:rPr>
        <w:t>系统自上而下分为数据感知层、基础设施层、业务逻辑层、应用交互层，各层级自上而下传递数据、自下而上提供支撑，具体设计如下：</w:t>
      </w:r>
    </w:p>
    <w:p w14:paraId="65B75707">
      <w:pPr>
        <w:rPr>
          <w:b/>
          <w:bCs/>
          <w:sz w:val="24"/>
          <w:szCs w:val="24"/>
        </w:rPr>
      </w:pPr>
      <w:r>
        <w:rPr>
          <w:b/>
          <w:bCs/>
          <w:sz w:val="24"/>
          <w:szCs w:val="24"/>
        </w:rPr>
        <w:t>数据感知层</w:t>
      </w:r>
      <w:r>
        <w:rPr>
          <w:rFonts w:hint="eastAsia"/>
          <w:b/>
          <w:bCs/>
          <w:sz w:val="24"/>
          <w:szCs w:val="24"/>
        </w:rPr>
        <w:t>：</w:t>
      </w:r>
    </w:p>
    <w:p w14:paraId="4592886D">
      <w:pPr>
        <w:pStyle w:val="3"/>
        <w:ind w:firstLine="480"/>
        <w:jc w:val="left"/>
        <w:rPr>
          <w:rFonts w:cs="Times New Roman"/>
          <w:szCs w:val="24"/>
        </w:rPr>
      </w:pPr>
      <w:r>
        <w:rPr>
          <w:rFonts w:cs="Times New Roman"/>
          <w:szCs w:val="24"/>
        </w:rPr>
        <w:t>作为系统的数据采集入口，负责收集农产品全生命周期关键信息，为后续业务处理提供数据支撑，核心组成包括：</w:t>
      </w:r>
    </w:p>
    <w:p w14:paraId="2188921E">
      <w:pPr>
        <w:pStyle w:val="3"/>
        <w:ind w:firstLine="480"/>
        <w:jc w:val="left"/>
        <w:rPr>
          <w:rFonts w:cs="Times New Roman"/>
          <w:szCs w:val="24"/>
        </w:rPr>
      </w:pPr>
      <w:r>
        <w:rPr>
          <w:rFonts w:cs="Times New Roman"/>
          <w:szCs w:val="24"/>
        </w:rPr>
        <w:t>基础数据采集：农户通过终端录入农产品种植信息、规格价格、检测报告等基础数据；</w:t>
      </w:r>
    </w:p>
    <w:p w14:paraId="0F5A5E8B">
      <w:pPr>
        <w:pStyle w:val="3"/>
        <w:ind w:firstLine="480"/>
        <w:jc w:val="left"/>
        <w:rPr>
          <w:rFonts w:cs="Times New Roman"/>
          <w:szCs w:val="24"/>
        </w:rPr>
      </w:pPr>
      <w:r>
        <w:rPr>
          <w:rFonts w:cs="Times New Roman"/>
          <w:szCs w:val="24"/>
        </w:rPr>
        <w:t>溯源数据记录：生成唯一溯源码，关联农产品种植、采摘、包装等环节信息，保障信息可追溯；</w:t>
      </w:r>
    </w:p>
    <w:p w14:paraId="18E9C594">
      <w:pPr>
        <w:pStyle w:val="3"/>
        <w:ind w:firstLine="480"/>
        <w:jc w:val="left"/>
        <w:rPr>
          <w:rFonts w:cs="Times New Roman"/>
          <w:szCs w:val="24"/>
        </w:rPr>
      </w:pPr>
      <w:r>
        <w:rPr>
          <w:rFonts w:cs="Times New Roman"/>
          <w:szCs w:val="24"/>
        </w:rPr>
        <w:t>外部数据对接：简单对接物流企业基础接口，获取物流轨迹数据。</w:t>
      </w:r>
    </w:p>
    <w:p w14:paraId="5B4D7264">
      <w:pPr>
        <w:pStyle w:val="3"/>
        <w:ind w:firstLine="480"/>
        <w:jc w:val="left"/>
        <w:rPr>
          <w:rFonts w:cs="Times New Roman"/>
          <w:szCs w:val="24"/>
        </w:rPr>
      </w:pPr>
    </w:p>
    <w:p w14:paraId="452A45F0">
      <w:pPr>
        <w:rPr>
          <w:b/>
          <w:bCs/>
          <w:sz w:val="24"/>
          <w:szCs w:val="24"/>
        </w:rPr>
      </w:pPr>
      <w:r>
        <w:rPr>
          <w:b/>
          <w:bCs/>
          <w:sz w:val="24"/>
          <w:szCs w:val="24"/>
        </w:rPr>
        <w:t>基础设施层</w:t>
      </w:r>
      <w:r>
        <w:rPr>
          <w:rFonts w:hint="eastAsia"/>
          <w:b/>
          <w:bCs/>
          <w:sz w:val="24"/>
          <w:szCs w:val="24"/>
        </w:rPr>
        <w:t>：</w:t>
      </w:r>
    </w:p>
    <w:p w14:paraId="01C9D957">
      <w:pPr>
        <w:pStyle w:val="3"/>
        <w:ind w:firstLine="480"/>
        <w:jc w:val="left"/>
        <w:rPr>
          <w:rFonts w:cs="Times New Roman"/>
          <w:szCs w:val="24"/>
        </w:rPr>
      </w:pPr>
      <w:r>
        <w:rPr>
          <w:rFonts w:cs="Times New Roman"/>
          <w:szCs w:val="24"/>
        </w:rPr>
        <w:t>为系统运行提供基础支撑，包含计算、存储、网络等核心资源，设计兼顾毕设实现难度，具体组成：</w:t>
      </w:r>
    </w:p>
    <w:p w14:paraId="37A38738">
      <w:pPr>
        <w:pStyle w:val="3"/>
        <w:ind w:firstLine="480"/>
        <w:jc w:val="left"/>
        <w:rPr>
          <w:rFonts w:cs="Times New Roman"/>
          <w:szCs w:val="24"/>
        </w:rPr>
      </w:pPr>
      <w:r>
        <w:rPr>
          <w:rFonts w:cs="Times New Roman"/>
          <w:szCs w:val="24"/>
        </w:rPr>
        <w:t>服务器与网络：采用云服务器部署，通过简单负载均衡配置保障访问稳定；</w:t>
      </w:r>
    </w:p>
    <w:p w14:paraId="1787340F">
      <w:pPr>
        <w:pStyle w:val="3"/>
        <w:ind w:firstLine="480"/>
        <w:jc w:val="left"/>
        <w:rPr>
          <w:rFonts w:cs="Times New Roman"/>
          <w:szCs w:val="24"/>
        </w:rPr>
      </w:pPr>
      <w:r>
        <w:rPr>
          <w:rFonts w:cs="Times New Roman"/>
          <w:szCs w:val="24"/>
        </w:rPr>
        <w:t>数据存储：采用“关系型数据库+文件存储”模式，MySQL存储用户、订单、产品等结构化数据，本地或简易对象存储服务存储农产品图片等非结构化数据；</w:t>
      </w:r>
    </w:p>
    <w:p w14:paraId="38E4DD38">
      <w:pPr>
        <w:pStyle w:val="3"/>
        <w:ind w:firstLine="480"/>
        <w:jc w:val="left"/>
        <w:rPr>
          <w:rFonts w:cs="Times New Roman"/>
          <w:szCs w:val="24"/>
        </w:rPr>
      </w:pPr>
      <w:r>
        <w:rPr>
          <w:rFonts w:cs="Times New Roman"/>
          <w:szCs w:val="24"/>
        </w:rPr>
        <w:t>基础中间件：选用轻量型消息队列（如RabbitMQ）处理订单通知等异步任务，降低系统耦合。</w:t>
      </w:r>
    </w:p>
    <w:p w14:paraId="3F0788E8">
      <w:pPr>
        <w:pStyle w:val="3"/>
        <w:ind w:firstLine="480"/>
        <w:jc w:val="left"/>
        <w:rPr>
          <w:rFonts w:cs="Times New Roman"/>
          <w:szCs w:val="24"/>
        </w:rPr>
      </w:pPr>
    </w:p>
    <w:p w14:paraId="1F1C04C6">
      <w:pPr>
        <w:rPr>
          <w:b/>
          <w:bCs/>
          <w:sz w:val="24"/>
          <w:szCs w:val="24"/>
        </w:rPr>
      </w:pPr>
      <w:r>
        <w:rPr>
          <w:b/>
          <w:bCs/>
          <w:sz w:val="24"/>
          <w:szCs w:val="24"/>
        </w:rPr>
        <w:t>业务逻辑层</w:t>
      </w:r>
      <w:r>
        <w:rPr>
          <w:rFonts w:hint="eastAsia"/>
          <w:b/>
          <w:bCs/>
          <w:sz w:val="24"/>
          <w:szCs w:val="24"/>
        </w:rPr>
        <w:t>：</w:t>
      </w:r>
    </w:p>
    <w:p w14:paraId="10EFE744">
      <w:pPr>
        <w:pStyle w:val="3"/>
        <w:ind w:firstLine="480"/>
        <w:jc w:val="left"/>
        <w:rPr>
          <w:rFonts w:cs="Times New Roman"/>
          <w:szCs w:val="24"/>
        </w:rPr>
      </w:pPr>
      <w:r>
        <w:rPr>
          <w:rFonts w:cs="Times New Roman"/>
          <w:szCs w:val="24"/>
        </w:rPr>
        <w:t>系统核心处理层，封装核心业务规则，实现数据的加工与处理，按功能模块拆分，便于毕设开发与调试，核心模块包括：</w:t>
      </w:r>
    </w:p>
    <w:p w14:paraId="5E87CC2E">
      <w:pPr>
        <w:pStyle w:val="3"/>
        <w:ind w:firstLine="480"/>
        <w:jc w:val="left"/>
        <w:rPr>
          <w:rFonts w:cs="Times New Roman"/>
          <w:szCs w:val="24"/>
        </w:rPr>
      </w:pPr>
      <w:r>
        <w:rPr>
          <w:rFonts w:cs="Times New Roman"/>
          <w:szCs w:val="24"/>
        </w:rPr>
        <w:t>用户管理模块：负责农户、消费者、管理员三类核心角色的注册、登录、权限控制；产品管理模块：实现农产品信息审核、分类展示、上下架管理等功能；</w:t>
      </w:r>
    </w:p>
    <w:p w14:paraId="1AB0EE8F">
      <w:pPr>
        <w:pStyle w:val="3"/>
        <w:ind w:firstLine="480"/>
        <w:jc w:val="left"/>
        <w:rPr>
          <w:rFonts w:cs="Times New Roman"/>
          <w:szCs w:val="24"/>
        </w:rPr>
      </w:pPr>
      <w:r>
        <w:rPr>
          <w:rFonts w:cs="Times New Roman"/>
          <w:szCs w:val="24"/>
        </w:rPr>
        <w:t>订单管理模块：处理订单生成、状态跟踪、订单查询等核心订单流程；</w:t>
      </w:r>
    </w:p>
    <w:p w14:paraId="10BCA25E">
      <w:pPr>
        <w:pStyle w:val="3"/>
        <w:ind w:firstLine="480"/>
        <w:jc w:val="left"/>
        <w:rPr>
          <w:rFonts w:cs="Times New Roman"/>
          <w:szCs w:val="24"/>
        </w:rPr>
      </w:pPr>
      <w:r>
        <w:rPr>
          <w:rFonts w:cs="Times New Roman"/>
          <w:szCs w:val="24"/>
        </w:rPr>
        <w:t>支付与物流模块：对接主流支付接口实现交易支付，关联物流信息实现轨迹查询；</w:t>
      </w:r>
    </w:p>
    <w:p w14:paraId="2FADAF64">
      <w:pPr>
        <w:pStyle w:val="3"/>
        <w:ind w:firstLine="480"/>
        <w:jc w:val="left"/>
        <w:rPr>
          <w:rFonts w:cs="Times New Roman"/>
          <w:szCs w:val="24"/>
        </w:rPr>
      </w:pPr>
      <w:r>
        <w:rPr>
          <w:rFonts w:cs="Times New Roman"/>
          <w:szCs w:val="24"/>
        </w:rPr>
        <w:t>溯源管理模块：关联溯源码与各环节数据，支持消费者查询农产品溯源信息。</w:t>
      </w:r>
    </w:p>
    <w:p w14:paraId="352E4E7E">
      <w:pPr>
        <w:pStyle w:val="3"/>
        <w:ind w:firstLine="480"/>
        <w:jc w:val="left"/>
        <w:rPr>
          <w:rFonts w:cs="Times New Roman"/>
          <w:szCs w:val="24"/>
        </w:rPr>
      </w:pPr>
    </w:p>
    <w:p w14:paraId="4C861655">
      <w:pPr>
        <w:rPr>
          <w:b/>
          <w:bCs/>
          <w:sz w:val="24"/>
          <w:szCs w:val="24"/>
        </w:rPr>
      </w:pPr>
      <w:r>
        <w:rPr>
          <w:b/>
          <w:bCs/>
          <w:sz w:val="24"/>
          <w:szCs w:val="24"/>
        </w:rPr>
        <w:t>应用交互层</w:t>
      </w:r>
      <w:r>
        <w:rPr>
          <w:rFonts w:hint="eastAsia"/>
          <w:b/>
          <w:bCs/>
          <w:sz w:val="24"/>
          <w:szCs w:val="24"/>
        </w:rPr>
        <w:t>：</w:t>
      </w:r>
    </w:p>
    <w:p w14:paraId="4F139D8F">
      <w:pPr>
        <w:pStyle w:val="3"/>
        <w:ind w:firstLine="480"/>
        <w:jc w:val="left"/>
        <w:rPr>
          <w:rFonts w:cs="Times New Roman"/>
          <w:szCs w:val="24"/>
        </w:rPr>
      </w:pPr>
      <w:r>
        <w:rPr>
          <w:rFonts w:cs="Times New Roman"/>
          <w:szCs w:val="24"/>
        </w:rPr>
        <w:t>面向不同用户提供可视化操作界面，采用响应式设计适配不同终端，核心应用包括：</w:t>
      </w:r>
    </w:p>
    <w:p w14:paraId="3E905941">
      <w:pPr>
        <w:pStyle w:val="3"/>
        <w:ind w:firstLine="480"/>
        <w:jc w:val="left"/>
        <w:rPr>
          <w:rFonts w:cs="Times New Roman"/>
          <w:szCs w:val="24"/>
        </w:rPr>
      </w:pPr>
      <w:r>
        <w:rPr>
          <w:rFonts w:cs="Times New Roman"/>
          <w:szCs w:val="24"/>
        </w:rPr>
        <w:t>农户端：网页端，支持农产品信息发布、订单查看、资金结算查询；</w:t>
      </w:r>
    </w:p>
    <w:p w14:paraId="42BCF871">
      <w:pPr>
        <w:pStyle w:val="3"/>
        <w:ind w:firstLine="480"/>
        <w:jc w:val="left"/>
        <w:rPr>
          <w:rFonts w:cs="Times New Roman"/>
          <w:szCs w:val="24"/>
        </w:rPr>
      </w:pPr>
      <w:r>
        <w:rPr>
          <w:rFonts w:cs="Times New Roman"/>
          <w:szCs w:val="24"/>
        </w:rPr>
        <w:t>消费者端：微信小程序或网页商城，支</w:t>
      </w:r>
      <w:bookmarkStart w:id="20" w:name="_GoBack"/>
      <w:bookmarkEnd w:id="20"/>
      <w:r>
        <w:rPr>
          <w:rFonts w:cs="Times New Roman"/>
          <w:szCs w:val="24"/>
        </w:rPr>
        <w:t>持农产品浏览、下单、溯源查询、评价；</w:t>
      </w:r>
    </w:p>
    <w:p w14:paraId="6693DB1E">
      <w:pPr>
        <w:pStyle w:val="3"/>
        <w:ind w:firstLine="480"/>
        <w:jc w:val="left"/>
        <w:rPr>
          <w:rFonts w:cs="Times New Roman"/>
          <w:szCs w:val="24"/>
        </w:rPr>
      </w:pPr>
      <w:r>
        <w:rPr>
          <w:rFonts w:cs="Times New Roman"/>
          <w:szCs w:val="24"/>
        </w:rPr>
        <w:t>管理员后台：网页端，实现用户管理、产品审核、订单监控、数据统计等功能。</w:t>
      </w:r>
    </w:p>
    <w:p w14:paraId="514A0675">
      <w:pPr>
        <w:pStyle w:val="3"/>
        <w:ind w:firstLine="0" w:firstLineChars="0"/>
        <w:rPr>
          <w:rFonts w:hint="eastAsia" w:ascii="宋体" w:hAnsi="宋体" w:cs="宋体"/>
          <w:szCs w:val="24"/>
        </w:rPr>
      </w:pPr>
    </w:p>
    <w:p w14:paraId="1FE69A50">
      <w:pPr>
        <w:pStyle w:val="4"/>
      </w:pPr>
      <w:r>
        <w:rPr>
          <w:rFonts w:hint="eastAsia"/>
        </w:rPr>
        <w:t>关键业务实现流程</w:t>
      </w:r>
    </w:p>
    <w:p w14:paraId="6CBAA070">
      <w:pPr>
        <w:pStyle w:val="3"/>
        <w:ind w:firstLine="480"/>
        <w:rPr>
          <w:rFonts w:cs="宋体"/>
          <w:kern w:val="0"/>
          <w:szCs w:val="24"/>
        </w:rPr>
      </w:pPr>
      <w:r>
        <w:rPr>
          <w:rFonts w:cs="宋体"/>
          <w:kern w:val="0"/>
          <w:szCs w:val="24"/>
        </w:rPr>
        <w:t>基于现有研究与实践案例，助农电商系统的核心业务流程已形成标准化范式，可归纳为“商品发布-交易流转-评价反馈”的闭环体系</w:t>
      </w:r>
      <w:r>
        <w:rPr>
          <w:rFonts w:cs="宋体"/>
          <w:kern w:val="0"/>
          <w:szCs w:val="24"/>
          <w:vertAlign w:val="superscript"/>
        </w:rPr>
        <w:fldChar w:fldCharType="begin"/>
      </w:r>
      <w:r>
        <w:rPr>
          <w:rFonts w:cs="宋体"/>
          <w:kern w:val="0"/>
          <w:szCs w:val="24"/>
          <w:vertAlign w:val="superscript"/>
        </w:rPr>
        <w:instrText xml:space="preserve"> REF _Ref218217709 \r \h  \* MERGEFORMAT </w:instrText>
      </w:r>
      <w:r>
        <w:rPr>
          <w:rFonts w:cs="宋体"/>
          <w:kern w:val="0"/>
          <w:szCs w:val="24"/>
          <w:vertAlign w:val="superscript"/>
        </w:rPr>
        <w:fldChar w:fldCharType="separate"/>
      </w:r>
      <w:r>
        <w:rPr>
          <w:rFonts w:cs="宋体"/>
          <w:kern w:val="0"/>
          <w:szCs w:val="24"/>
          <w:vertAlign w:val="superscript"/>
        </w:rPr>
        <w:t>[17]</w:t>
      </w:r>
      <w:r>
        <w:rPr>
          <w:rFonts w:cs="宋体"/>
          <w:kern w:val="0"/>
          <w:szCs w:val="24"/>
          <w:vertAlign w:val="superscript"/>
        </w:rPr>
        <w:fldChar w:fldCharType="end"/>
      </w:r>
      <w:r>
        <w:rPr>
          <w:rFonts w:cs="宋体"/>
          <w:kern w:val="0"/>
          <w:szCs w:val="24"/>
        </w:rPr>
        <w:t>，具体流程如下：</w:t>
      </w:r>
    </w:p>
    <w:p w14:paraId="4EA9DD6D">
      <w:pPr>
        <w:pStyle w:val="3"/>
        <w:ind w:firstLine="480"/>
        <w:rPr>
          <w:rFonts w:cs="宋体"/>
          <w:kern w:val="0"/>
          <w:szCs w:val="24"/>
        </w:rPr>
      </w:pPr>
      <w:r>
        <w:rPr>
          <w:rFonts w:cs="宋体"/>
          <w:kern w:val="0"/>
          <w:szCs w:val="24"/>
        </w:rPr>
        <w:t>1. 商品发布与溯源录入：农户（商户）上传商品基础信息（名称、规格、价格等）时，同步录入产地、生长周期、施肥记录等溯源数据，系统自动生成唯一溯源码，实现商品信息与溯源信息的绑定存储</w:t>
      </w:r>
      <w:r>
        <w:rPr>
          <w:rFonts w:cs="宋体"/>
          <w:kern w:val="0"/>
          <w:szCs w:val="24"/>
          <w:vertAlign w:val="superscript"/>
        </w:rPr>
        <w:fldChar w:fldCharType="begin"/>
      </w:r>
      <w:r>
        <w:rPr>
          <w:rFonts w:cs="宋体"/>
          <w:kern w:val="0"/>
          <w:szCs w:val="24"/>
          <w:vertAlign w:val="superscript"/>
        </w:rPr>
        <w:instrText xml:space="preserve"> REF _Ref218217721 \r \h  \* MERGEFORMAT </w:instrText>
      </w:r>
      <w:r>
        <w:rPr>
          <w:rFonts w:cs="宋体"/>
          <w:kern w:val="0"/>
          <w:szCs w:val="24"/>
          <w:vertAlign w:val="superscript"/>
        </w:rPr>
        <w:fldChar w:fldCharType="separate"/>
      </w:r>
      <w:r>
        <w:rPr>
          <w:rFonts w:cs="宋体"/>
          <w:kern w:val="0"/>
          <w:szCs w:val="24"/>
          <w:vertAlign w:val="superscript"/>
        </w:rPr>
        <w:t>[18]</w:t>
      </w:r>
      <w:r>
        <w:rPr>
          <w:rFonts w:cs="宋体"/>
          <w:kern w:val="0"/>
          <w:szCs w:val="24"/>
          <w:vertAlign w:val="superscript"/>
        </w:rPr>
        <w:fldChar w:fldCharType="end"/>
      </w:r>
      <w:r>
        <w:rPr>
          <w:rFonts w:cs="宋体"/>
          <w:kern w:val="0"/>
          <w:szCs w:val="24"/>
        </w:rPr>
        <w:t>；</w:t>
      </w:r>
    </w:p>
    <w:p w14:paraId="65A0786F">
      <w:pPr>
        <w:pStyle w:val="3"/>
        <w:ind w:firstLine="480"/>
        <w:rPr>
          <w:rFonts w:cs="宋体"/>
          <w:kern w:val="0"/>
          <w:szCs w:val="24"/>
        </w:rPr>
      </w:pPr>
      <w:r>
        <w:rPr>
          <w:rFonts w:cs="宋体"/>
          <w:kern w:val="0"/>
          <w:szCs w:val="24"/>
        </w:rPr>
        <w:t>2. 交易与状态流转：消费者完成下单后，系统通过数据库事务（Transaction）机制保障库存扣减与订单生成的原子性，避免出现超卖、漏单等问题，同时实时更新订单状态（待付款、待发货、待收货等），并同步至农户与消费者端；</w:t>
      </w:r>
    </w:p>
    <w:p w14:paraId="5839325C">
      <w:pPr>
        <w:pStyle w:val="3"/>
        <w:ind w:firstLine="480"/>
        <w:rPr>
          <w:rFonts w:cs="宋体"/>
          <w:kern w:val="0"/>
          <w:szCs w:val="24"/>
        </w:rPr>
      </w:pPr>
      <w:r>
        <w:rPr>
          <w:rFonts w:cs="宋体"/>
          <w:kern w:val="0"/>
          <w:szCs w:val="24"/>
        </w:rPr>
        <w:t>3. 评价与反馈闭环：交易完成后，消费者可提交商品质量、物流服务等评价数据，系统将评价结果与商品排序权重关联，形成“评价-排序-曝光”的良性循环，引导农户提升商品与服务质量。</w:t>
      </w:r>
    </w:p>
    <w:p w14:paraId="254DCCD0">
      <w:pPr>
        <w:pStyle w:val="2"/>
        <w:spacing w:before="312"/>
      </w:pPr>
      <w:r>
        <w:rPr>
          <w:rFonts w:hint="eastAsia"/>
        </w:rPr>
        <w:t>助农系统设计与实现的关键问题</w:t>
      </w:r>
    </w:p>
    <w:p w14:paraId="34B715CA">
      <w:pPr>
        <w:pStyle w:val="4"/>
      </w:pPr>
      <w:r>
        <w:rPr>
          <w:rFonts w:hint="eastAsia"/>
        </w:rPr>
        <w:t>农户使用门槛的降低问题</w:t>
      </w:r>
    </w:p>
    <w:p w14:paraId="6ECBB222">
      <w:pPr>
        <w:pStyle w:val="3"/>
        <w:ind w:firstLine="480"/>
      </w:pPr>
      <w:r>
        <w:t>降低使用门槛是助农系统区别于通用电商平台的核心特征，也是系统能否落地推广的关键。若系统操作流程复杂，将导致农户无法独立完成商品发布、订单管理等核心操作。解决该问题的核心在于前端交互设计的极简优化：需将库存管理、规格设置等复杂功能封装于直观的图形化界面背后，简化操作步骤；同时可引入语音输入、图片识别等辅助功能，替代传统的文字输入操作，实现“傻瓜式”交互体验，适配农村用户的操作习惯与技能水平。</w:t>
      </w:r>
    </w:p>
    <w:p w14:paraId="177DB4B2">
      <w:pPr>
        <w:pStyle w:val="3"/>
        <w:ind w:firstLine="480"/>
      </w:pPr>
    </w:p>
    <w:p w14:paraId="4C89CB55">
      <w:pPr>
        <w:pStyle w:val="4"/>
      </w:pPr>
      <w:r>
        <w:rPr>
          <w:rFonts w:hint="eastAsia"/>
        </w:rPr>
        <w:t>农产品信任与溯源体系构建问题</w:t>
      </w:r>
    </w:p>
    <w:p w14:paraId="5D4A5E55">
      <w:pPr>
        <w:pStyle w:val="3"/>
        <w:ind w:firstLine="480"/>
      </w:pPr>
      <w:r>
        <w:t>农产品的“非标品”属性导致其质量参差不齐，建立消费者信任是保障系统可持续运营的核心前提。该问题的解决需依托完善的溯源体系设计与数据管理：在数据库层面，需基于MySQL构建完整的溯源数据模型（Traceability Model）</w:t>
      </w:r>
      <w:r>
        <w:rPr>
          <w:vertAlign w:val="superscript"/>
        </w:rPr>
        <w:fldChar w:fldCharType="begin"/>
      </w:r>
      <w:r>
        <w:rPr>
          <w:vertAlign w:val="superscript"/>
        </w:rPr>
        <w:instrText xml:space="preserve"> REF _Ref218217734 \r \h  \* MERGEFORMAT </w:instrText>
      </w:r>
      <w:r>
        <w:rPr>
          <w:vertAlign w:val="superscript"/>
        </w:rPr>
        <w:fldChar w:fldCharType="separate"/>
      </w:r>
      <w:r>
        <w:rPr>
          <w:vertAlign w:val="superscript"/>
        </w:rPr>
        <w:t>[19]</w:t>
      </w:r>
      <w:r>
        <w:rPr>
          <w:vertAlign w:val="superscript"/>
        </w:rPr>
        <w:fldChar w:fldCharType="end"/>
      </w:r>
      <w:r>
        <w:t>，关联存储农产品生产环境、采摘时间、质检报告、物流轨迹等全链条信息；在前端层面，通过可视化图表将溯源信息直观呈现给消费者；同时可引入Redis缓存技术，提升热门商品溯源信息的查询速度，优化用户体验。</w:t>
      </w:r>
    </w:p>
    <w:p w14:paraId="0911D6A6">
      <w:pPr>
        <w:pStyle w:val="3"/>
        <w:ind w:firstLine="480"/>
      </w:pPr>
    </w:p>
    <w:p w14:paraId="0C6443C6">
      <w:pPr>
        <w:pStyle w:val="4"/>
      </w:pPr>
      <w:r>
        <w:rPr>
          <w:rFonts w:hint="eastAsia"/>
        </w:rPr>
        <w:t>高并发场景下的系统稳定性问题</w:t>
      </w:r>
    </w:p>
    <w:p w14:paraId="7D88AF82">
      <w:pPr>
        <w:pStyle w:val="3"/>
        <w:ind w:firstLine="480"/>
      </w:pPr>
      <w:r>
        <w:rPr>
          <w:rFonts w:hint="eastAsia"/>
        </w:rPr>
        <w:t>在“助农促销”等活动场景下，平台可能面临瞬间海量用户涌入的高并发压力，传统的直接数据库读写模式易导致连接池耗尽、系统响应延迟甚至宕机。结合现有技术研究，解决该问题的核心路径为：依托 Spring Boot 成熟的并发处理机制，集成 HikariCP 高性能数据库连接池以优化资源管理；引入 Redis 构建缓存中间件，对商品库存、详情等热点数据进行“缓存预热”，将绝大多数读请求拦截在内存层，极大地减少 MySQL 的 I/O 压力；同时，在核心的下单环节，利用 Redis 的原子性操作（如 Lua 脚本） 或数据库的 乐观锁（Optimistic Locking） 机制解决并发竞争问题，在保障数据强一致性的前提下，有效防止“超卖”现象，提升系统的吞吐量与可用性。</w:t>
      </w:r>
    </w:p>
    <w:p w14:paraId="7FC21159">
      <w:pPr>
        <w:pStyle w:val="2"/>
        <w:spacing w:before="312"/>
      </w:pPr>
      <w:r>
        <w:rPr>
          <w:rFonts w:hint="eastAsia"/>
        </w:rPr>
        <w:t>总结</w:t>
      </w:r>
    </w:p>
    <w:p w14:paraId="53207EBD">
      <w:pPr>
        <w:pStyle w:val="3"/>
        <w:ind w:firstLine="480"/>
      </w:pPr>
      <w:r>
        <w:rPr>
          <w:rFonts w:hint="eastAsia"/>
        </w:rPr>
        <w:t>本文系统梳理了基于Web的助农产品销售系统的相关研究成果，明确了“互联网+农业”与电商扶贫的核心内涵，总结了Web全栈技术在助农系统中的应用趋势，综合分析了国内外助农电商系统的研究现状、关键技术架构与核心业务流程，并深入剖析了系统设计与实现过程中需解决的农户使用门槛、农产品信任溯源、高并发稳定性三大关键问题。</w:t>
      </w:r>
    </w:p>
    <w:p w14:paraId="20AAF8CC">
      <w:pPr>
        <w:pStyle w:val="3"/>
        <w:ind w:firstLine="480"/>
      </w:pPr>
      <w:r>
        <w:rPr>
          <w:rFonts w:hint="eastAsia"/>
        </w:rPr>
        <w:t>现有研究表明，大型综合电商平台已无法满足贫困地区农户的专业化助农需求，垂直化、低门槛、具备溯源功能的助农销售系统成为研究热点，但当前研究仍存在三方面不足：一是对轻量级全栈技术的深度迭代应用研究较少，在Vue框架应用基础上，Vue3的组合式API、性能优化特性在助农场景下的适配性研究仍处于初步阶段；二是针对农户使用习惯的交互设计优化研究不够深入，现有方案未充分结合农村用户的操作技能与使用场景形成普适性解决方案；三是针对助农场景高并发（如助农促销活动）的性能优化研究不够系统，现有技术方案的落地成本与适配性有待进一步验证。基于此，后续研究可聚焦于轻量级全栈架构（SpringBoot+Vue3）的工程化落地规范，设计并实现功能完整、操作简便的助农产品销售系统，通过技术创新同步破解农户使用门槛、农产品信任溯源与高并发系统稳定性三大难题，构建“农户-平台-消费者”的良性生态，切实推动农村经济发展。</w:t>
      </w:r>
    </w:p>
    <w:p w14:paraId="5A175F4F">
      <w:pPr>
        <w:pStyle w:val="3"/>
        <w:ind w:firstLine="480"/>
      </w:pPr>
    </w:p>
    <w:p w14:paraId="4DB03230">
      <w:pPr>
        <w:pStyle w:val="39"/>
      </w:pPr>
      <w:r>
        <w:rPr>
          <w:rFonts w:hint="eastAsia"/>
        </w:rPr>
        <w:t>参考文献</w:t>
      </w:r>
      <w:bookmarkStart w:id="0" w:name="_Ref511245888"/>
      <w:r>
        <w:t xml:space="preserve"> </w:t>
      </w:r>
      <w:bookmarkEnd w:id="0"/>
    </w:p>
    <w:p w14:paraId="7B824921">
      <w:pPr>
        <w:pStyle w:val="40"/>
        <w:numPr>
          <w:ilvl w:val="0"/>
          <w:numId w:val="3"/>
        </w:numPr>
        <w:wordWrap w:val="0"/>
        <w:autoSpaceDE w:val="0"/>
        <w:autoSpaceDN w:val="0"/>
        <w:ind w:left="567" w:hanging="567"/>
      </w:pPr>
      <w:bookmarkStart w:id="1" w:name="_Ref10088"/>
      <w:r>
        <w:rPr>
          <w:rFonts w:hint="eastAsia"/>
        </w:rPr>
        <w:t>沈晶. 助农电商小程序AI应用架构与价值创造研究[J].村委主任,2025,(19):235-237.</w:t>
      </w:r>
      <w:bookmarkEnd w:id="1"/>
    </w:p>
    <w:p w14:paraId="503C7431">
      <w:pPr>
        <w:pStyle w:val="40"/>
        <w:numPr>
          <w:ilvl w:val="0"/>
          <w:numId w:val="3"/>
        </w:numPr>
        <w:wordWrap w:val="0"/>
        <w:autoSpaceDE w:val="0"/>
        <w:autoSpaceDN w:val="0"/>
        <w:ind w:left="567" w:hanging="567"/>
      </w:pPr>
      <w:bookmarkStart w:id="2" w:name="_Ref10209"/>
      <w:r>
        <w:rPr>
          <w:rFonts w:hint="eastAsia"/>
        </w:rPr>
        <w:t>马文君. 基于乡村振兴战略的电商助农发展策略研究[J].现代商业研究,2024,(15):170-172.</w:t>
      </w:r>
      <w:bookmarkEnd w:id="2"/>
    </w:p>
    <w:p w14:paraId="3A4269B9">
      <w:pPr>
        <w:pStyle w:val="40"/>
        <w:numPr>
          <w:ilvl w:val="0"/>
          <w:numId w:val="3"/>
        </w:numPr>
        <w:wordWrap w:val="0"/>
        <w:autoSpaceDE w:val="0"/>
        <w:autoSpaceDN w:val="0"/>
        <w:ind w:left="567" w:hanging="567"/>
      </w:pPr>
      <w:bookmarkStart w:id="3" w:name="_Ref10542"/>
      <w:r>
        <w:rPr>
          <w:rFonts w:hint="eastAsia"/>
        </w:rPr>
        <w:t xml:space="preserve">刘启伟. 基于Vue.js框架的Web前端开发工具的设计与实现[D].北京邮电大学,2021.DOI:10.26969/d.cnki.gbydu.2021.002714. </w:t>
      </w:r>
      <w:bookmarkEnd w:id="3"/>
    </w:p>
    <w:p w14:paraId="20DEA398">
      <w:pPr>
        <w:pStyle w:val="40"/>
        <w:numPr>
          <w:ilvl w:val="0"/>
          <w:numId w:val="3"/>
        </w:numPr>
        <w:wordWrap w:val="0"/>
        <w:autoSpaceDE w:val="0"/>
        <w:autoSpaceDN w:val="0"/>
        <w:ind w:left="567" w:hanging="567"/>
      </w:pPr>
      <w:bookmarkStart w:id="4" w:name="_Ref10875"/>
      <w:r>
        <w:rPr>
          <w:rFonts w:hint="eastAsia"/>
        </w:rPr>
        <w:t>刘亚茹,张军. Vue.js框架在网站前端开发中的研究[J].电脑编程技巧与维护,2022,(01):18-19+39.DOI:10.16184/j.cnki.comprg.2022.01.009.</w:t>
      </w:r>
      <w:bookmarkEnd w:id="4"/>
    </w:p>
    <w:p w14:paraId="1836B957">
      <w:pPr>
        <w:pStyle w:val="40"/>
        <w:numPr>
          <w:ilvl w:val="0"/>
          <w:numId w:val="3"/>
        </w:numPr>
        <w:wordWrap w:val="0"/>
        <w:autoSpaceDE w:val="0"/>
        <w:autoSpaceDN w:val="0"/>
        <w:ind w:left="567" w:hanging="567"/>
      </w:pPr>
      <w:bookmarkStart w:id="5" w:name="_Ref10950"/>
      <w:r>
        <w:rPr>
          <w:rFonts w:hint="eastAsia"/>
        </w:rPr>
        <w:t>李晓薇. vue.js前端应用技术分析[J].网络安全技术与应用,2022,(04):44-45.</w:t>
      </w:r>
      <w:bookmarkEnd w:id="5"/>
    </w:p>
    <w:p w14:paraId="0670FE26">
      <w:pPr>
        <w:pStyle w:val="40"/>
        <w:numPr>
          <w:ilvl w:val="0"/>
          <w:numId w:val="3"/>
        </w:numPr>
        <w:wordWrap w:val="0"/>
        <w:autoSpaceDE w:val="0"/>
        <w:autoSpaceDN w:val="0"/>
        <w:ind w:left="567" w:hanging="567"/>
      </w:pPr>
      <w:bookmarkStart w:id="6" w:name="_Ref10954"/>
      <w:r>
        <w:rPr>
          <w:rFonts w:hint="eastAsia"/>
        </w:rPr>
        <w:t>方生. 基于“Vue.js”前端框架技术的研究[J].电脑知识与技术,2021,17(19):59-60+64.DOI:10.14004/j.cnki.ckt.2021.1863.</w:t>
      </w:r>
      <w:bookmarkEnd w:id="6"/>
    </w:p>
    <w:p w14:paraId="37D2AC7B">
      <w:pPr>
        <w:pStyle w:val="40"/>
        <w:numPr>
          <w:ilvl w:val="0"/>
          <w:numId w:val="3"/>
        </w:numPr>
        <w:wordWrap w:val="0"/>
        <w:autoSpaceDE w:val="0"/>
        <w:autoSpaceDN w:val="0"/>
        <w:ind w:left="567" w:hanging="567"/>
      </w:pPr>
      <w:bookmarkStart w:id="7" w:name="_Ref218217300"/>
      <w:r>
        <w:rPr>
          <w:rFonts w:hint="eastAsia"/>
        </w:rPr>
        <w:t>耿庆阳. 基于Spring Boot与Vue的电子商城设计与实现[D].西安石油大学,2020.DOI:10.27400/d.cnki.gxasc.2020.000569.</w:t>
      </w:r>
      <w:bookmarkEnd w:id="7"/>
      <w:r>
        <w:rPr>
          <w:rFonts w:hint="eastAsia"/>
        </w:rPr>
        <w:t xml:space="preserve"> </w:t>
      </w:r>
    </w:p>
    <w:p w14:paraId="282FB8C3">
      <w:pPr>
        <w:pStyle w:val="40"/>
        <w:numPr>
          <w:ilvl w:val="0"/>
          <w:numId w:val="3"/>
        </w:numPr>
        <w:wordWrap w:val="0"/>
        <w:autoSpaceDE w:val="0"/>
        <w:autoSpaceDN w:val="0"/>
        <w:ind w:left="567" w:hanging="567"/>
      </w:pPr>
      <w:bookmarkStart w:id="8" w:name="_Ref218217325"/>
      <w:r>
        <w:rPr>
          <w:rFonts w:hint="eastAsia"/>
        </w:rPr>
        <w:t>喻佳,吴丹新. 基于SpringBoot的Web快速开发框架[J].电脑编程技巧与维护,2021,(09):31-33.DOI:10.16184/j.cnki.comprg.2021.09.013.</w:t>
      </w:r>
      <w:bookmarkEnd w:id="8"/>
    </w:p>
    <w:p w14:paraId="49CFCEA8">
      <w:pPr>
        <w:pStyle w:val="40"/>
        <w:numPr>
          <w:ilvl w:val="0"/>
          <w:numId w:val="3"/>
        </w:numPr>
        <w:wordWrap w:val="0"/>
        <w:autoSpaceDE w:val="0"/>
        <w:autoSpaceDN w:val="0"/>
        <w:ind w:left="567" w:hanging="567"/>
      </w:pPr>
      <w:bookmarkStart w:id="9" w:name="_Ref218217341"/>
      <w:r>
        <w:rPr>
          <w:rFonts w:hint="eastAsia"/>
        </w:rPr>
        <w:t>Mustafa M F M S, Navaranjan N, Demirovic A. Food cold chain logistics and management: A review of current development and emerging trends[J]. Journal of Agriculture and Food Research, 2024, 18: 101343.</w:t>
      </w:r>
      <w:bookmarkEnd w:id="9"/>
    </w:p>
    <w:p w14:paraId="4437D740">
      <w:pPr>
        <w:pStyle w:val="40"/>
        <w:numPr>
          <w:ilvl w:val="0"/>
          <w:numId w:val="3"/>
        </w:numPr>
        <w:wordWrap w:val="0"/>
        <w:autoSpaceDE w:val="0"/>
        <w:autoSpaceDN w:val="0"/>
        <w:ind w:left="567" w:hanging="567"/>
      </w:pPr>
      <w:bookmarkStart w:id="10" w:name="_Ref218217386"/>
      <w:r>
        <w:rPr>
          <w:rFonts w:hint="eastAsia"/>
        </w:rPr>
        <w:t>Ellahi R M, Wood L C, Bekhit A E D A. Blockchain-driven food supply chains: a systematic review for unexplored opportunities[J]. Applied sciences, 2024, 14(19): 8944.</w:t>
      </w:r>
      <w:bookmarkEnd w:id="10"/>
    </w:p>
    <w:p w14:paraId="2D499262">
      <w:pPr>
        <w:pStyle w:val="40"/>
        <w:numPr>
          <w:ilvl w:val="0"/>
          <w:numId w:val="3"/>
        </w:numPr>
        <w:wordWrap w:val="0"/>
        <w:autoSpaceDE w:val="0"/>
        <w:autoSpaceDN w:val="0"/>
        <w:ind w:left="567" w:hanging="567"/>
      </w:pPr>
      <w:bookmarkStart w:id="11" w:name="_Ref218217412"/>
      <w:r>
        <w:rPr>
          <w:rFonts w:hint="eastAsia"/>
        </w:rPr>
        <w:t>周应恒,刘常瑜. “淘宝村”农户电商创业集聚现象的成因探究——基于沙集镇和颜集镇的调研[J].南方经济,2018,(01):62-84.DOI:10.19592/j.cnki.scje.341294.</w:t>
      </w:r>
      <w:bookmarkEnd w:id="11"/>
    </w:p>
    <w:p w14:paraId="7A819529">
      <w:pPr>
        <w:pStyle w:val="40"/>
        <w:numPr>
          <w:ilvl w:val="0"/>
          <w:numId w:val="3"/>
        </w:numPr>
        <w:wordWrap w:val="0"/>
        <w:autoSpaceDE w:val="0"/>
        <w:autoSpaceDN w:val="0"/>
        <w:ind w:left="567" w:hanging="567"/>
      </w:pPr>
      <w:bookmarkStart w:id="12" w:name="_Ref218217427"/>
      <w:r>
        <w:rPr>
          <w:rFonts w:hint="eastAsia"/>
        </w:rPr>
        <w:t>李开静. 农村电商助农增收的现实困境与优化路径[J]. E-Commerce Letters, 2024, 13: 4982.</w:t>
      </w:r>
      <w:bookmarkEnd w:id="12"/>
    </w:p>
    <w:p w14:paraId="584444BF">
      <w:pPr>
        <w:pStyle w:val="40"/>
        <w:numPr>
          <w:ilvl w:val="0"/>
          <w:numId w:val="3"/>
        </w:numPr>
        <w:wordWrap w:val="0"/>
        <w:autoSpaceDE w:val="0"/>
        <w:autoSpaceDN w:val="0"/>
        <w:ind w:left="567" w:hanging="567"/>
      </w:pPr>
      <w:bookmarkStart w:id="13" w:name="_Ref218217439"/>
      <w:r>
        <w:rPr>
          <w:rFonts w:hint="eastAsia"/>
        </w:rPr>
        <w:t>颜强,王国丽,陈加友. 农产品电商精准扶贫的路径与对策——以贵州贫困农村为例[J].农村经济,2018,(02):45-51.DOI:10.26957/j.cnki.cn51-1029/f.2018.02.008.</w:t>
      </w:r>
      <w:bookmarkEnd w:id="13"/>
    </w:p>
    <w:p w14:paraId="4E0E4128">
      <w:pPr>
        <w:pStyle w:val="40"/>
        <w:numPr>
          <w:ilvl w:val="0"/>
          <w:numId w:val="3"/>
        </w:numPr>
        <w:wordWrap w:val="0"/>
        <w:autoSpaceDE w:val="0"/>
        <w:autoSpaceDN w:val="0"/>
        <w:ind w:left="567" w:hanging="567"/>
      </w:pPr>
      <w:bookmarkStart w:id="14" w:name="_Ref218217459"/>
      <w:r>
        <w:rPr>
          <w:rFonts w:hint="eastAsia"/>
        </w:rPr>
        <w:t>李俊. JavaWeb开发中前后端分离架构的技术创新研究[J].数字通信世界,2025,(11):53-55.</w:t>
      </w:r>
      <w:bookmarkEnd w:id="14"/>
    </w:p>
    <w:p w14:paraId="13E67958">
      <w:pPr>
        <w:pStyle w:val="40"/>
        <w:numPr>
          <w:ilvl w:val="0"/>
          <w:numId w:val="3"/>
        </w:numPr>
        <w:wordWrap w:val="0"/>
        <w:autoSpaceDE w:val="0"/>
        <w:autoSpaceDN w:val="0"/>
        <w:ind w:left="567" w:hanging="567"/>
      </w:pPr>
      <w:bookmarkStart w:id="15" w:name="_Ref218217487"/>
      <w:r>
        <w:rPr>
          <w:rFonts w:hint="eastAsia"/>
        </w:rPr>
        <w:t>唐双林. 基于Vue和SpringBoot架构的智能推荐农产品团购销售系统[D].重庆三峡学院,2023.DOI:10.27883/d.cnki.gcqsx.2023.000390.</w:t>
      </w:r>
      <w:bookmarkEnd w:id="15"/>
      <w:r>
        <w:rPr>
          <w:rFonts w:hint="eastAsia"/>
        </w:rPr>
        <w:t xml:space="preserve"> </w:t>
      </w:r>
    </w:p>
    <w:p w14:paraId="0BC9E855">
      <w:pPr>
        <w:pStyle w:val="40"/>
        <w:numPr>
          <w:ilvl w:val="0"/>
          <w:numId w:val="3"/>
        </w:numPr>
        <w:wordWrap w:val="0"/>
        <w:autoSpaceDE w:val="0"/>
        <w:autoSpaceDN w:val="0"/>
        <w:ind w:left="567" w:hanging="567"/>
      </w:pPr>
      <w:bookmarkStart w:id="16" w:name="_Ref218217488"/>
      <w:r>
        <w:rPr>
          <w:rFonts w:hint="eastAsia"/>
        </w:rPr>
        <w:t>陈小燕,朱映辉,余晓春. 基于SpringBoot+Vue的好农物商城的设计与实现[J].电脑知识与技术,2022,18(22):37-39.DOI:10.14004/j.cnki.ckt.2022.1535.</w:t>
      </w:r>
      <w:bookmarkEnd w:id="16"/>
    </w:p>
    <w:p w14:paraId="5BE2C3AB">
      <w:pPr>
        <w:pStyle w:val="40"/>
        <w:numPr>
          <w:ilvl w:val="0"/>
          <w:numId w:val="3"/>
        </w:numPr>
        <w:wordWrap w:val="0"/>
        <w:autoSpaceDE w:val="0"/>
        <w:autoSpaceDN w:val="0"/>
        <w:ind w:left="567" w:hanging="567"/>
      </w:pPr>
      <w:bookmarkStart w:id="17" w:name="_Ref218217709"/>
      <w:r>
        <w:rPr>
          <w:rFonts w:hint="eastAsia"/>
        </w:rPr>
        <w:t>李俊彦. 基于Web的电商平台的设计与开发[J].商场现代化,2022,(21):31-33.DOI:10.14013/j.cnki.scxdh.2022.21.027.</w:t>
      </w:r>
      <w:bookmarkEnd w:id="17"/>
    </w:p>
    <w:p w14:paraId="25795934">
      <w:pPr>
        <w:pStyle w:val="40"/>
        <w:numPr>
          <w:ilvl w:val="0"/>
          <w:numId w:val="3"/>
        </w:numPr>
        <w:wordWrap w:val="0"/>
        <w:autoSpaceDE w:val="0"/>
        <w:autoSpaceDN w:val="0"/>
        <w:ind w:left="567" w:hanging="567"/>
      </w:pPr>
      <w:bookmarkStart w:id="18" w:name="_Ref218217721"/>
      <w:r>
        <w:rPr>
          <w:rFonts w:hint="eastAsia"/>
        </w:rPr>
        <w:t>孙维青. 基于区块链的农产品供应链可信溯源系统研究与实现[D].山东科技大学,2023.DOI:10.27275/d.cnki.gsdku.2023.001673.</w:t>
      </w:r>
      <w:bookmarkEnd w:id="18"/>
      <w:r>
        <w:rPr>
          <w:rFonts w:hint="eastAsia"/>
        </w:rPr>
        <w:t xml:space="preserve"> </w:t>
      </w:r>
    </w:p>
    <w:p w14:paraId="3B5FF0D0">
      <w:pPr>
        <w:pStyle w:val="40"/>
        <w:numPr>
          <w:ilvl w:val="0"/>
          <w:numId w:val="3"/>
        </w:numPr>
        <w:wordWrap w:val="0"/>
        <w:autoSpaceDE w:val="0"/>
        <w:autoSpaceDN w:val="0"/>
        <w:ind w:left="567" w:hanging="567"/>
      </w:pPr>
      <w:bookmarkStart w:id="19" w:name="_Ref218217734"/>
      <w:r>
        <w:rPr>
          <w:rFonts w:hint="eastAsia"/>
        </w:rPr>
        <w:t>尹丽红. 基于区块链的农业科学数据溯源模型构建与应用研究[D].山东理工大学,2024.DOI:10.27276/d.cnki.gsdgc.2024.000323.</w:t>
      </w:r>
      <w:bookmarkEnd w:id="19"/>
      <w:r>
        <w:rPr>
          <w:rFonts w:hint="eastAsia"/>
        </w:rPr>
        <w:t xml:space="preserve"> </w:t>
      </w:r>
    </w:p>
    <w:p w14:paraId="6AA63BFE">
      <w:pPr>
        <w:pStyle w:val="40"/>
        <w:numPr>
          <w:ilvl w:val="0"/>
          <w:numId w:val="0"/>
        </w:numPr>
        <w:ind w:left="420"/>
      </w:pPr>
    </w:p>
    <w:sectPr>
      <w:headerReference r:id="rId8" w:type="first"/>
      <w:footerReference r:id="rId9" w:type="first"/>
      <w:headerReference r:id="rId7" w:type="default"/>
      <w:pgSz w:w="11906" w:h="16838"/>
      <w:pgMar w:top="1440" w:right="1800" w:bottom="1440" w:left="1800" w:header="851" w:footer="992" w:gutter="0"/>
      <w:pgNumType w:fmt="numberInDash"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sdtPr>
    <w:sdtContent>
      <w:p w14:paraId="6E445E0C">
        <w:pPr>
          <w:pStyle w:val="14"/>
          <w:jc w:val="center"/>
        </w:pPr>
        <w:r>
          <w:fldChar w:fldCharType="begin"/>
        </w:r>
        <w:r>
          <w:instrText xml:space="preserve">PAGE   \* MERGEFORMAT</w:instrText>
        </w:r>
        <w:r>
          <w:fldChar w:fldCharType="separate"/>
        </w:r>
        <w:r>
          <w:rPr>
            <w:lang w:val="zh-CN"/>
          </w:rPr>
          <w:t>-</w:t>
        </w:r>
        <w:r>
          <w:t xml:space="preserve"> 5 -</w:t>
        </w:r>
        <w:r>
          <w:fldChar w:fldCharType="end"/>
        </w:r>
      </w:p>
    </w:sdtContent>
  </w:sdt>
  <w:p w14:paraId="4FD8E4D9">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53402080"/>
    </w:sdtPr>
    <w:sdtContent>
      <w:p w14:paraId="06125C1F">
        <w:pPr>
          <w:pStyle w:val="14"/>
          <w:jc w:val="center"/>
        </w:pPr>
        <w:r>
          <w:fldChar w:fldCharType="begin"/>
        </w:r>
        <w:r>
          <w:instrText xml:space="preserve">PAGE   \* MERGEFORMAT</w:instrText>
        </w:r>
        <w:r>
          <w:fldChar w:fldCharType="separate"/>
        </w:r>
        <w:r>
          <w:rPr>
            <w:lang w:val="zh-CN"/>
          </w:rPr>
          <w:t>-</w:t>
        </w:r>
        <w:r>
          <w:t xml:space="preserve"> 1 -</w:t>
        </w:r>
        <w:r>
          <w:fldChar w:fldCharType="end"/>
        </w:r>
      </w:p>
    </w:sdtContent>
  </w:sdt>
  <w:p w14:paraId="0964C62A">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DE157">
    <w:pPr>
      <w:pStyle w:val="15"/>
      <w:tabs>
        <w:tab w:val="clear" w:pos="4153"/>
      </w:tabs>
      <w:jc w:val="left"/>
    </w:pPr>
    <w:r>
      <w:tab/>
    </w:r>
    <w:r>
      <w:t>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99DF2">
    <w:pPr>
      <w:pStyle w:val="15"/>
      <w:tabs>
        <w:tab w:val="clear" w:pos="4153"/>
      </w:tabs>
      <w:jc w:val="left"/>
    </w:pPr>
    <w:r>
      <w:t>毕业设计文档</w:t>
    </w:r>
    <w:r>
      <w:tab/>
    </w:r>
    <w:r>
      <w:t>文献综述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051BB">
    <w:pPr>
      <w:pStyle w:val="15"/>
      <w:tabs>
        <w:tab w:val="clear" w:pos="4153"/>
      </w:tabs>
      <w:jc w:val="left"/>
    </w:pPr>
    <w:r>
      <w:t>毕业设计文档</w:t>
    </w:r>
    <w:r>
      <w:tab/>
    </w:r>
    <w:r>
      <w:t>文献综述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6BE3C1"/>
    <w:multiLevelType w:val="singleLevel"/>
    <w:tmpl w:val="DF6BE3C1"/>
    <w:lvl w:ilvl="0" w:tentative="0">
      <w:start w:val="1"/>
      <w:numFmt w:val="decimal"/>
      <w:lvlText w:val="[%1]"/>
      <w:lvlJc w:val="left"/>
      <w:pPr>
        <w:tabs>
          <w:tab w:val="left" w:pos="567"/>
        </w:tabs>
        <w:ind w:left="0" w:firstLine="0"/>
      </w:pPr>
      <w:rPr>
        <w:rFonts w:hint="default"/>
      </w:rPr>
    </w:lvl>
  </w:abstractNum>
  <w:abstractNum w:abstractNumId="1">
    <w:nsid w:val="0CA42125"/>
    <w:multiLevelType w:val="multilevel"/>
    <w:tmpl w:val="0CA42125"/>
    <w:lvl w:ilvl="0" w:tentative="0">
      <w:start w:val="1"/>
      <w:numFmt w:val="decimal"/>
      <w:pStyle w:val="40"/>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886"/>
    <w:rsid w:val="000C4A9A"/>
    <w:rsid w:val="00141B09"/>
    <w:rsid w:val="001F10DF"/>
    <w:rsid w:val="001F3C14"/>
    <w:rsid w:val="00212728"/>
    <w:rsid w:val="0024029E"/>
    <w:rsid w:val="00250FB6"/>
    <w:rsid w:val="00251AA3"/>
    <w:rsid w:val="00271957"/>
    <w:rsid w:val="002D1052"/>
    <w:rsid w:val="002E5F80"/>
    <w:rsid w:val="00304B0F"/>
    <w:rsid w:val="0032725E"/>
    <w:rsid w:val="003532A1"/>
    <w:rsid w:val="003553E9"/>
    <w:rsid w:val="0036719C"/>
    <w:rsid w:val="003B34F6"/>
    <w:rsid w:val="004329A6"/>
    <w:rsid w:val="00442268"/>
    <w:rsid w:val="00450135"/>
    <w:rsid w:val="004801CB"/>
    <w:rsid w:val="004C06B2"/>
    <w:rsid w:val="004C7D0E"/>
    <w:rsid w:val="00537718"/>
    <w:rsid w:val="00537909"/>
    <w:rsid w:val="00595282"/>
    <w:rsid w:val="005B5FF8"/>
    <w:rsid w:val="005C745C"/>
    <w:rsid w:val="005E0095"/>
    <w:rsid w:val="00630C96"/>
    <w:rsid w:val="00632B9F"/>
    <w:rsid w:val="006332F8"/>
    <w:rsid w:val="006411E9"/>
    <w:rsid w:val="00641322"/>
    <w:rsid w:val="006770CB"/>
    <w:rsid w:val="006807EF"/>
    <w:rsid w:val="00721886"/>
    <w:rsid w:val="0077783B"/>
    <w:rsid w:val="00802892"/>
    <w:rsid w:val="0083592E"/>
    <w:rsid w:val="008A6290"/>
    <w:rsid w:val="008C5631"/>
    <w:rsid w:val="00947239"/>
    <w:rsid w:val="009B6F4E"/>
    <w:rsid w:val="00AB3F48"/>
    <w:rsid w:val="00AF39A4"/>
    <w:rsid w:val="00B176BA"/>
    <w:rsid w:val="00B22F87"/>
    <w:rsid w:val="00B71950"/>
    <w:rsid w:val="00C22163"/>
    <w:rsid w:val="00C33913"/>
    <w:rsid w:val="00C43140"/>
    <w:rsid w:val="00D50017"/>
    <w:rsid w:val="00DB2E79"/>
    <w:rsid w:val="00EC25CE"/>
    <w:rsid w:val="00FD74A5"/>
    <w:rsid w:val="00FD7DBE"/>
    <w:rsid w:val="06DE5676"/>
    <w:rsid w:val="0FB609D6"/>
    <w:rsid w:val="0FCC47CA"/>
    <w:rsid w:val="167370F4"/>
    <w:rsid w:val="1A5D1977"/>
    <w:rsid w:val="1ACB7EC9"/>
    <w:rsid w:val="241D4B57"/>
    <w:rsid w:val="272F2CB9"/>
    <w:rsid w:val="27394954"/>
    <w:rsid w:val="287D2117"/>
    <w:rsid w:val="2F446E9D"/>
    <w:rsid w:val="308E39C6"/>
    <w:rsid w:val="32BA7107"/>
    <w:rsid w:val="4353022A"/>
    <w:rsid w:val="4B730365"/>
    <w:rsid w:val="5B2113BE"/>
    <w:rsid w:val="5D452EB9"/>
    <w:rsid w:val="60B0316A"/>
    <w:rsid w:val="61620180"/>
    <w:rsid w:val="66817C88"/>
    <w:rsid w:val="67364FD3"/>
    <w:rsid w:val="6BAE2C22"/>
    <w:rsid w:val="6BEB20BD"/>
    <w:rsid w:val="6CB63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1"/>
      <w:szCs w:val="21"/>
      <w:lang w:val="en-US" w:eastAsia="zh-CN" w:bidi="ar-SA"/>
    </w:rPr>
  </w:style>
  <w:style w:type="paragraph" w:styleId="2">
    <w:name w:val="heading 1"/>
    <w:basedOn w:val="1"/>
    <w:next w:val="3"/>
    <w:link w:val="23"/>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24"/>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25"/>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26"/>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3"/>
    <w:link w:val="27"/>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28"/>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3"/>
    <w:link w:val="29"/>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3"/>
    <w:link w:val="30"/>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3"/>
    <w:link w:val="31"/>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0">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2"/>
    <w:qFormat/>
    <w:uiPriority w:val="0"/>
    <w:pPr>
      <w:ind w:firstLine="200" w:firstLineChars="200"/>
    </w:pPr>
    <w:rPr>
      <w:sz w:val="24"/>
    </w:rPr>
  </w:style>
  <w:style w:type="paragraph" w:styleId="12">
    <w:name w:val="annotation text"/>
    <w:basedOn w:val="1"/>
    <w:link w:val="37"/>
    <w:unhideWhenUsed/>
    <w:qFormat/>
    <w:uiPriority w:val="99"/>
    <w:pPr>
      <w:jc w:val="left"/>
    </w:pPr>
  </w:style>
  <w:style w:type="paragraph" w:styleId="13">
    <w:name w:val="Balloon Text"/>
    <w:basedOn w:val="1"/>
    <w:link w:val="22"/>
    <w:semiHidden/>
    <w:unhideWhenUsed/>
    <w:qFormat/>
    <w:uiPriority w:val="99"/>
    <w:rPr>
      <w:sz w:val="18"/>
      <w:szCs w:val="18"/>
    </w:rPr>
  </w:style>
  <w:style w:type="paragraph" w:styleId="14">
    <w:name w:val="footer"/>
    <w:basedOn w:val="1"/>
    <w:link w:val="34"/>
    <w:unhideWhenUsed/>
    <w:qFormat/>
    <w:uiPriority w:val="99"/>
    <w:pPr>
      <w:tabs>
        <w:tab w:val="center" w:pos="4153"/>
        <w:tab w:val="right" w:pos="8306"/>
      </w:tabs>
      <w:snapToGrid w:val="0"/>
      <w:jc w:val="left"/>
    </w:pPr>
    <w:rPr>
      <w:sz w:val="18"/>
      <w:szCs w:val="18"/>
    </w:rPr>
  </w:style>
  <w:style w:type="paragraph" w:styleId="15">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Subtitle"/>
    <w:basedOn w:val="1"/>
    <w:next w:val="1"/>
    <w:link w:val="36"/>
    <w:qFormat/>
    <w:uiPriority w:val="11"/>
    <w:pPr>
      <w:spacing w:before="240" w:after="60" w:line="312" w:lineRule="auto"/>
      <w:jc w:val="center"/>
      <w:outlineLvl w:val="1"/>
    </w:pPr>
    <w:rPr>
      <w:rFonts w:eastAsia="黑体" w:cstheme="majorBidi"/>
      <w:b/>
      <w:bCs/>
      <w:kern w:val="28"/>
      <w:sz w:val="44"/>
      <w:szCs w:val="32"/>
    </w:rPr>
  </w:style>
  <w:style w:type="paragraph" w:styleId="17">
    <w:name w:val="Title"/>
    <w:basedOn w:val="1"/>
    <w:next w:val="1"/>
    <w:link w:val="35"/>
    <w:qFormat/>
    <w:uiPriority w:val="10"/>
    <w:pPr>
      <w:spacing w:before="240" w:after="60"/>
      <w:jc w:val="center"/>
      <w:outlineLvl w:val="0"/>
    </w:pPr>
    <w:rPr>
      <w:rFonts w:cstheme="majorBidi"/>
      <w:b/>
      <w:bCs/>
      <w:sz w:val="52"/>
      <w:szCs w:val="32"/>
    </w:rPr>
  </w:style>
  <w:style w:type="paragraph" w:styleId="18">
    <w:name w:val="annotation subject"/>
    <w:basedOn w:val="12"/>
    <w:next w:val="12"/>
    <w:link w:val="46"/>
    <w:semiHidden/>
    <w:unhideWhenUsed/>
    <w:qFormat/>
    <w:uiPriority w:val="99"/>
    <w:rPr>
      <w:b/>
      <w:bCs/>
    </w:rPr>
  </w:style>
  <w:style w:type="character" w:styleId="21">
    <w:name w:val="annotation reference"/>
    <w:basedOn w:val="20"/>
    <w:semiHidden/>
    <w:unhideWhenUsed/>
    <w:qFormat/>
    <w:uiPriority w:val="99"/>
    <w:rPr>
      <w:sz w:val="21"/>
      <w:szCs w:val="21"/>
    </w:rPr>
  </w:style>
  <w:style w:type="character" w:customStyle="1" w:styleId="22">
    <w:name w:val="批注框文本 字符"/>
    <w:basedOn w:val="20"/>
    <w:link w:val="13"/>
    <w:semiHidden/>
    <w:qFormat/>
    <w:uiPriority w:val="99"/>
    <w:rPr>
      <w:sz w:val="18"/>
      <w:szCs w:val="18"/>
    </w:rPr>
  </w:style>
  <w:style w:type="character" w:customStyle="1" w:styleId="23">
    <w:name w:val="标题 1 字符"/>
    <w:basedOn w:val="20"/>
    <w:link w:val="2"/>
    <w:qFormat/>
    <w:uiPriority w:val="9"/>
    <w:rPr>
      <w:rFonts w:ascii="Times New Roman" w:hAnsi="Times New Roman" w:eastAsia="宋体"/>
      <w:b/>
      <w:bCs/>
      <w:kern w:val="44"/>
      <w:sz w:val="30"/>
      <w:szCs w:val="44"/>
    </w:rPr>
  </w:style>
  <w:style w:type="character" w:customStyle="1" w:styleId="24">
    <w:name w:val="标题 2 字符"/>
    <w:basedOn w:val="20"/>
    <w:link w:val="4"/>
    <w:qFormat/>
    <w:uiPriority w:val="9"/>
    <w:rPr>
      <w:rFonts w:ascii="Times New Roman" w:hAnsi="Times New Roman" w:eastAsia="宋体" w:cstheme="majorBidi"/>
      <w:b/>
      <w:bCs/>
      <w:sz w:val="30"/>
      <w:szCs w:val="32"/>
    </w:rPr>
  </w:style>
  <w:style w:type="character" w:customStyle="1" w:styleId="25">
    <w:name w:val="标题 3 字符"/>
    <w:basedOn w:val="20"/>
    <w:link w:val="5"/>
    <w:qFormat/>
    <w:uiPriority w:val="9"/>
    <w:rPr>
      <w:rFonts w:ascii="Times New Roman" w:hAnsi="Times New Roman" w:eastAsia="宋体"/>
      <w:b/>
      <w:bCs/>
      <w:sz w:val="32"/>
      <w:szCs w:val="32"/>
    </w:rPr>
  </w:style>
  <w:style w:type="character" w:customStyle="1" w:styleId="26">
    <w:name w:val="标题 4 字符"/>
    <w:basedOn w:val="20"/>
    <w:link w:val="6"/>
    <w:qFormat/>
    <w:uiPriority w:val="9"/>
    <w:rPr>
      <w:rFonts w:asciiTheme="majorHAnsi" w:hAnsiTheme="majorHAnsi" w:eastAsiaTheme="majorEastAsia" w:cstheme="majorBidi"/>
      <w:b/>
      <w:bCs/>
      <w:sz w:val="28"/>
      <w:szCs w:val="28"/>
    </w:rPr>
  </w:style>
  <w:style w:type="character" w:customStyle="1" w:styleId="27">
    <w:name w:val="标题 5 字符"/>
    <w:basedOn w:val="20"/>
    <w:link w:val="7"/>
    <w:qFormat/>
    <w:uiPriority w:val="9"/>
    <w:rPr>
      <w:rFonts w:ascii="Times New Roman" w:hAnsi="Times New Roman" w:eastAsia="宋体"/>
      <w:b/>
      <w:bCs/>
      <w:sz w:val="28"/>
      <w:szCs w:val="28"/>
    </w:rPr>
  </w:style>
  <w:style w:type="character" w:customStyle="1" w:styleId="28">
    <w:name w:val="标题 6 字符"/>
    <w:basedOn w:val="20"/>
    <w:link w:val="8"/>
    <w:qFormat/>
    <w:uiPriority w:val="9"/>
    <w:rPr>
      <w:rFonts w:asciiTheme="majorHAnsi" w:hAnsiTheme="majorHAnsi" w:eastAsiaTheme="majorEastAsia" w:cstheme="majorBidi"/>
      <w:b/>
      <w:bCs/>
      <w:sz w:val="24"/>
      <w:szCs w:val="24"/>
    </w:rPr>
  </w:style>
  <w:style w:type="character" w:customStyle="1" w:styleId="29">
    <w:name w:val="标题 7 字符"/>
    <w:basedOn w:val="20"/>
    <w:link w:val="9"/>
    <w:qFormat/>
    <w:uiPriority w:val="9"/>
    <w:rPr>
      <w:rFonts w:ascii="Times New Roman" w:hAnsi="Times New Roman" w:eastAsia="宋体"/>
      <w:b/>
      <w:bCs/>
      <w:sz w:val="24"/>
      <w:szCs w:val="24"/>
    </w:rPr>
  </w:style>
  <w:style w:type="character" w:customStyle="1" w:styleId="30">
    <w:name w:val="标题 8 字符"/>
    <w:basedOn w:val="20"/>
    <w:link w:val="10"/>
    <w:qFormat/>
    <w:uiPriority w:val="9"/>
    <w:rPr>
      <w:rFonts w:asciiTheme="majorHAnsi" w:hAnsiTheme="majorHAnsi" w:eastAsiaTheme="majorEastAsia" w:cstheme="majorBidi"/>
      <w:sz w:val="24"/>
      <w:szCs w:val="24"/>
    </w:rPr>
  </w:style>
  <w:style w:type="character" w:customStyle="1" w:styleId="31">
    <w:name w:val="标题 9 字符"/>
    <w:basedOn w:val="20"/>
    <w:link w:val="11"/>
    <w:qFormat/>
    <w:uiPriority w:val="9"/>
    <w:rPr>
      <w:rFonts w:asciiTheme="majorHAnsi" w:hAnsiTheme="majorHAnsi" w:eastAsiaTheme="majorEastAsia" w:cstheme="majorBidi"/>
      <w:szCs w:val="21"/>
    </w:rPr>
  </w:style>
  <w:style w:type="character" w:customStyle="1" w:styleId="32">
    <w:name w:val="中文正文 字符"/>
    <w:basedOn w:val="20"/>
    <w:link w:val="3"/>
    <w:qFormat/>
    <w:uiPriority w:val="0"/>
    <w:rPr>
      <w:rFonts w:ascii="Times New Roman" w:hAnsi="Times New Roman" w:eastAsia="宋体"/>
      <w:sz w:val="24"/>
      <w:szCs w:val="21"/>
    </w:rPr>
  </w:style>
  <w:style w:type="character" w:customStyle="1" w:styleId="33">
    <w:name w:val="页眉 字符"/>
    <w:basedOn w:val="20"/>
    <w:link w:val="15"/>
    <w:qFormat/>
    <w:uiPriority w:val="99"/>
    <w:rPr>
      <w:rFonts w:ascii="Times New Roman" w:hAnsi="Times New Roman" w:eastAsia="宋体"/>
      <w:sz w:val="18"/>
      <w:szCs w:val="18"/>
    </w:rPr>
  </w:style>
  <w:style w:type="character" w:customStyle="1" w:styleId="34">
    <w:name w:val="页脚 字符"/>
    <w:basedOn w:val="20"/>
    <w:link w:val="14"/>
    <w:qFormat/>
    <w:uiPriority w:val="99"/>
    <w:rPr>
      <w:rFonts w:ascii="Times New Roman" w:hAnsi="Times New Roman" w:eastAsia="宋体"/>
      <w:sz w:val="18"/>
      <w:szCs w:val="18"/>
    </w:rPr>
  </w:style>
  <w:style w:type="character" w:customStyle="1" w:styleId="35">
    <w:name w:val="标题 字符"/>
    <w:basedOn w:val="20"/>
    <w:link w:val="17"/>
    <w:qFormat/>
    <w:uiPriority w:val="10"/>
    <w:rPr>
      <w:rFonts w:ascii="Times New Roman" w:hAnsi="Times New Roman" w:eastAsia="宋体" w:cstheme="majorBidi"/>
      <w:b/>
      <w:bCs/>
      <w:sz w:val="52"/>
      <w:szCs w:val="32"/>
    </w:rPr>
  </w:style>
  <w:style w:type="character" w:customStyle="1" w:styleId="36">
    <w:name w:val="副标题 字符"/>
    <w:basedOn w:val="20"/>
    <w:link w:val="16"/>
    <w:qFormat/>
    <w:uiPriority w:val="11"/>
    <w:rPr>
      <w:rFonts w:ascii="Times New Roman" w:hAnsi="Times New Roman" w:eastAsia="黑体" w:cstheme="majorBidi"/>
      <w:b/>
      <w:bCs/>
      <w:kern w:val="28"/>
      <w:sz w:val="44"/>
      <w:szCs w:val="32"/>
    </w:rPr>
  </w:style>
  <w:style w:type="character" w:customStyle="1" w:styleId="37">
    <w:name w:val="批注文字 字符"/>
    <w:basedOn w:val="20"/>
    <w:link w:val="12"/>
    <w:qFormat/>
    <w:uiPriority w:val="99"/>
    <w:rPr>
      <w:rFonts w:ascii="Times New Roman" w:hAnsi="Times New Roman" w:eastAsia="宋体"/>
      <w:szCs w:val="21"/>
    </w:rPr>
  </w:style>
  <w:style w:type="character" w:styleId="38">
    <w:name w:val="Placeholder Text"/>
    <w:basedOn w:val="20"/>
    <w:semiHidden/>
    <w:qFormat/>
    <w:uiPriority w:val="99"/>
    <w:rPr>
      <w:color w:val="808080"/>
    </w:rPr>
  </w:style>
  <w:style w:type="paragraph" w:customStyle="1" w:styleId="39">
    <w:name w:val="参考文献"/>
    <w:basedOn w:val="2"/>
    <w:link w:val="42"/>
    <w:qFormat/>
    <w:uiPriority w:val="0"/>
    <w:pPr>
      <w:numPr>
        <w:numId w:val="0"/>
      </w:numPr>
      <w:spacing w:before="312" w:after="312" w:afterLines="100"/>
      <w:ind w:left="431" w:hanging="431"/>
      <w:jc w:val="center"/>
    </w:pPr>
  </w:style>
  <w:style w:type="paragraph" w:customStyle="1" w:styleId="40">
    <w:name w:val="引文项"/>
    <w:basedOn w:val="41"/>
    <w:link w:val="45"/>
    <w:qFormat/>
    <w:uiPriority w:val="0"/>
    <w:pPr>
      <w:numPr>
        <w:ilvl w:val="0"/>
        <w:numId w:val="2"/>
      </w:numPr>
      <w:ind w:firstLine="0" w:firstLineChars="0"/>
    </w:pPr>
  </w:style>
  <w:style w:type="paragraph" w:styleId="41">
    <w:name w:val="List Paragraph"/>
    <w:basedOn w:val="1"/>
    <w:qFormat/>
    <w:uiPriority w:val="34"/>
    <w:pPr>
      <w:ind w:firstLine="420" w:firstLineChars="200"/>
    </w:pPr>
  </w:style>
  <w:style w:type="character" w:customStyle="1" w:styleId="42">
    <w:name w:val="参考文献 Char"/>
    <w:basedOn w:val="23"/>
    <w:link w:val="39"/>
    <w:qFormat/>
    <w:uiPriority w:val="0"/>
    <w:rPr>
      <w:rFonts w:ascii="Times New Roman" w:hAnsi="Times New Roman" w:eastAsia="宋体"/>
      <w:kern w:val="44"/>
      <w:sz w:val="30"/>
      <w:szCs w:val="44"/>
    </w:rPr>
  </w:style>
  <w:style w:type="paragraph" w:customStyle="1" w:styleId="43">
    <w:name w:val="引文编号"/>
    <w:basedOn w:val="3"/>
    <w:link w:val="44"/>
    <w:qFormat/>
    <w:uiPriority w:val="0"/>
    <w:pPr>
      <w:ind w:firstLine="480"/>
    </w:pPr>
    <w:rPr>
      <w:vertAlign w:val="superscript"/>
    </w:rPr>
  </w:style>
  <w:style w:type="character" w:customStyle="1" w:styleId="44">
    <w:name w:val="引文编号 Char"/>
    <w:basedOn w:val="32"/>
    <w:link w:val="43"/>
    <w:qFormat/>
    <w:uiPriority w:val="0"/>
    <w:rPr>
      <w:rFonts w:ascii="Times New Roman" w:hAnsi="Times New Roman" w:eastAsia="宋体"/>
      <w:sz w:val="24"/>
      <w:szCs w:val="21"/>
      <w:vertAlign w:val="superscript"/>
    </w:rPr>
  </w:style>
  <w:style w:type="character" w:customStyle="1" w:styleId="45">
    <w:name w:val="引文项 Char"/>
    <w:basedOn w:val="20"/>
    <w:link w:val="40"/>
    <w:qFormat/>
    <w:uiPriority w:val="0"/>
    <w:rPr>
      <w:rFonts w:ascii="Times New Roman" w:hAnsi="Times New Roman" w:eastAsia="宋体"/>
      <w:szCs w:val="21"/>
    </w:rPr>
  </w:style>
  <w:style w:type="character" w:customStyle="1" w:styleId="46">
    <w:name w:val="批注主题 字符"/>
    <w:basedOn w:val="37"/>
    <w:link w:val="18"/>
    <w:semiHidden/>
    <w:qFormat/>
    <w:uiPriority w:val="99"/>
    <w:rPr>
      <w:rFonts w:ascii="Times New Roman" w:hAnsi="Times New Roman" w:eastAsia="宋体"/>
      <w:b/>
      <w:bCs/>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12A239D950F4C01B37958FEE11438FB"/>
        <w:style w:val=""/>
        <w:category>
          <w:name w:val="常规"/>
          <w:gallery w:val="placeholder"/>
        </w:category>
        <w:types>
          <w:type w:val="bbPlcHdr"/>
        </w:types>
        <w:behaviors>
          <w:behavior w:val="content"/>
        </w:behaviors>
        <w:description w:val=""/>
        <w:guid w:val="{5E76F1BD-D5CC-4471-A9B4-B29797318482}"/>
      </w:docPartPr>
      <w:docPartBody>
        <w:p w14:paraId="070576EF">
          <w:pPr>
            <w:pStyle w:val="5"/>
            <w:rPr>
              <w:rFonts w:hint="eastAsia"/>
            </w:rPr>
          </w:pPr>
          <w:r>
            <w:rPr>
              <w:rStyle w:val="4"/>
            </w:rPr>
            <w:t>选择</w:t>
          </w:r>
        </w:p>
      </w:docPartBody>
    </w:docPart>
    <w:docPart>
      <w:docPartPr>
        <w:name w:val="3A33DA4561D742FEAB76D8AE7AE66F6A"/>
        <w:style w:val=""/>
        <w:category>
          <w:name w:val="常规"/>
          <w:gallery w:val="placeholder"/>
        </w:category>
        <w:types>
          <w:type w:val="bbPlcHdr"/>
        </w:types>
        <w:behaviors>
          <w:behavior w:val="content"/>
        </w:behaviors>
        <w:description w:val=""/>
        <w:guid w:val="{B763E541-816D-47E4-BF06-EECF0AA182AA}"/>
      </w:docPartPr>
      <w:docPartBody>
        <w:p w14:paraId="7830D105">
          <w:pPr>
            <w:pStyle w:val="6"/>
            <w:rPr>
              <w:rFonts w:hint="eastAsia"/>
            </w:rPr>
          </w:pPr>
          <w:r>
            <w:rPr>
              <w:rStyle w:val="4"/>
            </w:rPr>
            <w:t>选择一项。</w:t>
          </w:r>
        </w:p>
      </w:docPartBody>
    </w:docPart>
    <w:docPart>
      <w:docPartPr>
        <w:name w:val="9387B2BBE9AD437D912987D85852CE65"/>
        <w:style w:val=""/>
        <w:category>
          <w:name w:val="常规"/>
          <w:gallery w:val="placeholder"/>
        </w:category>
        <w:types>
          <w:type w:val="bbPlcHdr"/>
        </w:types>
        <w:behaviors>
          <w:behavior w:val="content"/>
        </w:behaviors>
        <w:description w:val=""/>
        <w:guid w:val="{AE0EB290-5E5D-47D8-9504-43615FDD7F0A}"/>
      </w:docPartPr>
      <w:docPartBody>
        <w:p w14:paraId="62FFA1CF">
          <w:pPr>
            <w:pStyle w:val="7"/>
            <w:rPr>
              <w:rFonts w:hint="eastAsia"/>
            </w:rPr>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538"/>
    <w:rsid w:val="00057B8C"/>
    <w:rsid w:val="00204CC9"/>
    <w:rsid w:val="00271957"/>
    <w:rsid w:val="00634CD4"/>
    <w:rsid w:val="00745532"/>
    <w:rsid w:val="0081054D"/>
    <w:rsid w:val="00A62CBC"/>
    <w:rsid w:val="00AC4985"/>
    <w:rsid w:val="00AD2DF6"/>
    <w:rsid w:val="00B71538"/>
    <w:rsid w:val="00B71950"/>
    <w:rsid w:val="00C22163"/>
    <w:rsid w:val="00C33913"/>
    <w:rsid w:val="00C4277E"/>
    <w:rsid w:val="00E31308"/>
    <w:rsid w:val="00EE4071"/>
    <w:rsid w:val="00F02636"/>
    <w:rsid w:val="00F25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12A239D950F4C01B37958FEE11438F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3A33DA4561D742FEAB76D8AE7AE66F6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9387B2BBE9AD437D912987D85852CE65"/>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39E49-A97F-4B5B-BC0F-ADD5FC7C7D3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5604</Words>
  <Characters>7073</Characters>
  <Lines>174</Lines>
  <Paragraphs>111</Paragraphs>
  <TotalTime>31</TotalTime>
  <ScaleCrop>false</ScaleCrop>
  <LinksUpToDate>false</LinksUpToDate>
  <CharactersWithSpaces>7188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2019-10-21T19:58:00Z</dcterms:created>
  <dc:creator>Tracy</dc:creator>
  <cp:lastModifiedBy>驾校最快驾驶员理塘丁真</cp:lastModifiedBy>
  <dcterms:modified xsi:type="dcterms:W3CDTF">2026-01-01T19:53:39Z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FF3F6186807244579A2F064C0E746199</vt:lpwstr>
  </property>
  <property fmtid="{D5CDD505-2E9C-101B-9397-08002B2CF9AE}" pid="4" name="KSOTemplateDocerSaveRecord">
    <vt:lpwstr>eyJoZGlkIjoiZDNiMjA4Zjc4ZmQxZDA5NjRkMmJlMDM3YWQwNjE2NDQiLCJ1c2VySWQiOiIxNjQ3MjIwMTIwIn0=</vt:lpwstr>
  </property>
</Properties>
</file>