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CoverKicker"/>
      </w:pPr>
      <w:r>
        <w:t xml:space="preserve">广州软件学院 · 第十九届“挑战杯”广东大学生课外学术科技作品竞赛</w:t>
      </w:r>
    </w:p>
    <w:p>
      <w:pPr>
        <w:pStyle w:val="CoverCategory"/>
      </w:pPr>
      <w:r>
        <w:t xml:space="preserve">科技发明制作类（信息技术方向）｜B3 申报材料（拟申报，类别以正式通知为准）</w:t>
      </w:r>
    </w:p>
    <w:p>
      <w:pPr>
        <w:pStyle w:val="CoverTitle"/>
      </w:pPr>
      <w:r>
        <w:t xml:space="preserve">TutorPro</w:t>
      </w:r>
    </w:p>
    <w:p>
      <w:pPr>
        <w:pStyle w:val="CoverSubtitle"/>
      </w:pPr>
      <w:r>
        <w:t xml:space="preserve">面向初中数学的人工智能辅助备课与个性化教学系统</w:t>
      </w:r>
    </w:p>
    <w:p>
      <w:pPr>
        <w:pStyle w:val="CoverReport"/>
      </w:pPr>
      <w:r>
        <w:t xml:space="preserve">技术研究报告</w:t>
      </w:r>
    </w:p>
    <w:p>
      <w:pPr>
        <w:pStyle w:val="CoverLine"/>
      </w:pPr>
      <w:r>
        <w:t xml:space="preserve">作品团队：澈知科技</w:t>
      </w:r>
    </w:p>
    <w:p>
      <w:pPr>
        <w:pStyle w:val="CoverLine"/>
      </w:pPr>
      <w:r>
        <w:t xml:space="preserve">指导教师：赵鹏（职称待确认）</w:t>
      </w:r>
    </w:p>
    <w:p>
      <w:pPr>
        <w:pStyle w:val="CoverLine"/>
      </w:pPr>
      <w:r>
        <w:t xml:space="preserve">项目负责人及成员：待按正式申报书核对填写</w:t>
      </w:r>
    </w:p>
    <w:p>
      <w:pPr>
        <w:pStyle w:val="CoverLine"/>
      </w:pPr>
      <w:r>
        <w:t xml:space="preserve">作品单位：广州软件学院（以正式申报材料为准）</w:t>
      </w:r>
    </w:p>
    <w:p>
      <w:pPr>
        <w:pStyle w:val="CoverMeta"/>
      </w:pPr>
      <w:r>
        <w:t xml:space="preserve">源码审查基准：GitHub main / 30d42477a68f080f349d70ede010aa71c745913a</w:t>
      </w:r>
    </w:p>
    <w:p>
      <w:pPr>
        <w:pStyle w:val="CoverMeta"/>
      </w:pPr>
      <w:r>
        <w:t xml:space="preserve">报告编制日期：2026年10月27日</w:t>
      </w:r>
    </w:p>
    <w:p>
      <w:pPr>
        <w:pStyle w:val="CoverNote"/>
      </w:pPr>
      <w:r>
        <w:t xml:space="preserve">证据说明：基于公开仓库源码、自动化测试配置及 GitHub CI 元数据的静态核验；未开展本报告所列新增性能或教学干预实验。</w:t>
      </w:r>
    </w:p>
    <w:p>
      <w:r>
        <w:br w:type="page"/>
      </w:r>
    </w:p>
    <w:p>
      <w:pPr>
        <w:pStyle w:val="Heading1"/>
      </w:pPr>
      <w:r>
        <w:t xml:space="preserve">摘　要</w:t>
      </w:r>
    </w:p>
    <w:p>
      <w:pPr>
        <w:pStyle w:val="Normal"/>
      </w:pPr>
      <w:r>
        <w:t xml:space="preserve">针对初中数学教学中备课材料整理耗时、试题生成与管理分散、学生错题与知识点反馈割裂、生成式人工智能输出难以追溯等问题，研究并实现 TutorPro 人工智能辅助备课与个性化教学系统。系统采用教师端 React、学生端独立 React、FastAPI 后端和 SQLAlchemy 持久化架构，围绕“教学资源输入—智能生成—教师审核—作业与试卷—错题沉淀—学情反馈”构建可操作的业务闭环。核心实现包括多服务商大模型调用策略、基于 Chroma 的教师归属知识库检索、PDF/DOCX 试卷结构化解析、面向数学公式的 PowerPoint 生成、基于 LangGraph 的受约束教师智能体，以及基于数据库快照与证据引用的学习报告。</w:t>
      </w:r>
    </w:p>
    <w:p>
      <w:pPr>
        <w:pStyle w:val="Normal"/>
      </w:pPr>
      <w:r>
        <w:t xml:space="preserve">本研究的主要工程价值在于将通用模型与向量检索、文档处理、教学数据及人工确认机制结合，并通过权限隔离、资源预算、结构化校验、错误收敛和自动化测试提升系统可维护性。对 GitHub main 分支提交 30d42477a68f080f349d70ede010aa71c745913a 的静态审查确认存在上述模块及测试工程；该提交对应的 GitHub Actions 运行记录显示 CI 成功。但代码存在与实际教学成效不同的证据层级：目前不能据此声称已取得真实课堂提分、显著备课节时、市场营收或大规模并发性能。报告给出可复现的实验设计、指标口径、待填结果表及源代码证据索引，以支撑后续竞赛答辩与实测补证。</w:t>
      </w:r>
    </w:p>
    <w:p>
      <w:pPr>
        <w:pStyle w:val="Normal"/>
      </w:pPr>
      <w:r>
        <w:t xml:space="preserve">关键词：初中数学；人工智能辅助教学；检索增强生成；个性化学习；教学数据闭环；教师智能体</w:t>
      </w:r>
    </w:p>
    <w:p>
      <w:pPr>
        <w:pStyle w:val="Heading2"/>
      </w:pPr>
      <w:r>
        <w:t xml:space="preserve">编制范围与证据等级</w:t>
      </w:r>
    </w:p>
    <w:p>
      <w:pPr>
        <w:pStyle w:val="Normal"/>
      </w:pPr>
      <w:r>
        <w:t xml:space="preserve">研究对象为 https://github.com/ljjnb666-nb/MathTutor_System，审查基准为 2026-10-27 所见 main 分支提交 30d42477a68f080f349d70ede010aa71c745913a。证据分为 A：直接阅读的实现源码；B：自动化测试文件、CI 配置和运行状态；C：尚需运行环境、人工评审或真实课堂数据支持的效果主张。A 证明实现路径，B 证明测试机制及其一次运行状态，C 不作既成事实陈述。项目申报类别、指导教师职称和成员信息需最终核对官方表格。</w:t>
      </w:r>
    </w:p>
    <w:p>
      <w:r>
        <w:br w:type="page"/>
      </w:r>
    </w:p>
    <w:p>
      <w:pPr>
        <w:pStyle w:val="Heading1"/>
      </w:pPr>
      <w:r>
        <w:t xml:space="preserve">目　录</w:t>
      </w:r>
    </w:p>
    <w:p>
      <w:pPr>
        <w:pStyle w:val="Toc"/>
      </w:pPr>
      <w:r>
        <w:t xml:space="preserve">1　绪论与研究依据</w:t>
      </w:r>
    </w:p>
    <w:p>
      <w:pPr>
        <w:pStyle w:val="Toc"/>
      </w:pPr>
      <w:r>
        <w:t xml:space="preserve">2　研究目标、需求与可行性</w:t>
      </w:r>
    </w:p>
    <w:p>
      <w:pPr>
        <w:pStyle w:val="Toc"/>
      </w:pPr>
      <w:r>
        <w:t xml:space="preserve">3　系统总体架构与技术路线</w:t>
      </w:r>
    </w:p>
    <w:p>
      <w:pPr>
        <w:pStyle w:val="Toc"/>
      </w:pPr>
      <w:r>
        <w:t xml:space="preserve">4　核心技术与关键实现</w:t>
      </w:r>
    </w:p>
    <w:p>
      <w:pPr>
        <w:pStyle w:val="Toc"/>
      </w:pPr>
      <w:r>
        <w:t xml:space="preserve">5　功能设计与数据模型</w:t>
      </w:r>
    </w:p>
    <w:p>
      <w:pPr>
        <w:pStyle w:val="Toc"/>
      </w:pPr>
      <w:r>
        <w:t xml:space="preserve">6　创新性、先进性与同类方案比较</w:t>
      </w:r>
    </w:p>
    <w:p>
      <w:pPr>
        <w:pStyle w:val="Toc"/>
      </w:pPr>
      <w:r>
        <w:t xml:space="preserve">7　验证依据、实验设计与待实测结果</w:t>
      </w:r>
    </w:p>
    <w:p>
      <w:pPr>
        <w:pStyle w:val="Toc"/>
      </w:pPr>
      <w:r>
        <w:t xml:space="preserve">8　应用场景、推广与经济可行性</w:t>
      </w:r>
    </w:p>
    <w:p>
      <w:pPr>
        <w:pStyle w:val="Toc"/>
      </w:pPr>
      <w:r>
        <w:t xml:space="preserve">9　风险、局限及改进计划</w:t>
      </w:r>
    </w:p>
    <w:p>
      <w:pPr>
        <w:pStyle w:val="Toc"/>
      </w:pPr>
      <w:r>
        <w:t xml:space="preserve">10　研究结论</w:t>
      </w:r>
    </w:p>
    <w:p>
      <w:pPr>
        <w:pStyle w:val="Toc"/>
      </w:pPr>
      <w:r>
        <w:t xml:space="preserve">参考文献</w:t>
      </w:r>
    </w:p>
    <w:p>
      <w:pPr>
        <w:pStyle w:val="Toc"/>
      </w:pPr>
      <w:r>
        <w:t xml:space="preserve">附录 A　源代码证据索引</w:t>
      </w:r>
    </w:p>
    <w:p>
      <w:pPr>
        <w:pStyle w:val="Toc"/>
      </w:pPr>
      <w:r>
        <w:t xml:space="preserve">附录 B　界面与试验材料清单</w:t>
      </w:r>
    </w:p>
    <w:p>
      <w:pPr>
        <w:pStyle w:val="Toc"/>
      </w:pPr>
      <w:r>
        <w:t xml:space="preserve">附录 C　B3 申报要点映射</w:t>
      </w:r>
    </w:p>
    <w:p>
      <w:pPr>
        <w:pStyle w:val="Small"/>
      </w:pPr>
      <w:r>
        <w:t xml:space="preserve">目录为可编辑文本目录；在 Word 中完成最终分页后，可根据标题样式插入自动目录并更新页码。</w:t>
      </w:r>
    </w:p>
    <w:p>
      <w:r>
        <w:br w:type="page"/>
      </w:r>
    </w:p>
    <w:p>
      <w:pPr>
        <w:pStyle w:val="Heading1"/>
      </w:pPr>
      <w:r>
        <w:t xml:space="preserve">1　绪论与研究依据</w:t>
      </w:r>
    </w:p>
    <w:p>
      <w:pPr>
        <w:pStyle w:val="Heading2"/>
      </w:pPr>
      <w:r>
        <w:t xml:space="preserve">1.1　研究背景</w:t>
      </w:r>
    </w:p>
    <w:p>
      <w:pPr>
        <w:pStyle w:val="Normal"/>
      </w:pPr>
      <w:r>
        <w:t xml:space="preserve">初中数学知识点之间具有明显的前置依赖与抽象性，教学活动同时涉及概念讲解、例题设计、变式训练、作业批改和反馈复习。传统工作流中，教师往往在文档、题库、课堂演示和学生记录之间反复切换；学生错题即使被记录，也未必能够转化为后续训练内容。通用生成式模型可辅助产出文本和试题，但其生成结果可能存在计算错误、难度漂移、知识点不匹配及来源不透明等问题。因此，教育场景的关键不只是“生成内容”，而是让内容进入可审核、可追溯、可纠错的教学流程。</w:t>
      </w:r>
    </w:p>
    <w:p>
      <w:pPr>
        <w:pStyle w:val="Normal"/>
      </w:pPr>
      <w:r>
        <w:t xml:space="preserve">Bloom 对个别辅导与掌握学习的经典研究说明了针对性反馈的教育价值[1]，但并不意味着软件使用后天然能复制个别辅导效果。Transformer 研究奠定现代大模型技术基础[2]；Lewis 等提出的检索增强生成研究说明了外部知识检索与文本生成结合的技术路线[3]。UNESCO 2023 年教育生成式 AI 指南强调人的监督、隐私与教育适切性[4]。本作品据此将“教师审核、数据隔离、结构化验证和来源标识”作为设计约束。</w:t>
      </w:r>
    </w:p>
    <w:p>
      <w:pPr>
        <w:pStyle w:val="Heading2"/>
      </w:pPr>
      <w:r>
        <w:t xml:space="preserve">1.2　研究问题与边界</w:t>
      </w:r>
    </w:p>
    <w:p>
      <w:pPr>
        <w:pStyle w:val="Normal"/>
      </w:pPr>
      <w:r>
        <w:t xml:space="preserve">研究问题 Q1：能否将试卷导入、知识库检索、智能出题、作业管理和学情报告贯通为统一数据流程？Q2：能否在第三方模型输出不确定的情况下，提供校验、人工确认与受控失败机制？Q3：能否通过独立学生端和教师归属约束，限制不同用户间的教学数据访问？Q4：如何建立可复现的功能、质量与教育效果评价方法？</w:t>
      </w:r>
    </w:p>
    <w:p>
      <w:pPr>
        <w:pStyle w:val="Normal"/>
      </w:pPr>
      <w:r>
        <w:t xml:space="preserve">本项目属于应用系统研发与工程集成创新，不主张独立训练基础大模型，也不将 LangGraph、ChromaDB、RRF、JWT、KaTeX 或 python-pptx 等通用技术本身作为原创算法。研究成果主要体现为初中数学教学工作流的领域化组织、结构化数据与证据约束、文档处理及安全工程实现。</w:t>
      </w:r>
    </w:p>
    <w:p>
      <w:pPr>
        <w:pStyle w:val="Heading2"/>
      </w:pPr>
      <w:r>
        <w:t xml:space="preserve">1.3　研究方法</w:t>
      </w:r>
    </w:p>
    <w:p>
      <w:pPr>
        <w:pStyle w:val="Normal"/>
      </w:pPr>
      <w:r>
        <w:t xml:space="preserve">采用需求分析、源码静态审查、接口与数据流追踪、自动化测试证据检查、文献对照和预注册式实验方案设计。源码审查覆盖前后端路由、模型、业务服务、配置、部署和测试。未对真实生产环境开展渗透测试、压力测试或教学干预；这些内容均列为后续实测任务。</w:t>
      </w:r>
    </w:p>
    <w:p>
      <w:pPr>
        <w:pStyle w:val="Heading1"/>
      </w:pPr>
      <w:r>
        <w:t xml:space="preserve">2　研究目标、需求与可行性</w:t>
      </w:r>
    </w:p>
    <w:p>
      <w:pPr>
        <w:pStyle w:val="Heading2"/>
      </w:pPr>
      <w:r>
        <w:t xml:space="preserve">2.1　目标用户与业务情境</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1800"/>
        <w:gridCol w:w="3400"/>
        <w:gridCol w:w="4300"/>
      </w:tblGrid>
      <w:tr>
        <w:tc>
          <w:tcPr>
            <w:tcW w:w="1800" w:type="dxa"/>
            <w:shd w:fill="164A73"/>
            <w:vAlign w:val="center"/>
          </w:tcPr>
          <w:p>
            <w:pPr>
              <w:pStyle w:val="TableHeader"/>
            </w:pPr>
            <w:r>
              <w:rPr>
                <w:color w:val="FFFFFF"/>
                <w:b/>
              </w:rPr>
              <w:t xml:space="preserve">角色</w:t>
            </w:r>
          </w:p>
        </w:tc>
        <w:tc>
          <w:tcPr>
            <w:tcW w:w="3400" w:type="dxa"/>
            <w:shd w:fill="164A73"/>
            <w:vAlign w:val="center"/>
          </w:tcPr>
          <w:p>
            <w:pPr>
              <w:pStyle w:val="TableHeader"/>
            </w:pPr>
            <w:r>
              <w:rPr>
                <w:color w:val="FFFFFF"/>
                <w:b/>
              </w:rPr>
              <w:t xml:space="preserve">核心任务</w:t>
            </w:r>
          </w:p>
        </w:tc>
        <w:tc>
          <w:tcPr>
            <w:tcW w:w="4300" w:type="dxa"/>
            <w:shd w:fill="164A73"/>
            <w:vAlign w:val="center"/>
          </w:tcPr>
          <w:p>
            <w:pPr>
              <w:pStyle w:val="TableHeader"/>
            </w:pPr>
            <w:r>
              <w:rPr>
                <w:color w:val="FFFFFF"/>
                <w:b/>
              </w:rPr>
              <w:t xml:space="preserve">系统支持与约束</w:t>
            </w:r>
          </w:p>
        </w:tc>
      </w:tr>
      <w:tr>
        <w:tc>
          <w:tcPr>
            <w:tcW w:w="1800" w:type="dxa"/>
            <w:vAlign w:val="center"/>
          </w:tcPr>
          <w:p>
            <w:pPr>
              <w:pStyle w:val="TableText"/>
            </w:pPr>
            <w:r>
              <w:t xml:space="preserve">教师/教研人员</w:t>
            </w:r>
          </w:p>
        </w:tc>
        <w:tc>
          <w:tcPr>
            <w:tcW w:w="3400" w:type="dxa"/>
            <w:vAlign w:val="center"/>
          </w:tcPr>
          <w:p>
            <w:pPr>
              <w:pStyle w:val="TableText"/>
            </w:pPr>
            <w:r>
              <w:t xml:space="preserve">生成与筛选试题、管理题库、上传试卷、制作 PPT、查看学情</w:t>
            </w:r>
          </w:p>
        </w:tc>
        <w:tc>
          <w:tcPr>
            <w:tcW w:w="4300" w:type="dxa"/>
            <w:vAlign w:val="center"/>
          </w:tcPr>
          <w:p>
            <w:pPr>
              <w:pStyle w:val="TableText"/>
            </w:pPr>
            <w:r>
              <w:t xml:space="preserve">登录后调用生成、导入、知识库、试卷、报告和教师智能体接口；重要内容须审核</w:t>
            </w:r>
          </w:p>
        </w:tc>
      </w:tr>
      <w:tr>
        <w:tc>
          <w:tcPr>
            <w:tcW w:w="1800" w:type="dxa"/>
            <w:vAlign w:val="center"/>
          </w:tcPr>
          <w:p>
            <w:pPr>
              <w:pStyle w:val="TableText"/>
            </w:pPr>
            <w:r>
              <w:t xml:space="preserve">学生</w:t>
            </w:r>
          </w:p>
        </w:tc>
        <w:tc>
          <w:tcPr>
            <w:tcW w:w="3400" w:type="dxa"/>
            <w:vAlign w:val="center"/>
          </w:tcPr>
          <w:p>
            <w:pPr>
              <w:pStyle w:val="TableText"/>
            </w:pPr>
            <w:r>
              <w:t xml:space="preserve">完成试卷、复习错题、查看个人进展</w:t>
            </w:r>
          </w:p>
        </w:tc>
        <w:tc>
          <w:tcPr>
            <w:tcW w:w="4300" w:type="dxa"/>
            <w:vAlign w:val="center"/>
          </w:tcPr>
          <w:p>
            <w:pPr>
              <w:pStyle w:val="TableText"/>
            </w:pPr>
            <w:r>
              <w:t xml:space="preserve">独立学生端，以登录码及可选密码进入；仅访问本人记录</w:t>
            </w:r>
          </w:p>
        </w:tc>
      </w:tr>
      <w:tr>
        <w:tc>
          <w:tcPr>
            <w:tcW w:w="1800" w:type="dxa"/>
            <w:vAlign w:val="center"/>
          </w:tcPr>
          <w:p>
            <w:pPr>
              <w:pStyle w:val="TableText"/>
            </w:pPr>
            <w:r>
              <w:t xml:space="preserve">管理员</w:t>
            </w:r>
          </w:p>
        </w:tc>
        <w:tc>
          <w:tcPr>
            <w:tcW w:w="3400" w:type="dxa"/>
            <w:vAlign w:val="center"/>
          </w:tcPr>
          <w:p>
            <w:pPr>
              <w:pStyle w:val="TableText"/>
            </w:pPr>
            <w:r>
              <w:t xml:space="preserve">账号、套餐和运营配置</w:t>
            </w:r>
          </w:p>
        </w:tc>
        <w:tc>
          <w:tcPr>
            <w:tcW w:w="4300" w:type="dxa"/>
            <w:vAlign w:val="center"/>
          </w:tcPr>
          <w:p>
            <w:pPr>
              <w:pStyle w:val="TableText"/>
            </w:pPr>
            <w:r>
              <w:t xml:space="preserve">用户管理与订阅配置；管理员权限不得替代教师对教学内容的审核</w:t>
            </w:r>
          </w:p>
        </w:tc>
      </w:tr>
      <w:tr>
        <w:tc>
          <w:tcPr>
            <w:tcW w:w="1800" w:type="dxa"/>
            <w:vAlign w:val="center"/>
          </w:tcPr>
          <w:p>
            <w:pPr>
              <w:pStyle w:val="TableText"/>
            </w:pPr>
            <w:r>
              <w:t xml:space="preserve">部署维护人员</w:t>
            </w:r>
          </w:p>
        </w:tc>
        <w:tc>
          <w:tcPr>
            <w:tcW w:w="3400" w:type="dxa"/>
            <w:vAlign w:val="center"/>
          </w:tcPr>
          <w:p>
            <w:pPr>
              <w:pStyle w:val="TableText"/>
            </w:pPr>
            <w:r>
              <w:t xml:space="preserve">配置模型、数据库、网络与监控</w:t>
            </w:r>
          </w:p>
        </w:tc>
        <w:tc>
          <w:tcPr>
            <w:tcW w:w="4300" w:type="dxa"/>
            <w:vAlign w:val="center"/>
          </w:tcPr>
          <w:p>
            <w:pPr>
              <w:pStyle w:val="TableText"/>
            </w:pPr>
            <w:r>
              <w:t xml:space="preserve">环境变量、Docker Compose、CI、迁移脚本与备份策略</w:t>
            </w:r>
          </w:p>
        </w:tc>
      </w:tr>
    </w:tbl>
    <w:p>
      <w:pPr>
        <w:pStyle w:val="Heading2"/>
      </w:pPr>
      <w:r>
        <w:t xml:space="preserve">2.2　功能性需求</w:t>
      </w:r>
    </w:p>
    <w:p>
      <w:pPr>
        <w:pStyle w:val="Normal"/>
      </w:pPr>
      <w:r>
        <w:t xml:space="preserve">F1 智能出题：按知识点、L1—L5 难度、题型、数量生成结构化题目，支持单题校验与教师筛选；F2 题库与组卷：保存、检索、去重、编排和批改；F3 文档导入：接受 PDF/DOCX 并提取题干、选项、答案、知识点等字段；F4 本地知识库：教师上传资料后按归属范围检索，为生成和问答提供上下文；F5 课件生成：按主题生成宽屏 PowerPoint，并处理数学公式；F6 学生端：错题复习、试卷作答、个人学情；F7 教师智能体：读取授权上下文、生成计划和练习草稿，持久写入需显式确认；F8 学习报告：依据已存储试卷和错题构造快照并输出 PDF 或受约束的文字建议。</w:t>
      </w:r>
    </w:p>
    <w:p>
      <w:pPr>
        <w:pStyle w:val="Heading2"/>
      </w:pPr>
      <w:r>
        <w:t xml:space="preserve">2.3　非功能性需求</w:t>
      </w:r>
    </w:p>
    <w:p>
      <w:pPr>
        <w:pStyle w:val="Normal"/>
      </w:pPr>
      <w:r>
        <w:t xml:space="preserve">安全性：JWT 鉴权、学生与教师归属检查、敏感配置不回显、外部模型服务地址约束、上传体积与文件结构预检查。可靠性：AI 输出结构化校验、可控失败、异常处理、关键操作幂等。可维护性：前后端分离、服务层解耦、数据库迁移和自动化测试。可用性：教师/学生端分离，数学公式可读。性能性：上传、渲染、检索与模型调用需限定资源；具体响应时延和吞吐量目标须实测后确认。</w:t>
      </w:r>
    </w:p>
    <w:p>
      <w:pPr>
        <w:pStyle w:val="Heading2"/>
      </w:pPr>
      <w:r>
        <w:t xml:space="preserve">2.4　可行性分析</w:t>
      </w:r>
    </w:p>
    <w:p>
      <w:pPr>
        <w:pStyle w:val="Normal"/>
      </w:pPr>
      <w:r>
        <w:t xml:space="preserve">技术方面，仓库包含 FastAPI、SQLAlchemy、React、Vite、LangChain/Chroma、LangGraph、PyMuPDF、python-docx、python-pptx 和 matplotlib 依赖与相应业务源码[S01—S11]；工程方面，存在 Docker Compose 和多任务 CI 流程[S12—S13]。经济方面，模型 API、服务器、运维及文档处理均产生持续成本，须在目标用户规模、模型调用次数和使用频率实测后核算，不宜以代码中的套餐定价推断实际收入。</w:t>
      </w:r>
    </w:p>
    <w:p>
      <w:pPr>
        <w:pStyle w:val="Heading1"/>
      </w:pPr>
      <w:r>
        <w:t xml:space="preserve">3　系统总体架构与技术路线</w:t>
      </w:r>
    </w:p>
    <w:p>
      <w:pPr>
        <w:pStyle w:val="Heading2"/>
      </w:pPr>
      <w:r>
        <w:t xml:space="preserve">3.1　总体架构</w:t>
      </w:r>
    </w:p>
    <w:p>
      <w:pPr>
        <w:pStyle w:val="Normal"/>
      </w:pPr>
      <w:r>
        <w:t xml:space="preserve">系统采用浏览器—API—业务服务—数据存储与外部 AI 服务的分层结构。教师端与学生端为两个独立 Vite/React 工程，均通过 /api 访问 FastAPI；后端按认证、出题、题库、试卷、错题、知识库、报告、智能体等路由划分。业务服务访问 SQLAlchemy 数据模型、Chroma 向量存储以及外部大模型/嵌入模型。生产示例中 Nginx 提供教师端根路径和学生端 /student/，代理后端 API，SQLite 与向量库位于 Docker 数据卷；CI 同时验证 PostgreSQL 测试路径。</w:t>
      </w:r>
    </w:p>
    <w:p>
      <w:pPr>
        <w:pStyle w:val="Caption"/>
      </w:pPr>
      <w:r>
        <w:t xml:space="preserve">图 1　TutorPro 系统逻辑架构（依据源码绘制，非运行截图）</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2100"/>
        <w:gridCol w:w="7400"/>
      </w:tblGrid>
      <w:tr>
        <w:tc>
          <w:tcPr>
            <w:tcW w:w="2100" w:type="dxa"/>
            <w:shd w:fill="164A73"/>
            <w:vAlign w:val="center"/>
          </w:tcPr>
          <w:p>
            <w:pPr>
              <w:pStyle w:val="TableHeader"/>
            </w:pPr>
            <w:r>
              <w:rPr>
                <w:color w:val="FFFFFF"/>
                <w:b/>
              </w:rPr>
              <w:t xml:space="preserve">层次</w:t>
            </w:r>
          </w:p>
        </w:tc>
        <w:tc>
          <w:tcPr>
            <w:tcW w:w="7400" w:type="dxa"/>
            <w:shd w:fill="164A73"/>
            <w:vAlign w:val="center"/>
          </w:tcPr>
          <w:p>
            <w:pPr>
              <w:pStyle w:val="TableHeader"/>
            </w:pPr>
            <w:r>
              <w:rPr>
                <w:color w:val="FFFFFF"/>
                <w:b/>
              </w:rPr>
              <w:t xml:space="preserve">组成与职责</w:t>
            </w:r>
          </w:p>
        </w:tc>
      </w:tr>
      <w:tr>
        <w:tc>
          <w:tcPr>
            <w:tcW w:w="2100" w:type="dxa"/>
            <w:vAlign w:val="center"/>
          </w:tcPr>
          <w:p>
            <w:pPr>
              <w:pStyle w:val="TableText"/>
            </w:pPr>
            <w:r>
              <w:t xml:space="preserve">表现层</w:t>
            </w:r>
          </w:p>
        </w:tc>
        <w:tc>
          <w:tcPr>
            <w:tcW w:w="7400" w:type="dxa"/>
            <w:vAlign w:val="center"/>
          </w:tcPr>
          <w:p>
            <w:pPr>
              <w:pStyle w:val="TableText"/>
            </w:pPr>
            <w:r>
              <w:t xml:space="preserve">教师端 React/Vite：智能出题、题库、试卷、知识库、PPT、学情、智能体；学生端 React/Vite：作答、错题、学情</w:t>
            </w:r>
          </w:p>
        </w:tc>
      </w:tr>
      <w:tr>
        <w:tc>
          <w:tcPr>
            <w:tcW w:w="2100" w:type="dxa"/>
            <w:vAlign w:val="center"/>
          </w:tcPr>
          <w:p>
            <w:pPr>
              <w:pStyle w:val="TableText"/>
            </w:pPr>
            <w:r>
              <w:t xml:space="preserve">接入与安全层</w:t>
            </w:r>
          </w:p>
        </w:tc>
        <w:tc>
          <w:tcPr>
            <w:tcW w:w="7400" w:type="dxa"/>
            <w:vAlign w:val="center"/>
          </w:tcPr>
          <w:p>
            <w:pPr>
              <w:pStyle w:val="TableText"/>
            </w:pPr>
            <w:r>
              <w:t xml:space="preserve">Nginx /api 代理 → FastAPI /api；JWT、教师/学生身份依赖、套餐授权、请求校验、异常处理</w:t>
            </w:r>
          </w:p>
        </w:tc>
      </w:tr>
      <w:tr>
        <w:tc>
          <w:tcPr>
            <w:tcW w:w="2100" w:type="dxa"/>
            <w:vAlign w:val="center"/>
          </w:tcPr>
          <w:p>
            <w:pPr>
              <w:pStyle w:val="TableText"/>
            </w:pPr>
            <w:r>
              <w:t xml:space="preserve">业务服务层</w:t>
            </w:r>
          </w:p>
        </w:tc>
        <w:tc>
          <w:tcPr>
            <w:tcW w:w="7400" w:type="dxa"/>
            <w:vAlign w:val="center"/>
          </w:tcPr>
          <w:p>
            <w:pPr>
              <w:pStyle w:val="TableText"/>
            </w:pPr>
            <w:r>
              <w:t xml:space="preserve">LLM 生成与校验｜RAG 检索｜PDF/DOCX 解析｜PPT 渲染｜试卷批改｜学习报告｜LangGraph 教师智能体</w:t>
            </w:r>
          </w:p>
        </w:tc>
      </w:tr>
      <w:tr>
        <w:tc>
          <w:tcPr>
            <w:tcW w:w="2100" w:type="dxa"/>
            <w:vAlign w:val="center"/>
          </w:tcPr>
          <w:p>
            <w:pPr>
              <w:pStyle w:val="TableText"/>
            </w:pPr>
            <w:r>
              <w:t xml:space="preserve">数据层</w:t>
            </w:r>
          </w:p>
        </w:tc>
        <w:tc>
          <w:tcPr>
            <w:tcW w:w="7400" w:type="dxa"/>
            <w:vAlign w:val="center"/>
          </w:tcPr>
          <w:p>
            <w:pPr>
              <w:pStyle w:val="TableText"/>
            </w:pPr>
            <w:r>
              <w:t xml:space="preserve">SQLAlchemy：User、Student、Question、QuestionBank、Exam、MistakeRecord、AgentRun、AgentArtifact 等；Chroma 向量库及文档登记</w:t>
            </w:r>
          </w:p>
        </w:tc>
      </w:tr>
      <w:tr>
        <w:tc>
          <w:tcPr>
            <w:tcW w:w="2100" w:type="dxa"/>
            <w:vAlign w:val="center"/>
          </w:tcPr>
          <w:p>
            <w:pPr>
              <w:pStyle w:val="TableText"/>
            </w:pPr>
            <w:r>
              <w:t xml:space="preserve">外部能力层</w:t>
            </w:r>
          </w:p>
        </w:tc>
        <w:tc>
          <w:tcPr>
            <w:tcW w:w="7400" w:type="dxa"/>
            <w:vAlign w:val="center"/>
          </w:tcPr>
          <w:p>
            <w:pPr>
              <w:pStyle w:val="TableText"/>
            </w:pPr>
            <w:r>
              <w:t xml:space="preserve">OpenAI 兼容服务商 / Gemini 等配置化模型接口；Embedding 服务；可选支付服务；文件转换依赖</w:t>
            </w:r>
          </w:p>
        </w:tc>
      </w:tr>
    </w:tbl>
    <w:p>
      <w:pPr>
        <w:pStyle w:val="Heading2"/>
      </w:pPr>
      <w:r>
        <w:t xml:space="preserve">3.2　业务闭环与数据流</w:t>
      </w:r>
    </w:p>
    <w:p>
      <w:pPr>
        <w:pStyle w:val="Caption"/>
      </w:pPr>
      <w:r>
        <w:t xml:space="preserve">图 2　从教学资源到个性化反馈的业务流程</w:t>
      </w:r>
    </w:p>
    <w:p>
      <w:pPr>
        <w:pStyle w:val="Code"/>
      </w:pPr>
      <w:r>
        <w:t xml:space="preserve">教师登录 → 选择知识点/学生 → （可选）上传 PDF/DOCX 或知识库资料</w:t>
      </w:r>
    </w:p>
    <w:p>
      <w:pPr>
        <w:pStyle w:val="Code"/>
      </w:pPr>
      <w:r>
        <w:t xml:space="preserve">　　↓　　　　　　　　　　　　↓</w:t>
      </w:r>
    </w:p>
    <w:p>
      <w:pPr>
        <w:pStyle w:val="Code"/>
      </w:pPr>
      <w:r>
        <w:t xml:space="preserve">AI 结构化生成 ← RAG 归属过滤检索 ← 文档预检/提取/切分/嵌入</w:t>
      </w:r>
    </w:p>
    <w:p>
      <w:pPr>
        <w:pStyle w:val="Code"/>
      </w:pPr>
      <w:r>
        <w:t xml:space="preserve">　　↓</w:t>
      </w:r>
    </w:p>
    <w:p>
      <w:pPr>
        <w:pStyle w:val="Code"/>
      </w:pPr>
      <w:r>
        <w:t xml:space="preserve">教师审核/修改 → 保存题库/生成试卷/PPT → 学生作答</w:t>
      </w:r>
    </w:p>
    <w:p>
      <w:pPr>
        <w:pStyle w:val="Code"/>
      </w:pPr>
      <w:r>
        <w:t xml:space="preserve">　　↓　　　　　　　　　　　　　　　 ↓</w:t>
      </w:r>
    </w:p>
    <w:p>
      <w:pPr>
        <w:pStyle w:val="Code"/>
      </w:pPr>
      <w:r>
        <w:t xml:space="preserve">　　└──────────── 批改与错题沉淀 ────────────┘</w:t>
      </w:r>
    </w:p>
    <w:p>
      <w:pPr>
        <w:pStyle w:val="Code"/>
      </w:pPr>
      <w:r>
        <w:t xml:space="preserve">　　　　　　　　　　　　↓</w:t>
      </w:r>
    </w:p>
    <w:p>
      <w:pPr>
        <w:pStyle w:val="Code"/>
      </w:pPr>
      <w:r>
        <w:t xml:space="preserve">　　　　 学情趋势/弱项/学习报告 → 下一轮定向练习</w:t>
      </w:r>
    </w:p>
    <w:p>
      <w:pPr>
        <w:pStyle w:val="Normal"/>
      </w:pPr>
      <w:r>
        <w:t xml:space="preserve">流程中的“学生学情”主要来自系统内部的试卷批改和错题状态，并非通过摄像头、脑电或真实认知诊断模型推断。题目难度和知识点是业务字段，尚未证实存在独立标定的教育测量模型。</w:t>
      </w:r>
    </w:p>
    <w:p>
      <w:pPr>
        <w:pStyle w:val="Heading2"/>
      </w:pPr>
      <w:r>
        <w:t xml:space="preserve">3.3　部署与运行</w:t>
      </w:r>
    </w:p>
    <w:p>
      <w:pPr>
        <w:pStyle w:val="Normal"/>
      </w:pPr>
      <w:r>
        <w:t xml:space="preserve">开发环境分别启动 FastAPI、教师端 Vite 和学生端 Vite；Docker Compose 采用 backend 与 web 两个服务，web 映射宿主机 80 至容器 8080，依赖后端健康检查，backend_data 卷保存 SQLite 和向量数据。SECRET_KEY 为生产必填，首次初始化需提供管理员密码；生产部署须使用 HTTPS、定期备份并限制日志敏感信息。Docker 编排配置不能替代实际容灾和并发测试。</w:t>
      </w:r>
    </w:p>
    <w:p>
      <w:pPr>
        <w:pStyle w:val="Heading1"/>
      </w:pPr>
      <w:r>
        <w:t xml:space="preserve">4　核心技术与关键实现</w:t>
      </w:r>
    </w:p>
    <w:p>
      <w:pPr>
        <w:pStyle w:val="Heading2"/>
      </w:pPr>
      <w:r>
        <w:t xml:space="preserve">4.1　多模型调用与运行时配置策略</w:t>
      </w:r>
    </w:p>
    <w:p>
      <w:pPr>
        <w:pStyle w:val="Normal"/>
      </w:pPr>
      <w:r>
        <w:t xml:space="preserve">app/core/ai_runtime.py 定义 ProviderSpec、LLMConfig、EmbeddingConfig，集中描述服务商、模型、传输协议和配置来源；支持 OpenAI 兼容接口与 Gemini 适配，并对不支持的服务商拒绝调用。源码针对 Base URL 检查 HTTPS、主机名、端口和 IP 地址等条件，对自定义服务地址设置额外白名单约束；生产环境默认不接受浏览器请求级模型配置。该策略降低了任意模型端点调用和配置混乱的风险，但其有效性仍取决于 DNS、代理、依赖版本及部署网络环境。</w:t>
      </w:r>
    </w:p>
    <w:p>
      <w:pPr>
        <w:pStyle w:val="Normal"/>
      </w:pPr>
      <w:r>
        <w:t xml:space="preserve">出题接口 /api/generate、/api/generate/weak-point、/api/exam 和 /api/verify 由 generation.py 提供；llm_service.py 组织提示词、生成请求、JSON 解析、题目一致性检查与校验，外部模型负责内容生成。数学正确性不能由“调用了校验模型”自动推定；必须由独立标准答案集与人工评分检验。</w:t>
      </w:r>
    </w:p>
    <w:p>
      <w:pPr>
        <w:pStyle w:val="Heading2"/>
      </w:pPr>
      <w:r>
        <w:t xml:space="preserve">4.2　面向知识点的检索增强生成（RAG）</w:t>
      </w:r>
    </w:p>
    <w:p>
      <w:pPr>
        <w:pStyle w:val="Normal"/>
      </w:pPr>
      <w:r>
        <w:t xml:space="preserve">RAG 流程为：文档安全预检 → PDF/DOCX 文本提取 → 按题号/章节/段落结构切分 → 过滤低信息量片段 → 调用 Embedding → 写入 Chroma → 查询时按 owner_user_id 过滤 → 向量候选与关键词分数融合 → 形成带来源的上下文 → 供生成或对话使用。rag_text_utils.py 设定单片段目标上限 2000 字符、最短有效长度 30、有效字符比例 0.25，并使用 RRF_K=60 的倒数排名融合；RAG_TOP_K 默认 3，可配置。上述阈值为源码参数而非最优性实验证据。</w:t>
      </w:r>
    </w:p>
    <w:p>
      <w:pPr>
        <w:pStyle w:val="Normal"/>
      </w:pPr>
      <w:r>
        <w:t xml:space="preserve">rag_service.py 使用 Chroma 相似度检索与归属过滤，按知识点标签先检索、必要时放宽知识点条件但仍保持教师归属约束；rag_document_store.py 管理文档登记、归属校验、删除及清理。来源标注可改善审查可追溯性，但“返回来源”不等于证明生成句子完全被原文支持。关键词匹配采用轻量字符串规则而非专业中文分词，存在召回不足的可能；对于超长单行文本、扫描 PDF 与跨页题目仍需开展边界测试。</w:t>
      </w:r>
    </w:p>
    <w:p>
      <w:pPr>
        <w:pStyle w:val="Caption"/>
      </w:pPr>
      <w:r>
        <w:t xml:space="preserve">图 3　RAG 检索与生成流程</w:t>
      </w:r>
    </w:p>
    <w:p>
      <w:pPr>
        <w:pStyle w:val="Code"/>
      </w:pPr>
      <w:r>
        <w:t xml:space="preserve">教师上传 → 文件类型/体积/页数预检 → 提取文本 → 结构切块 → Embedding</w:t>
      </w:r>
    </w:p>
    <w:p>
      <w:pPr>
        <w:pStyle w:val="Code"/>
      </w:pPr>
      <w:r>
        <w:t xml:space="preserve">　　　　　　　　　　　　　　　　　　　　　　　　　　↓</w:t>
      </w:r>
    </w:p>
    <w:p>
      <w:pPr>
        <w:pStyle w:val="Code"/>
      </w:pPr>
      <w:r>
        <w:t xml:space="preserve">用户问题 → owner_user_id + 知识点过滤 → Chroma 向量候选 → 关键词重排/RRF</w:t>
      </w:r>
    </w:p>
    <w:p>
      <w:pPr>
        <w:pStyle w:val="Code"/>
      </w:pPr>
      <w:r>
        <w:t xml:space="preserve">　　　　　　　　　　　　　　　　　　　　　　　　　　↓</w:t>
      </w:r>
    </w:p>
    <w:p>
      <w:pPr>
        <w:pStyle w:val="Code"/>
      </w:pPr>
      <w:r>
        <w:t xml:space="preserve">　　　　　　　　　来源标注上下文 → LLM → 结构化结果 → 教师审核</w:t>
      </w:r>
    </w:p>
    <w:p>
      <w:pPr>
        <w:pStyle w:val="Heading2"/>
      </w:pPr>
      <w:r>
        <w:t xml:space="preserve">4.3　试卷文档解析与结构化</w:t>
      </w:r>
    </w:p>
    <w:p>
      <w:pPr>
        <w:pStyle w:val="Normal"/>
      </w:pPr>
      <w:r>
        <w:t xml:space="preserve">upload.py 的 /parse/word 接口接受 .docx 与 .pdf：DOCX 优先通过 LibreOffice 转换为 PDF 后逐页视觉识别；若转换不可用，则提取 DOCX 段落与表格文本交由模型解析。PDF 优先逐页渲染并使用视觉模型识别，失败时尝试文本提取路径。word_parser.py 包含 JSON 清洗、结构化题目解析、图像区域裁剪及跨页题目合并；相关服务对题型、选项、答案和知识点进行后处理。</w:t>
      </w:r>
    </w:p>
    <w:p>
      <w:pPr>
        <w:pStyle w:val="Normal"/>
      </w:pPr>
      <w:r>
        <w:t xml:space="preserve">document_safety.py 对 DOCX ZIP 内部条目数量、解压体积、压缩比、成员路径以及 PDF 页数设限：DOCX 条目上限 2000，单成员解压上限 32 MiB，总解压上限 64 MiB，压缩比上限 200；试卷 PDF 页数上限 50，RAG PDF 页数上限 300。此类限制体现安全防护设计，但仍应对加密 PDF、损坏文件、超大图片、嵌套表格、复杂公式与不同字体开展专项验证。</w:t>
      </w:r>
    </w:p>
    <w:p>
      <w:pPr>
        <w:pStyle w:val="Heading2"/>
      </w:pPr>
      <w:r>
        <w:t xml:space="preserve">4.4　Magic PPT 与数学公式渲染</w:t>
      </w:r>
    </w:p>
    <w:p>
      <w:pPr>
        <w:pStyle w:val="Normal"/>
      </w:pPr>
      <w:r>
        <w:t xml:space="preserve">ppt_content_service.py 将主题、年级等输入转换为结构化幻灯片内容；ppt_service.py 基于 python-pptx 创建 16:9 课件，并通过版式测量控制文本框与正文边界；ppt_math_text.py 与 ppt_math_renderer.py 检测显式数学定界符，使用 matplotlib MathText 渲染透明 PNG 嵌入幻灯片。普通文本保留 PowerPoint 原生文本，公式图片通常不能像原生公式对象那样逐字符编辑。</w:t>
      </w:r>
    </w:p>
    <w:p>
      <w:pPr>
        <w:pStyle w:val="Normal"/>
      </w:pPr>
      <w:r>
        <w:t xml:space="preserve">数学渲染设有字段、页面、整套课件的片段数、像素和 PNG 字节预算，排布失败时可受控返回错误而非静默溢出。需要进一步实测公式覆盖率、PPT 打开兼容性、渲染耗时和复杂内容溢出率；不能仅凭存在生成函数声称所有数学公式均准确或课件完全可编辑。</w:t>
      </w:r>
    </w:p>
    <w:p>
      <w:pPr>
        <w:pStyle w:val="Heading2"/>
      </w:pPr>
      <w:r>
        <w:t xml:space="preserve">4.5　教师智能体与人工确认边界</w:t>
      </w:r>
    </w:p>
    <w:p>
      <w:pPr>
        <w:pStyle w:val="Normal"/>
      </w:pPr>
      <w:r>
        <w:t xml:space="preserve">teacher_agent_service.py 使用 LangGraph StateGraph 串联“验证请求—提取结构化意图—解析学生上下文—候选工具校验—执行只读工具—形成结构化计划—验证计划”节点。agent_tool_registry.py 定义授权工具及调用上限 MAX_TOOL_CALLS_PER_RUN=8；可查询教师名下学生、弱项、近期错题、学情趋势、排课和知识库。该工作流的基础阶段是只读规划，不应被描述为可自主修改全部教学数据的无限制智能体。</w:t>
      </w:r>
    </w:p>
    <w:p>
      <w:pPr>
        <w:pStyle w:val="Normal"/>
      </w:pPr>
      <w:r>
        <w:t xml:space="preserve">teacher_agent_artifact_service.py 进一步支持练习草稿、版本号、校验状态、prepare-save 与 confirm 两阶段操作；AgentAction 具有幂等键、载荷哈希和预期版本约束，确认后才将练习内容保存到题库。其技术特点是把模型建议与持久写入拆开，形成“生成—审阅—确认—执行”的可审计边界。对于并发冲突和失败恢复，仓库包含专项测试，但实际高并发场景仍待测。</w:t>
      </w:r>
    </w:p>
    <w:p>
      <w:pPr>
        <w:pStyle w:val="Heading2"/>
      </w:pPr>
      <w:r>
        <w:t xml:space="preserve">4.6　学情分析、报告与客观批改</w:t>
      </w:r>
    </w:p>
    <w:p>
      <w:pPr>
        <w:pStyle w:val="Normal"/>
      </w:pPr>
      <w:r>
        <w:t xml:space="preserve">试卷、错题、学生归属构成主要学习数据。exam_grading_service.py 对选择题进行选项归一化比较，对非选择文本答案进行规范化字符串比较；解答题可由外部结果提供 is_correct，否则默认不判为正确。此逻辑不能等同于对复杂数学证明的可靠自动评分。错误结果可写入 MistakeRecord，包含 pending/mastered 状态、复习次数和下次复习日期。</w:t>
      </w:r>
    </w:p>
    <w:p>
      <w:pPr>
        <w:pStyle w:val="Normal"/>
      </w:pPr>
      <w:r>
        <w:t xml:space="preserve">report_snapshot_service.py 依据持久化 Exam 与 MistakeRecord 构建指定时段的 StudentReportSnapshot，并处理本地报告时区与 UTC 边界；report_narrative_service.py 构建证据目录、解析结构化建议并校验 evidence_id 和行动类型，不满足约束时拒绝生成自由文本。该“证据约束叙述”可减少无来源陈述，但仍需教师检查教育建议是否合理。</w:t>
      </w:r>
    </w:p>
    <w:p>
      <w:pPr>
        <w:pStyle w:val="Heading2"/>
      </w:pPr>
      <w:r>
        <w:t xml:space="preserve">4.7　安全、权限与数据生命周期</w:t>
      </w:r>
    </w:p>
    <w:p>
      <w:pPr>
        <w:pStyle w:val="Normal"/>
      </w:pPr>
      <w:r>
        <w:t xml:space="preserve">认证与授权由 auth、core/security、core/deps 及各服务的 owner_user_id/user_id 过滤协作实现；学生端采用独立身份依赖。Student.auth_subject 等不可变身份字段用于降低整数主键复用造成的凭据混淆风险；对无归属数据的若干服务采用 fail-closed 策略。文件上传存在有界读取与格式预检，RAG 上传在单进程内有任务槽位限制；多进程队列一致性、备份恢复、真实租户渗透测试和未成年人信息治理尚需部署验证。</w:t>
      </w:r>
    </w:p>
    <w:p>
      <w:pPr>
        <w:pStyle w:val="Heading1"/>
      </w:pPr>
      <w:r>
        <w:t xml:space="preserve">5　功能设计与数据模型</w:t>
      </w:r>
    </w:p>
    <w:p>
      <w:pPr>
        <w:pStyle w:val="Heading2"/>
      </w:pPr>
      <w:r>
        <w:t xml:space="preserve">5.1　功能—接口—证据对应</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2250"/>
        <w:gridCol w:w="4600"/>
        <w:gridCol w:w="2650"/>
      </w:tblGrid>
      <w:tr>
        <w:tc>
          <w:tcPr>
            <w:tcW w:w="2250" w:type="dxa"/>
            <w:shd w:fill="164A73"/>
            <w:vAlign w:val="center"/>
          </w:tcPr>
          <w:p>
            <w:pPr>
              <w:pStyle w:val="TableHeader"/>
            </w:pPr>
            <w:r>
              <w:rPr>
                <w:color w:val="FFFFFF"/>
                <w:b/>
              </w:rPr>
              <w:t xml:space="preserve">功能模块</w:t>
            </w:r>
          </w:p>
        </w:tc>
        <w:tc>
          <w:tcPr>
            <w:tcW w:w="4600" w:type="dxa"/>
            <w:shd w:fill="164A73"/>
            <w:vAlign w:val="center"/>
          </w:tcPr>
          <w:p>
            <w:pPr>
              <w:pStyle w:val="TableHeader"/>
            </w:pPr>
            <w:r>
              <w:rPr>
                <w:color w:val="FFFFFF"/>
                <w:b/>
              </w:rPr>
              <w:t xml:space="preserve">主要入口或服务</w:t>
            </w:r>
          </w:p>
        </w:tc>
        <w:tc>
          <w:tcPr>
            <w:tcW w:w="2650" w:type="dxa"/>
            <w:shd w:fill="164A73"/>
            <w:vAlign w:val="center"/>
          </w:tcPr>
          <w:p>
            <w:pPr>
              <w:pStyle w:val="TableHeader"/>
            </w:pPr>
            <w:r>
              <w:rPr>
                <w:color w:val="FFFFFF"/>
                <w:b/>
              </w:rPr>
              <w:t xml:space="preserve">源码证据</w:t>
            </w:r>
          </w:p>
        </w:tc>
      </w:tr>
      <w:tr>
        <w:tc>
          <w:tcPr>
            <w:tcW w:w="2250" w:type="dxa"/>
            <w:vAlign w:val="center"/>
          </w:tcPr>
          <w:p>
            <w:pPr>
              <w:pStyle w:val="TableText"/>
            </w:pPr>
            <w:r>
              <w:t xml:space="preserve">智能出题/校验</w:t>
            </w:r>
          </w:p>
        </w:tc>
        <w:tc>
          <w:tcPr>
            <w:tcW w:w="4600" w:type="dxa"/>
            <w:vAlign w:val="center"/>
          </w:tcPr>
          <w:p>
            <w:pPr>
              <w:pStyle w:val="TableText"/>
            </w:pPr>
            <w:r>
              <w:t xml:space="preserve">POST /api/generate、/api/exam、/api/verify；LLM 生成服务</w:t>
            </w:r>
          </w:p>
        </w:tc>
        <w:tc>
          <w:tcPr>
            <w:tcW w:w="2650" w:type="dxa"/>
            <w:vAlign w:val="center"/>
          </w:tcPr>
          <w:p>
            <w:pPr>
              <w:pStyle w:val="TableText"/>
            </w:pPr>
            <w:r>
              <w:t xml:space="preserve">[S02][S03]</w:t>
            </w:r>
          </w:p>
        </w:tc>
      </w:tr>
      <w:tr>
        <w:tc>
          <w:tcPr>
            <w:tcW w:w="2250" w:type="dxa"/>
            <w:vAlign w:val="center"/>
          </w:tcPr>
          <w:p>
            <w:pPr>
              <w:pStyle w:val="TableText"/>
            </w:pPr>
            <w:r>
              <w:t xml:space="preserve">知识库管理</w:t>
            </w:r>
          </w:p>
        </w:tc>
        <w:tc>
          <w:tcPr>
            <w:tcW w:w="4600" w:type="dxa"/>
            <w:vAlign w:val="center"/>
          </w:tcPr>
          <w:p>
            <w:pPr>
              <w:pStyle w:val="TableText"/>
            </w:pPr>
            <w:r>
              <w:t xml:space="preserve">/api/rag/documents、/api/rag/upload；Chroma/登记服务</w:t>
            </w:r>
          </w:p>
        </w:tc>
        <w:tc>
          <w:tcPr>
            <w:tcW w:w="2650" w:type="dxa"/>
            <w:vAlign w:val="center"/>
          </w:tcPr>
          <w:p>
            <w:pPr>
              <w:pStyle w:val="TableText"/>
            </w:pPr>
            <w:r>
              <w:t xml:space="preserve">[S04][S05]</w:t>
            </w:r>
          </w:p>
        </w:tc>
      </w:tr>
      <w:tr>
        <w:tc>
          <w:tcPr>
            <w:tcW w:w="2250" w:type="dxa"/>
            <w:vAlign w:val="center"/>
          </w:tcPr>
          <w:p>
            <w:pPr>
              <w:pStyle w:val="TableText"/>
            </w:pPr>
            <w:r>
              <w:t xml:space="preserve">试卷解析</w:t>
            </w:r>
          </w:p>
        </w:tc>
        <w:tc>
          <w:tcPr>
            <w:tcW w:w="4600" w:type="dxa"/>
            <w:vAlign w:val="center"/>
          </w:tcPr>
          <w:p>
            <w:pPr>
              <w:pStyle w:val="TableText"/>
            </w:pPr>
            <w:r>
              <w:t xml:space="preserve">POST /api/upload/parse/word；PDF/DOCX 解析服务</w:t>
            </w:r>
          </w:p>
        </w:tc>
        <w:tc>
          <w:tcPr>
            <w:tcW w:w="2650" w:type="dxa"/>
            <w:vAlign w:val="center"/>
          </w:tcPr>
          <w:p>
            <w:pPr>
              <w:pStyle w:val="TableText"/>
            </w:pPr>
            <w:r>
              <w:t xml:space="preserve">[S06]</w:t>
            </w:r>
          </w:p>
        </w:tc>
      </w:tr>
      <w:tr>
        <w:tc>
          <w:tcPr>
            <w:tcW w:w="2250" w:type="dxa"/>
            <w:vAlign w:val="center"/>
          </w:tcPr>
          <w:p>
            <w:pPr>
              <w:pStyle w:val="TableText"/>
            </w:pPr>
            <w:r>
              <w:t xml:space="preserve">PPT 生成</w:t>
            </w:r>
          </w:p>
        </w:tc>
        <w:tc>
          <w:tcPr>
            <w:tcW w:w="4600" w:type="dxa"/>
            <w:vAlign w:val="center"/>
          </w:tcPr>
          <w:p>
            <w:pPr>
              <w:pStyle w:val="TableText"/>
            </w:pPr>
            <w:r>
              <w:t xml:space="preserve">/api/tools；ppt_content_service、ppt_service</w:t>
            </w:r>
          </w:p>
        </w:tc>
        <w:tc>
          <w:tcPr>
            <w:tcW w:w="2650" w:type="dxa"/>
            <w:vAlign w:val="center"/>
          </w:tcPr>
          <w:p>
            <w:pPr>
              <w:pStyle w:val="TableText"/>
            </w:pPr>
            <w:r>
              <w:t xml:space="preserve">[S07]</w:t>
            </w:r>
          </w:p>
        </w:tc>
      </w:tr>
      <w:tr>
        <w:tc>
          <w:tcPr>
            <w:tcW w:w="2250" w:type="dxa"/>
            <w:vAlign w:val="center"/>
          </w:tcPr>
          <w:p>
            <w:pPr>
              <w:pStyle w:val="TableText"/>
            </w:pPr>
            <w:r>
              <w:t xml:space="preserve">教师智能体</w:t>
            </w:r>
          </w:p>
        </w:tc>
        <w:tc>
          <w:tcPr>
            <w:tcW w:w="4600" w:type="dxa"/>
            <w:vAlign w:val="center"/>
          </w:tcPr>
          <w:p>
            <w:pPr>
              <w:pStyle w:val="TableText"/>
            </w:pPr>
            <w:r>
              <w:t xml:space="preserve">/api/teacher-agent/runs、artifacts、actions</w:t>
            </w:r>
          </w:p>
        </w:tc>
        <w:tc>
          <w:tcPr>
            <w:tcW w:w="2650" w:type="dxa"/>
            <w:vAlign w:val="center"/>
          </w:tcPr>
          <w:p>
            <w:pPr>
              <w:pStyle w:val="TableText"/>
            </w:pPr>
            <w:r>
              <w:t xml:space="preserve">[S08]</w:t>
            </w:r>
          </w:p>
        </w:tc>
      </w:tr>
      <w:tr>
        <w:tc>
          <w:tcPr>
            <w:tcW w:w="2250" w:type="dxa"/>
            <w:vAlign w:val="center"/>
          </w:tcPr>
          <w:p>
            <w:pPr>
              <w:pStyle w:val="TableText"/>
            </w:pPr>
            <w:r>
              <w:t xml:space="preserve">试卷/错题/学情</w:t>
            </w:r>
          </w:p>
        </w:tc>
        <w:tc>
          <w:tcPr>
            <w:tcW w:w="4600" w:type="dxa"/>
            <w:vAlign w:val="center"/>
          </w:tcPr>
          <w:p>
            <w:pPr>
              <w:pStyle w:val="TableText"/>
            </w:pPr>
            <w:r>
              <w:t xml:space="preserve">/api/exams、/api/mistakes、/api/analysis、/api/reports</w:t>
            </w:r>
          </w:p>
        </w:tc>
        <w:tc>
          <w:tcPr>
            <w:tcW w:w="2650" w:type="dxa"/>
            <w:vAlign w:val="center"/>
          </w:tcPr>
          <w:p>
            <w:pPr>
              <w:pStyle w:val="TableText"/>
            </w:pPr>
            <w:r>
              <w:t xml:space="preserve">[S09]</w:t>
            </w:r>
          </w:p>
        </w:tc>
      </w:tr>
      <w:tr>
        <w:tc>
          <w:tcPr>
            <w:tcW w:w="2250" w:type="dxa"/>
            <w:vAlign w:val="center"/>
          </w:tcPr>
          <w:p>
            <w:pPr>
              <w:pStyle w:val="TableText"/>
            </w:pPr>
            <w:r>
              <w:t xml:space="preserve">学生端</w:t>
            </w:r>
          </w:p>
        </w:tc>
        <w:tc>
          <w:tcPr>
            <w:tcW w:w="4600" w:type="dxa"/>
            <w:vAlign w:val="center"/>
          </w:tcPr>
          <w:p>
            <w:pPr>
              <w:pStyle w:val="TableText"/>
            </w:pPr>
            <w:r>
              <w:t xml:space="preserve">/api/student/token、exams、mistakes、analysis、report/pdf</w:t>
            </w:r>
          </w:p>
        </w:tc>
        <w:tc>
          <w:tcPr>
            <w:tcW w:w="2650" w:type="dxa"/>
            <w:vAlign w:val="center"/>
          </w:tcPr>
          <w:p>
            <w:pPr>
              <w:pStyle w:val="TableText"/>
            </w:pPr>
            <w:r>
              <w:t xml:space="preserve">[S10]</w:t>
            </w:r>
          </w:p>
        </w:tc>
      </w:tr>
      <w:tr>
        <w:tc>
          <w:tcPr>
            <w:tcW w:w="2250" w:type="dxa"/>
            <w:vAlign w:val="center"/>
          </w:tcPr>
          <w:p>
            <w:pPr>
              <w:pStyle w:val="TableText"/>
            </w:pPr>
            <w:r>
              <w:t xml:space="preserve">用户/套餐</w:t>
            </w:r>
          </w:p>
        </w:tc>
        <w:tc>
          <w:tcPr>
            <w:tcW w:w="4600" w:type="dxa"/>
            <w:vAlign w:val="center"/>
          </w:tcPr>
          <w:p>
            <w:pPr>
              <w:pStyle w:val="TableText"/>
            </w:pPr>
            <w:r>
              <w:t xml:space="preserve">/api/users、/api/subscription、/api/orders</w:t>
            </w:r>
          </w:p>
        </w:tc>
        <w:tc>
          <w:tcPr>
            <w:tcW w:w="2650" w:type="dxa"/>
            <w:vAlign w:val="center"/>
          </w:tcPr>
          <w:p>
            <w:pPr>
              <w:pStyle w:val="TableText"/>
            </w:pPr>
            <w:r>
              <w:t xml:space="preserve">[S11]</w:t>
            </w:r>
          </w:p>
        </w:tc>
      </w:tr>
    </w:tbl>
    <w:p>
      <w:pPr>
        <w:pStyle w:val="Heading2"/>
      </w:pPr>
      <w:r>
        <w:t xml:space="preserve">5.2　数据实体与关系</w:t>
      </w:r>
    </w:p>
    <w:p>
      <w:pPr>
        <w:pStyle w:val="Normal"/>
      </w:pPr>
      <w:r>
        <w:t xml:space="preserve">主要实体：User（教师/管理员账号）—1:N→Student；User—1:N→Question/QuestionBank/Exam/AgentRun；Student—1:N→MistakeRecord；Exam 持有试题快照及批改结果；AgentRun—1:N→AgentArtifact—1:N→AgentAction。QuestionBank 记录题干、答案、解析、题型、难度、知识点、来源、图片和内容哈希；Exam 的 questions 字段允许经典题目数组或包含知识卡片与例题的指导包结构。</w:t>
      </w:r>
    </w:p>
    <w:p>
      <w:pPr>
        <w:pStyle w:val="Caption"/>
      </w:pPr>
      <w:r>
        <w:t xml:space="preserve">图 4　核心数据关系（概念级 ER 关系）</w:t>
      </w:r>
    </w:p>
    <w:p>
      <w:pPr>
        <w:pStyle w:val="Code"/>
      </w:pPr>
      <w:r>
        <w:t xml:space="preserve">User ──&lt; Student ──&lt; MistakeRecord</w:t>
      </w:r>
    </w:p>
    <w:p>
      <w:pPr>
        <w:pStyle w:val="Code"/>
      </w:pPr>
      <w:r>
        <w:t xml:space="preserve">  │          └───────&lt; Exam (student_id 可选，owner_user_id 为授权依据)</w:t>
      </w:r>
    </w:p>
    <w:p>
      <w:pPr>
        <w:pStyle w:val="Code"/>
      </w:pPr>
      <w:r>
        <w:t xml:space="preserve">  ├──&lt; Question / QuestionBank</w:t>
      </w:r>
    </w:p>
    <w:p>
      <w:pPr>
        <w:pStyle w:val="Code"/>
      </w:pPr>
      <w:r>
        <w:t xml:space="preserve">  └──&lt; AgentRun ──&lt; AgentArtifact ──&lt; AgentAction</w:t>
      </w:r>
    </w:p>
    <w:p>
      <w:pPr>
        <w:pStyle w:val="Normal"/>
      </w:pPr>
      <w:r>
        <w:t xml:space="preserve">系统使用 SQLAlchemy ORM，默认 SQLite，环境变量 DATABASE_URL 可切换数据库；CI 使用 PostgreSQL 16。数据库中包含学生身份、成绩与错题信息，真实应用时应进行数据最小化、加密传输、访问审计、保留期与删除策略核验。</w:t>
      </w:r>
    </w:p>
    <w:p>
      <w:pPr>
        <w:pStyle w:val="Heading2"/>
      </w:pPr>
      <w:r>
        <w:t xml:space="preserve">5.3　交互设计与可用性</w:t>
      </w:r>
    </w:p>
    <w:p>
      <w:pPr>
        <w:pStyle w:val="Normal"/>
      </w:pPr>
      <w:r>
        <w:t xml:space="preserve">教师端 App.jsx 通过路由懒加载 Dashboard、SmartGen、QuestionBank、ImportExam、PPTGenerator、KnowledgeBase、AIChat、TeacherAgent、Reports 等页面，并用 ProtectedRoute/AdminRoute 保护入口；学生端独立 App.jsx 提供登录、主页、错题本、知识图谱、试卷列表、作答和个人信息页面。前端有测试文件，但界面响应式效果、无障碍支持、弱网表现与真实用户完成率仍需截图及可用性测试确认。</w:t>
      </w:r>
    </w:p>
    <w:p>
      <w:pPr>
        <w:pStyle w:val="Heading1"/>
      </w:pPr>
      <w:r>
        <w:t xml:space="preserve">6　创新性、先进性与同类方案比较</w:t>
      </w:r>
    </w:p>
    <w:p>
      <w:pPr>
        <w:pStyle w:val="Heading2"/>
      </w:pPr>
      <w:r>
        <w:t xml:space="preserve">6.1　创新点界定</w:t>
      </w:r>
    </w:p>
    <w:p>
      <w:pPr>
        <w:pStyle w:val="Normal"/>
      </w:pPr>
      <w:r>
        <w:t xml:space="preserve">创新点一：面向初中数学的多环节教学闭环。不是孤立生成题目，而是将知识点、题库、试卷、错题和学习报告接入统一数据链路，具备继续生成定向练习的业务基础。创新点二：知识库检索的领域约束与租户归属设计。以结构切分、知识点筛选、向量检索与关键词重排配合来源标注，增强教师上传资料的可用性。创新点三：生成式工作流的安全可控性。通过教师智能体只读规划、结构化计划校验、练习草稿版本化与人工确认后写入，降低模型建议直接修改数据的风险。创新点四：数学内容工程化呈现。针对 DOCX/PDF 图文试卷和 PPT 公式、排版预算构建专门处理链路。</w:t>
      </w:r>
    </w:p>
    <w:p>
      <w:pPr>
        <w:pStyle w:val="Normal"/>
      </w:pPr>
      <w:r>
        <w:t xml:space="preserve">以上为“应用场景与系统工程创新”主张，不是已经获得专利授权的发明点，也不是经对照实验确认优于所有竞品的性能结论。申报书中应避免“首创”“国内领先”“准确率 99%”等未经证实措辞。</w:t>
      </w:r>
    </w:p>
    <w:p>
      <w:pPr>
        <w:pStyle w:val="Heading2"/>
      </w:pPr>
      <w:r>
        <w:t xml:space="preserve">6.2　与替代方案的比较（功能层面，不代表实测排名）</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1900"/>
        <w:gridCol w:w="2650"/>
        <w:gridCol w:w="2500"/>
        <w:gridCol w:w="2450"/>
      </w:tblGrid>
      <w:tr>
        <w:tc>
          <w:tcPr>
            <w:tcW w:w="1900" w:type="dxa"/>
            <w:shd w:fill="164A73"/>
            <w:vAlign w:val="center"/>
          </w:tcPr>
          <w:p>
            <w:pPr>
              <w:pStyle w:val="TableHeader"/>
            </w:pPr>
            <w:r>
              <w:rPr>
                <w:color w:val="FFFFFF"/>
                <w:b/>
              </w:rPr>
              <w:t xml:space="preserve">比较维度</w:t>
            </w:r>
          </w:p>
        </w:tc>
        <w:tc>
          <w:tcPr>
            <w:tcW w:w="2650" w:type="dxa"/>
            <w:shd w:fill="164A73"/>
            <w:vAlign w:val="center"/>
          </w:tcPr>
          <w:p>
            <w:pPr>
              <w:pStyle w:val="TableHeader"/>
            </w:pPr>
            <w:r>
              <w:rPr>
                <w:color w:val="FFFFFF"/>
                <w:b/>
              </w:rPr>
              <w:t xml:space="preserve">人工/通用文档流程</w:t>
            </w:r>
          </w:p>
        </w:tc>
        <w:tc>
          <w:tcPr>
            <w:tcW w:w="2500" w:type="dxa"/>
            <w:shd w:fill="164A73"/>
            <w:vAlign w:val="center"/>
          </w:tcPr>
          <w:p>
            <w:pPr>
              <w:pStyle w:val="TableHeader"/>
            </w:pPr>
            <w:r>
              <w:rPr>
                <w:color w:val="FFFFFF"/>
                <w:b/>
              </w:rPr>
              <w:t xml:space="preserve">通用聊天式大模型</w:t>
            </w:r>
          </w:p>
        </w:tc>
        <w:tc>
          <w:tcPr>
            <w:tcW w:w="2450" w:type="dxa"/>
            <w:shd w:fill="164A73"/>
            <w:vAlign w:val="center"/>
          </w:tcPr>
          <w:p>
            <w:pPr>
              <w:pStyle w:val="TableHeader"/>
            </w:pPr>
            <w:r>
              <w:rPr>
                <w:color w:val="FFFFFF"/>
                <w:b/>
              </w:rPr>
              <w:t xml:space="preserve">TutorPro 源码支持</w:t>
            </w:r>
          </w:p>
        </w:tc>
      </w:tr>
      <w:tr>
        <w:tc>
          <w:tcPr>
            <w:tcW w:w="1900" w:type="dxa"/>
            <w:vAlign w:val="center"/>
          </w:tcPr>
          <w:p>
            <w:pPr>
              <w:pStyle w:val="TableText"/>
            </w:pPr>
            <w:r>
              <w:t xml:space="preserve">试题产生</w:t>
            </w:r>
          </w:p>
        </w:tc>
        <w:tc>
          <w:tcPr>
            <w:tcW w:w="2650" w:type="dxa"/>
            <w:vAlign w:val="center"/>
          </w:tcPr>
          <w:p>
            <w:pPr>
              <w:pStyle w:val="TableText"/>
            </w:pPr>
            <w:r>
              <w:t xml:space="preserve">教师手工编写/整理</w:t>
            </w:r>
          </w:p>
        </w:tc>
        <w:tc>
          <w:tcPr>
            <w:tcW w:w="2500" w:type="dxa"/>
            <w:vAlign w:val="center"/>
          </w:tcPr>
          <w:p>
            <w:pPr>
              <w:pStyle w:val="TableText"/>
            </w:pPr>
            <w:r>
              <w:t xml:space="preserve">可文本生成，需复制整理</w:t>
            </w:r>
          </w:p>
        </w:tc>
        <w:tc>
          <w:tcPr>
            <w:tcW w:w="2450" w:type="dxa"/>
            <w:vAlign w:val="center"/>
          </w:tcPr>
          <w:p>
            <w:pPr>
              <w:pStyle w:val="TableText"/>
            </w:pPr>
            <w:r>
              <w:t xml:space="preserve">结构化生成、校验接口与题库保存</w:t>
            </w:r>
          </w:p>
        </w:tc>
      </w:tr>
      <w:tr>
        <w:tc>
          <w:tcPr>
            <w:tcW w:w="1900" w:type="dxa"/>
            <w:vAlign w:val="center"/>
          </w:tcPr>
          <w:p>
            <w:pPr>
              <w:pStyle w:val="TableText"/>
            </w:pPr>
            <w:r>
              <w:t xml:space="preserve">教师自有资料</w:t>
            </w:r>
          </w:p>
        </w:tc>
        <w:tc>
          <w:tcPr>
            <w:tcW w:w="2650" w:type="dxa"/>
            <w:vAlign w:val="center"/>
          </w:tcPr>
          <w:p>
            <w:pPr>
              <w:pStyle w:val="TableText"/>
            </w:pPr>
            <w:r>
              <w:t xml:space="preserve">手动检索文件</w:t>
            </w:r>
          </w:p>
        </w:tc>
        <w:tc>
          <w:tcPr>
            <w:tcW w:w="2500" w:type="dxa"/>
            <w:vAlign w:val="center"/>
          </w:tcPr>
          <w:p>
            <w:pPr>
              <w:pStyle w:val="TableText"/>
            </w:pPr>
            <w:r>
              <w:t xml:space="preserve">需自行粘贴或依赖外部功能</w:t>
            </w:r>
          </w:p>
        </w:tc>
        <w:tc>
          <w:tcPr>
            <w:tcW w:w="2450" w:type="dxa"/>
            <w:vAlign w:val="center"/>
          </w:tcPr>
          <w:p>
            <w:pPr>
              <w:pStyle w:val="TableText"/>
            </w:pPr>
            <w:r>
              <w:t xml:space="preserve">教师归属 RAG、检索上下文和来源标注</w:t>
            </w:r>
          </w:p>
        </w:tc>
      </w:tr>
      <w:tr>
        <w:tc>
          <w:tcPr>
            <w:tcW w:w="1900" w:type="dxa"/>
            <w:vAlign w:val="center"/>
          </w:tcPr>
          <w:p>
            <w:pPr>
              <w:pStyle w:val="TableText"/>
            </w:pPr>
            <w:r>
              <w:t xml:space="preserve">试卷与错题闭环</w:t>
            </w:r>
          </w:p>
        </w:tc>
        <w:tc>
          <w:tcPr>
            <w:tcW w:w="2650" w:type="dxa"/>
            <w:vAlign w:val="center"/>
          </w:tcPr>
          <w:p>
            <w:pPr>
              <w:pStyle w:val="TableText"/>
            </w:pPr>
            <w:r>
              <w:t xml:space="preserve">多个表格/文件分散维护</w:t>
            </w:r>
          </w:p>
        </w:tc>
        <w:tc>
          <w:tcPr>
            <w:tcW w:w="2500" w:type="dxa"/>
            <w:vAlign w:val="center"/>
          </w:tcPr>
          <w:p>
            <w:pPr>
              <w:pStyle w:val="TableText"/>
            </w:pPr>
            <w:r>
              <w:t xml:space="preserve">通常不直接维护业务数据库</w:t>
            </w:r>
          </w:p>
        </w:tc>
        <w:tc>
          <w:tcPr>
            <w:tcW w:w="2450" w:type="dxa"/>
            <w:vAlign w:val="center"/>
          </w:tcPr>
          <w:p>
            <w:pPr>
              <w:pStyle w:val="TableText"/>
            </w:pPr>
            <w:r>
              <w:t xml:space="preserve">Exam/MistakeRecord 与学生端联动</w:t>
            </w:r>
          </w:p>
        </w:tc>
      </w:tr>
      <w:tr>
        <w:tc>
          <w:tcPr>
            <w:tcW w:w="1900" w:type="dxa"/>
            <w:vAlign w:val="center"/>
          </w:tcPr>
          <w:p>
            <w:pPr>
              <w:pStyle w:val="TableText"/>
            </w:pPr>
            <w:r>
              <w:t xml:space="preserve">数学课件</w:t>
            </w:r>
          </w:p>
        </w:tc>
        <w:tc>
          <w:tcPr>
            <w:tcW w:w="2650" w:type="dxa"/>
            <w:vAlign w:val="center"/>
          </w:tcPr>
          <w:p>
            <w:pPr>
              <w:pStyle w:val="TableText"/>
            </w:pPr>
            <w:r>
              <w:t xml:space="preserve">人工编辑公式与版式</w:t>
            </w:r>
          </w:p>
        </w:tc>
        <w:tc>
          <w:tcPr>
            <w:tcW w:w="2500" w:type="dxa"/>
            <w:vAlign w:val="center"/>
          </w:tcPr>
          <w:p>
            <w:pPr>
              <w:pStyle w:val="TableText"/>
            </w:pPr>
            <w:r>
              <w:t xml:space="preserve">通常输出内容大纲</w:t>
            </w:r>
          </w:p>
        </w:tc>
        <w:tc>
          <w:tcPr>
            <w:tcW w:w="2450" w:type="dxa"/>
            <w:vAlign w:val="center"/>
          </w:tcPr>
          <w:p>
            <w:pPr>
              <w:pStyle w:val="TableText"/>
            </w:pPr>
            <w:r>
              <w:t xml:space="preserve">python-pptx + MathText 图片渲染</w:t>
            </w:r>
          </w:p>
        </w:tc>
      </w:tr>
      <w:tr>
        <w:tc>
          <w:tcPr>
            <w:tcW w:w="1900" w:type="dxa"/>
            <w:vAlign w:val="center"/>
          </w:tcPr>
          <w:p>
            <w:pPr>
              <w:pStyle w:val="TableText"/>
            </w:pPr>
            <w:r>
              <w:t xml:space="preserve">持久写入控制</w:t>
            </w:r>
          </w:p>
        </w:tc>
        <w:tc>
          <w:tcPr>
            <w:tcW w:w="2650" w:type="dxa"/>
            <w:vAlign w:val="center"/>
          </w:tcPr>
          <w:p>
            <w:pPr>
              <w:pStyle w:val="TableText"/>
            </w:pPr>
            <w:r>
              <w:t xml:space="preserve">人工操作可审计程度不一</w:t>
            </w:r>
          </w:p>
        </w:tc>
        <w:tc>
          <w:tcPr>
            <w:tcW w:w="2500" w:type="dxa"/>
            <w:vAlign w:val="center"/>
          </w:tcPr>
          <w:p>
            <w:pPr>
              <w:pStyle w:val="TableText"/>
            </w:pPr>
            <w:r>
              <w:t xml:space="preserve">依赖外部平台权限</w:t>
            </w:r>
          </w:p>
        </w:tc>
        <w:tc>
          <w:tcPr>
            <w:tcW w:w="2450" w:type="dxa"/>
            <w:vAlign w:val="center"/>
          </w:tcPr>
          <w:p>
            <w:pPr>
              <w:pStyle w:val="TableText"/>
            </w:pPr>
            <w:r>
              <w:t xml:space="preserve">草稿版本、显式确认、幂等键</w:t>
            </w:r>
          </w:p>
        </w:tc>
      </w:tr>
      <w:tr>
        <w:tc>
          <w:tcPr>
            <w:tcW w:w="1900" w:type="dxa"/>
            <w:vAlign w:val="center"/>
          </w:tcPr>
          <w:p>
            <w:pPr>
              <w:pStyle w:val="TableText"/>
            </w:pPr>
            <w:r>
              <w:t xml:space="preserve">真实教学效果</w:t>
            </w:r>
          </w:p>
        </w:tc>
        <w:tc>
          <w:tcPr>
            <w:tcW w:w="2650" w:type="dxa"/>
            <w:vAlign w:val="center"/>
          </w:tcPr>
          <w:p>
            <w:pPr>
              <w:pStyle w:val="TableText"/>
            </w:pPr>
            <w:r>
              <w:t xml:space="preserve">取决于教师与流程</w:t>
            </w:r>
          </w:p>
        </w:tc>
        <w:tc>
          <w:tcPr>
            <w:tcW w:w="2500" w:type="dxa"/>
            <w:vAlign w:val="center"/>
          </w:tcPr>
          <w:p>
            <w:pPr>
              <w:pStyle w:val="TableText"/>
            </w:pPr>
            <w:r>
              <w:t xml:space="preserve">取决于模型与使用方式</w:t>
            </w:r>
          </w:p>
        </w:tc>
        <w:tc>
          <w:tcPr>
            <w:tcW w:w="2450" w:type="dxa"/>
            <w:vAlign w:val="center"/>
          </w:tcPr>
          <w:p>
            <w:pPr>
              <w:pStyle w:val="TableText"/>
            </w:pPr>
            <w:r>
              <w:t xml:space="preserve">待实测；无有效优越性结论</w:t>
            </w:r>
          </w:p>
        </w:tc>
      </w:tr>
    </w:tbl>
    <w:p>
      <w:pPr>
        <w:pStyle w:val="Heading2"/>
      </w:pPr>
      <w:r>
        <w:t xml:space="preserve">6.3　先进性评价方法</w:t>
      </w:r>
    </w:p>
    <w:p>
      <w:pPr>
        <w:pStyle w:val="Normal"/>
      </w:pPr>
      <w:r>
        <w:t xml:space="preserve">建议采用双维度评价：工程先进性由功能完整度、错误恢复、归属隔离、资源预算、可维护性和部署自动化打分；教育有效性由题目正确率、知识点匹配率、备课任务耗时、教师满意度与学生掌握度变化测量。两者不能混为一谈。若缺少同口径的基线、样本量和统计检验，只能报告功能特征，不能报告“提升百分比”。</w:t>
      </w:r>
    </w:p>
    <w:p>
      <w:pPr>
        <w:pStyle w:val="Heading1"/>
      </w:pPr>
      <w:r>
        <w:t xml:space="preserve">7　验证依据、实验设计与待实测结果</w:t>
      </w:r>
    </w:p>
    <w:p>
      <w:pPr>
        <w:pStyle w:val="Heading2"/>
      </w:pPr>
      <w:r>
        <w:t xml:space="preserve">7.1　已获得的客观工程证据</w:t>
      </w:r>
    </w:p>
    <w:p>
      <w:pPr>
        <w:pStyle w:val="Normal"/>
      </w:pPr>
      <w:r>
        <w:t xml:space="preserve">截至审查基准，仓库树包含 82 个 backend/tests/test_*.py 文件和 5 个 e2e/tests/*.spec.js 文件（仅计文件数量，不等于测试用例数或通过数）。.github/workflows/ci.yml 定义后端 Python 3.13 与 PostgreSQL 16 测试、教师端与学生端 Vitest/构建，以及依赖前序任务的 Playwright Chromium 端到端流程。GitHub Actions 运行 37357951369（对应 main 提交 30d42477a68f080f349d70ede010aa71c745913a）在 2026-10-05 记录为 completed/success。可证明该提交的一次 CI 工作流整体成功；不能据此推断真实用户规模、线上可靠性、教学效果或特定硬件上的响应速度。</w:t>
      </w:r>
    </w:p>
    <w:p>
      <w:pPr>
        <w:pStyle w:val="Normal"/>
      </w:pPr>
      <w:r>
        <w:t xml:space="preserve">可复核地址：https://github.com/ljjnb666-nb/MathTutor_System/actions/runs/37357951369。建议在申报时补充 CI 工作流截图、测试报告文件、环境版本和关键用例日志，并标注截图时间。</w:t>
      </w:r>
    </w:p>
    <w:p>
      <w:pPr>
        <w:pStyle w:val="Heading2"/>
      </w:pPr>
      <w:r>
        <w:t xml:space="preserve">7.2　实验总体方案</w:t>
      </w:r>
    </w:p>
    <w:p>
      <w:pPr>
        <w:pStyle w:val="Normal"/>
      </w:pPr>
      <w:r>
        <w:t xml:space="preserve">实验分为 E1 功能正确性、E2 内容质量、E3 RAG 检索、E4 文档解析、E5 PPT 渲染、E6 权限安全、E7 性能与成本、E8 教学可用性八组。预先固定 Git 提交、Python/Node 版本、数据库、模型服务商与模型版本、温度、随机种子（若接口支持）、输入语料、评分量表及人工评审规则。外部模型输出具有随机性，至少重复 3 次并报告均值、标准差和失败率。涉及学生数据的测试使用脱敏或合成样本；课堂干预需另行获得学校及监护人授权。</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1300"/>
        <w:gridCol w:w="3600"/>
        <w:gridCol w:w="3150"/>
        <w:gridCol w:w="1450"/>
      </w:tblGrid>
      <w:tr>
        <w:tc>
          <w:tcPr>
            <w:tcW w:w="1300" w:type="dxa"/>
            <w:shd w:fill="164A73"/>
            <w:vAlign w:val="center"/>
          </w:tcPr>
          <w:p>
            <w:pPr>
              <w:pStyle w:val="TableHeader"/>
            </w:pPr>
            <w:r>
              <w:rPr>
                <w:color w:val="FFFFFF"/>
                <w:b/>
              </w:rPr>
              <w:t xml:space="preserve">实验编号</w:t>
            </w:r>
          </w:p>
        </w:tc>
        <w:tc>
          <w:tcPr>
            <w:tcW w:w="3600" w:type="dxa"/>
            <w:shd w:fill="164A73"/>
            <w:vAlign w:val="center"/>
          </w:tcPr>
          <w:p>
            <w:pPr>
              <w:pStyle w:val="TableHeader"/>
            </w:pPr>
            <w:r>
              <w:rPr>
                <w:color w:val="FFFFFF"/>
                <w:b/>
              </w:rPr>
              <w:t xml:space="preserve">样本与操作（拟定）</w:t>
            </w:r>
          </w:p>
        </w:tc>
        <w:tc>
          <w:tcPr>
            <w:tcW w:w="3150" w:type="dxa"/>
            <w:shd w:fill="164A73"/>
            <w:vAlign w:val="center"/>
          </w:tcPr>
          <w:p>
            <w:pPr>
              <w:pStyle w:val="TableHeader"/>
            </w:pPr>
            <w:r>
              <w:rPr>
                <w:color w:val="FFFFFF"/>
                <w:b/>
              </w:rPr>
              <w:t xml:space="preserve">核心指标</w:t>
            </w:r>
          </w:p>
        </w:tc>
        <w:tc>
          <w:tcPr>
            <w:tcW w:w="1450" w:type="dxa"/>
            <w:shd w:fill="164A73"/>
            <w:vAlign w:val="center"/>
          </w:tcPr>
          <w:p>
            <w:pPr>
              <w:pStyle w:val="TableHeader"/>
            </w:pPr>
            <w:r>
              <w:rPr>
                <w:color w:val="FFFFFF"/>
                <w:b/>
              </w:rPr>
              <w:t xml:space="preserve">当前结果</w:t>
            </w:r>
          </w:p>
        </w:tc>
      </w:tr>
      <w:tr>
        <w:tc>
          <w:tcPr>
            <w:tcW w:w="1300" w:type="dxa"/>
            <w:vAlign w:val="center"/>
          </w:tcPr>
          <w:p>
            <w:pPr>
              <w:pStyle w:val="TableText"/>
            </w:pPr>
            <w:r>
              <w:t xml:space="preserve">E1 功能</w:t>
            </w:r>
          </w:p>
        </w:tc>
        <w:tc>
          <w:tcPr>
            <w:tcW w:w="3600" w:type="dxa"/>
            <w:vAlign w:val="center"/>
          </w:tcPr>
          <w:p>
            <w:pPr>
              <w:pStyle w:val="TableText"/>
            </w:pPr>
            <w:r>
              <w:t xml:space="preserve">20 个典型业务任务×3 轮；登录、生成、保存、组卷、作答、报告</w:t>
            </w:r>
          </w:p>
        </w:tc>
        <w:tc>
          <w:tcPr>
            <w:tcW w:w="3150" w:type="dxa"/>
            <w:vAlign w:val="center"/>
          </w:tcPr>
          <w:p>
            <w:pPr>
              <w:pStyle w:val="TableText"/>
            </w:pPr>
            <w:r>
              <w:t xml:space="preserve">任务完成率、接口错误率、异常恢复率</w:t>
            </w:r>
          </w:p>
        </w:tc>
        <w:tc>
          <w:tcPr>
            <w:tcW w:w="1450" w:type="dxa"/>
            <w:vAlign w:val="center"/>
          </w:tcPr>
          <w:p>
            <w:pPr>
              <w:pStyle w:val="TableText"/>
            </w:pPr>
            <w:r>
              <w:t xml:space="preserve">待实测</w:t>
            </w:r>
          </w:p>
        </w:tc>
      </w:tr>
      <w:tr>
        <w:tc>
          <w:tcPr>
            <w:tcW w:w="1300" w:type="dxa"/>
            <w:vAlign w:val="center"/>
          </w:tcPr>
          <w:p>
            <w:pPr>
              <w:pStyle w:val="TableText"/>
            </w:pPr>
            <w:r>
              <w:t xml:space="preserve">E2 数学正确性</w:t>
            </w:r>
          </w:p>
        </w:tc>
        <w:tc>
          <w:tcPr>
            <w:tcW w:w="3600" w:type="dxa"/>
            <w:vAlign w:val="center"/>
          </w:tcPr>
          <w:p>
            <w:pPr>
              <w:pStyle w:val="TableText"/>
            </w:pPr>
            <w:r>
              <w:t xml:space="preserve">覆盖七至九年级 120 道题；2 名数学教师独立盲评</w:t>
            </w:r>
          </w:p>
        </w:tc>
        <w:tc>
          <w:tcPr>
            <w:tcW w:w="3150" w:type="dxa"/>
            <w:vAlign w:val="center"/>
          </w:tcPr>
          <w:p>
            <w:pPr>
              <w:pStyle w:val="TableText"/>
            </w:pPr>
            <w:r>
              <w:t xml:space="preserve">正确率、知识点匹配率、难度一致率、Kappa</w:t>
            </w:r>
          </w:p>
        </w:tc>
        <w:tc>
          <w:tcPr>
            <w:tcW w:w="1450" w:type="dxa"/>
            <w:vAlign w:val="center"/>
          </w:tcPr>
          <w:p>
            <w:pPr>
              <w:pStyle w:val="TableText"/>
            </w:pPr>
            <w:r>
              <w:t xml:space="preserve">待实测</w:t>
            </w:r>
          </w:p>
        </w:tc>
      </w:tr>
      <w:tr>
        <w:tc>
          <w:tcPr>
            <w:tcW w:w="1300" w:type="dxa"/>
            <w:vAlign w:val="center"/>
          </w:tcPr>
          <w:p>
            <w:pPr>
              <w:pStyle w:val="TableText"/>
            </w:pPr>
            <w:r>
              <w:t xml:space="preserve">E3 RAG</w:t>
            </w:r>
          </w:p>
        </w:tc>
        <w:tc>
          <w:tcPr>
            <w:tcW w:w="3600" w:type="dxa"/>
            <w:vAlign w:val="center"/>
          </w:tcPr>
          <w:p>
            <w:pPr>
              <w:pStyle w:val="TableText"/>
            </w:pPr>
            <w:r>
              <w:t xml:space="preserve">40 个带标准来源的问题，比较关闭/开启 RAG</w:t>
            </w:r>
          </w:p>
        </w:tc>
        <w:tc>
          <w:tcPr>
            <w:tcW w:w="3150" w:type="dxa"/>
            <w:vAlign w:val="center"/>
          </w:tcPr>
          <w:p>
            <w:pPr>
              <w:pStyle w:val="TableText"/>
            </w:pPr>
            <w:r>
              <w:t xml:space="preserve">Recall@K、来源命中率、回答可证实率</w:t>
            </w:r>
          </w:p>
        </w:tc>
        <w:tc>
          <w:tcPr>
            <w:tcW w:w="1450" w:type="dxa"/>
            <w:vAlign w:val="center"/>
          </w:tcPr>
          <w:p>
            <w:pPr>
              <w:pStyle w:val="TableText"/>
            </w:pPr>
            <w:r>
              <w:t xml:space="preserve">待实测</w:t>
            </w:r>
          </w:p>
        </w:tc>
      </w:tr>
      <w:tr>
        <w:tc>
          <w:tcPr>
            <w:tcW w:w="1300" w:type="dxa"/>
            <w:vAlign w:val="center"/>
          </w:tcPr>
          <w:p>
            <w:pPr>
              <w:pStyle w:val="TableText"/>
            </w:pPr>
            <w:r>
              <w:t xml:space="preserve">E4 试卷解析</w:t>
            </w:r>
          </w:p>
        </w:tc>
        <w:tc>
          <w:tcPr>
            <w:tcW w:w="3600" w:type="dxa"/>
            <w:vAlign w:val="center"/>
          </w:tcPr>
          <w:p>
            <w:pPr>
              <w:pStyle w:val="TableText"/>
            </w:pPr>
            <w:r>
              <w:t xml:space="preserve">DOCX/PDF 各 30 份，含图/跨页/公式/扫描样本</w:t>
            </w:r>
          </w:p>
        </w:tc>
        <w:tc>
          <w:tcPr>
            <w:tcW w:w="3150" w:type="dxa"/>
            <w:vAlign w:val="center"/>
          </w:tcPr>
          <w:p>
            <w:pPr>
              <w:pStyle w:val="TableText"/>
            </w:pPr>
            <w:r>
              <w:t xml:space="preserve">题目召回率、字段准确率、图文匹配率</w:t>
            </w:r>
          </w:p>
        </w:tc>
        <w:tc>
          <w:tcPr>
            <w:tcW w:w="1450" w:type="dxa"/>
            <w:vAlign w:val="center"/>
          </w:tcPr>
          <w:p>
            <w:pPr>
              <w:pStyle w:val="TableText"/>
            </w:pPr>
            <w:r>
              <w:t xml:space="preserve">待实测</w:t>
            </w:r>
          </w:p>
        </w:tc>
      </w:tr>
      <w:tr>
        <w:tc>
          <w:tcPr>
            <w:tcW w:w="1300" w:type="dxa"/>
            <w:vAlign w:val="center"/>
          </w:tcPr>
          <w:p>
            <w:pPr>
              <w:pStyle w:val="TableText"/>
            </w:pPr>
            <w:r>
              <w:t xml:space="preserve">E5 Magic PPT</w:t>
            </w:r>
          </w:p>
        </w:tc>
        <w:tc>
          <w:tcPr>
            <w:tcW w:w="3600" w:type="dxa"/>
            <w:vAlign w:val="center"/>
          </w:tcPr>
          <w:p>
            <w:pPr>
              <w:pStyle w:val="TableText"/>
            </w:pPr>
            <w:r>
              <w:t xml:space="preserve">20 个不同知识点、含公式与长文本课件</w:t>
            </w:r>
          </w:p>
        </w:tc>
        <w:tc>
          <w:tcPr>
            <w:tcW w:w="3150" w:type="dxa"/>
            <w:vAlign w:val="center"/>
          </w:tcPr>
          <w:p>
            <w:pPr>
              <w:pStyle w:val="TableText"/>
            </w:pPr>
            <w:r>
              <w:t xml:space="preserve">生成成功率、溢出率、公式可读率、耗时</w:t>
            </w:r>
          </w:p>
        </w:tc>
        <w:tc>
          <w:tcPr>
            <w:tcW w:w="1450" w:type="dxa"/>
            <w:vAlign w:val="center"/>
          </w:tcPr>
          <w:p>
            <w:pPr>
              <w:pStyle w:val="TableText"/>
            </w:pPr>
            <w:r>
              <w:t xml:space="preserve">待实测</w:t>
            </w:r>
          </w:p>
        </w:tc>
      </w:tr>
      <w:tr>
        <w:tc>
          <w:tcPr>
            <w:tcW w:w="1300" w:type="dxa"/>
            <w:vAlign w:val="center"/>
          </w:tcPr>
          <w:p>
            <w:pPr>
              <w:pStyle w:val="TableText"/>
            </w:pPr>
            <w:r>
              <w:t xml:space="preserve">E6 权限安全</w:t>
            </w:r>
          </w:p>
        </w:tc>
        <w:tc>
          <w:tcPr>
            <w:tcW w:w="3600" w:type="dxa"/>
            <w:vAlign w:val="center"/>
          </w:tcPr>
          <w:p>
            <w:pPr>
              <w:pStyle w:val="TableText"/>
            </w:pPr>
            <w:r>
              <w:t xml:space="preserve">教师 A/B 与学生 A/B 交叉访问、恶意文件、超限请求</w:t>
            </w:r>
          </w:p>
        </w:tc>
        <w:tc>
          <w:tcPr>
            <w:tcW w:w="3150" w:type="dxa"/>
            <w:vAlign w:val="center"/>
          </w:tcPr>
          <w:p>
            <w:pPr>
              <w:pStyle w:val="TableText"/>
            </w:pPr>
            <w:r>
              <w:t xml:space="preserve">跨租户访问成功数（期望为 0）、拒绝率</w:t>
            </w:r>
          </w:p>
        </w:tc>
        <w:tc>
          <w:tcPr>
            <w:tcW w:w="1450" w:type="dxa"/>
            <w:vAlign w:val="center"/>
          </w:tcPr>
          <w:p>
            <w:pPr>
              <w:pStyle w:val="TableText"/>
            </w:pPr>
            <w:r>
              <w:t xml:space="preserve">待实测</w:t>
            </w:r>
          </w:p>
        </w:tc>
      </w:tr>
      <w:tr>
        <w:tc>
          <w:tcPr>
            <w:tcW w:w="1300" w:type="dxa"/>
            <w:vAlign w:val="center"/>
          </w:tcPr>
          <w:p>
            <w:pPr>
              <w:pStyle w:val="TableText"/>
            </w:pPr>
            <w:r>
              <w:t xml:space="preserve">E7 性能成本</w:t>
            </w:r>
          </w:p>
        </w:tc>
        <w:tc>
          <w:tcPr>
            <w:tcW w:w="3600" w:type="dxa"/>
            <w:vAlign w:val="center"/>
          </w:tcPr>
          <w:p>
            <w:pPr>
              <w:pStyle w:val="TableText"/>
            </w:pPr>
            <w:r>
              <w:t xml:space="preserve">并发 1/5/10/20；分别测试无模型与真实模型调用</w:t>
            </w:r>
          </w:p>
        </w:tc>
        <w:tc>
          <w:tcPr>
            <w:tcW w:w="3150" w:type="dxa"/>
            <w:vAlign w:val="center"/>
          </w:tcPr>
          <w:p>
            <w:pPr>
              <w:pStyle w:val="TableText"/>
            </w:pPr>
            <w:r>
              <w:t xml:space="preserve">p50/p95 时延、错误率、token/次、成本/次</w:t>
            </w:r>
          </w:p>
        </w:tc>
        <w:tc>
          <w:tcPr>
            <w:tcW w:w="1450" w:type="dxa"/>
            <w:vAlign w:val="center"/>
          </w:tcPr>
          <w:p>
            <w:pPr>
              <w:pStyle w:val="TableText"/>
            </w:pPr>
            <w:r>
              <w:t xml:space="preserve">待实测</w:t>
            </w:r>
          </w:p>
        </w:tc>
      </w:tr>
      <w:tr>
        <w:tc>
          <w:tcPr>
            <w:tcW w:w="1300" w:type="dxa"/>
            <w:vAlign w:val="center"/>
          </w:tcPr>
          <w:p>
            <w:pPr>
              <w:pStyle w:val="TableText"/>
            </w:pPr>
            <w:r>
              <w:t xml:space="preserve">E8 教学可用性</w:t>
            </w:r>
          </w:p>
        </w:tc>
        <w:tc>
          <w:tcPr>
            <w:tcW w:w="3600" w:type="dxa"/>
            <w:vAlign w:val="center"/>
          </w:tcPr>
          <w:p>
            <w:pPr>
              <w:pStyle w:val="TableText"/>
            </w:pPr>
            <w:r>
              <w:t xml:space="preserve">不少于 10 名教师完成统一备课任务；条件允许时随机交叉</w:t>
            </w:r>
          </w:p>
        </w:tc>
        <w:tc>
          <w:tcPr>
            <w:tcW w:w="3150" w:type="dxa"/>
            <w:vAlign w:val="center"/>
          </w:tcPr>
          <w:p>
            <w:pPr>
              <w:pStyle w:val="TableText"/>
            </w:pPr>
            <w:r>
              <w:t xml:space="preserve">完成时间、NASA-TLX 或 SUS、主观评价</w:t>
            </w:r>
          </w:p>
        </w:tc>
        <w:tc>
          <w:tcPr>
            <w:tcW w:w="1450" w:type="dxa"/>
            <w:vAlign w:val="center"/>
          </w:tcPr>
          <w:p>
            <w:pPr>
              <w:pStyle w:val="TableText"/>
            </w:pPr>
            <w:r>
              <w:t xml:space="preserve">待实测</w:t>
            </w:r>
          </w:p>
        </w:tc>
      </w:tr>
    </w:tbl>
    <w:p>
      <w:pPr>
        <w:pStyle w:val="Heading2"/>
      </w:pPr>
      <w:r>
        <w:t xml:space="preserve">7.3　指标定义与统计方法</w:t>
      </w:r>
    </w:p>
    <w:p>
      <w:pPr>
        <w:pStyle w:val="Normal"/>
      </w:pPr>
      <w:r>
        <w:t xml:space="preserve">题目正确率 = 数学内容正确的题数 / 被有效评审题数；知识点匹配率 = 与目标知识点一致的题数 / 被评审题数；文档题目召回率 = 正确识别的原始题目数 / 标注原始题目数；字段准确率 = 完全正确的目标字段数 / 标注字段数；Recall@K = 前 K 个检索结果覆盖标准相关片段的查询数 / 查询总数；跨租户越权成功数 = 非授权身份成功读取或修改他人数据的请求数；p95 时延为同一测试条件下 95% 请求完成时间不超过的阈值。</w:t>
      </w:r>
    </w:p>
    <w:p>
      <w:pPr>
        <w:pStyle w:val="Normal"/>
      </w:pPr>
      <w:r>
        <w:t xml:space="preserve">备课节时率 =（人工基线平均耗时 − 使用系统平均耗时）/ 人工基线平均耗时 ×100%；模型调用成本 = 输入 token×输入单价 + 输出 token×输出单价 + Embedding/图像等其他费用。对配对任务优先报告每位参与者的时间差和 95% 置信区间；对分类一致性可计算 Cohen’s Kappa；样本不足时只作描述统计，不做显著性主张。应同时记录失败样本，禁止仅选择成功案例。</w:t>
      </w:r>
    </w:p>
    <w:p>
      <w:pPr>
        <w:pStyle w:val="Heading2"/>
      </w:pPr>
      <w:r>
        <w:t xml:space="preserve">7.4　可复现实验执行步骤</w:t>
      </w:r>
    </w:p>
    <w:p>
      <w:pPr>
        <w:pStyle w:val="List"/>
      </w:pPr>
      <w:r>
        <w:t xml:space="preserve">步骤 1：git checkout 30d42477a68f080f349d70ede010aa71c745913a；记录操作系统、CPU、内存、Docker、Python、Node、PostgreSQL、模型与 API 价格。</w:t>
      </w:r>
    </w:p>
    <w:p>
      <w:pPr>
        <w:pStyle w:val="List"/>
      </w:pPr>
      <w:r>
        <w:t xml:space="preserve">步骤 2：在 MathTutor_System/backend 执行 pip install -r requirements.txt，配置测试数据库，运行 python -m pytest -q -ra --junitxml=backend-results.xml。</w:t>
      </w:r>
    </w:p>
    <w:p>
      <w:pPr>
        <w:pStyle w:val="List"/>
      </w:pPr>
      <w:r>
        <w:t xml:space="preserve">步骤 3：在 frontend 与 frontend-student 分别执行 npm ci、npm test -- --run、npm run build；在 e2e 执行 npm ci、npx playwright install chromium、npx playwright test。</w:t>
      </w:r>
    </w:p>
    <w:p>
      <w:pPr>
        <w:pStyle w:val="List"/>
      </w:pPr>
      <w:r>
        <w:t xml:space="preserve">步骤 4：用统一测试集分别运行 RAG 开关、模型版本和温度条件；保存匿名输入、响应、耗时、来源、token 与错误码。</w:t>
      </w:r>
    </w:p>
    <w:p>
      <w:pPr>
        <w:pStyle w:val="List"/>
      </w:pPr>
      <w:r>
        <w:t xml:space="preserve">步骤 5：由两名评审独立评分，分歧由第三人复核；将题目错误、来源不符、跨页遗漏、PPT 溢出等失败类型归档。</w:t>
      </w:r>
    </w:p>
    <w:p>
      <w:pPr>
        <w:pStyle w:val="List"/>
      </w:pPr>
      <w:r>
        <w:t xml:space="preserve">步骤 6：输出结果表、统计脚本、截图和 CI 证据，并在报告中填写实测日期、硬件、样本规模及置信区间。</w:t>
      </w:r>
    </w:p>
    <w:p>
      <w:pPr>
        <w:pStyle w:val="Heading2"/>
      </w:pPr>
      <w:r>
        <w:t xml:space="preserve">7.5　实验结果记录表（不可用估算值代替）</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3100"/>
        <w:gridCol w:w="2000"/>
        <w:gridCol w:w="2000"/>
        <w:gridCol w:w="2400"/>
      </w:tblGrid>
      <w:tr>
        <w:tc>
          <w:tcPr>
            <w:tcW w:w="3100" w:type="dxa"/>
            <w:shd w:fill="164A73"/>
            <w:vAlign w:val="center"/>
          </w:tcPr>
          <w:p>
            <w:pPr>
              <w:pStyle w:val="TableHeader"/>
            </w:pPr>
            <w:r>
              <w:rPr>
                <w:color w:val="FFFFFF"/>
                <w:b/>
              </w:rPr>
              <w:t xml:space="preserve">指标</w:t>
            </w:r>
          </w:p>
        </w:tc>
        <w:tc>
          <w:tcPr>
            <w:tcW w:w="2000" w:type="dxa"/>
            <w:shd w:fill="164A73"/>
            <w:vAlign w:val="center"/>
          </w:tcPr>
          <w:p>
            <w:pPr>
              <w:pStyle w:val="TableHeader"/>
            </w:pPr>
            <w:r>
              <w:rPr>
                <w:color w:val="FFFFFF"/>
                <w:b/>
              </w:rPr>
              <w:t xml:space="preserve">基线值</w:t>
            </w:r>
          </w:p>
        </w:tc>
        <w:tc>
          <w:tcPr>
            <w:tcW w:w="2000" w:type="dxa"/>
            <w:shd w:fill="164A73"/>
            <w:vAlign w:val="center"/>
          </w:tcPr>
          <w:p>
            <w:pPr>
              <w:pStyle w:val="TableHeader"/>
            </w:pPr>
            <w:r>
              <w:rPr>
                <w:color w:val="FFFFFF"/>
                <w:b/>
              </w:rPr>
              <w:t xml:space="preserve">TutorPro 值</w:t>
            </w:r>
          </w:p>
        </w:tc>
        <w:tc>
          <w:tcPr>
            <w:tcW w:w="2400" w:type="dxa"/>
            <w:shd w:fill="164A73"/>
            <w:vAlign w:val="center"/>
          </w:tcPr>
          <w:p>
            <w:pPr>
              <w:pStyle w:val="TableHeader"/>
            </w:pPr>
            <w:r>
              <w:rPr>
                <w:color w:val="FFFFFF"/>
                <w:b/>
              </w:rPr>
              <w:t xml:space="preserve">差异/结论</w:t>
            </w:r>
          </w:p>
        </w:tc>
      </w:tr>
      <w:tr>
        <w:tc>
          <w:tcPr>
            <w:tcW w:w="3100" w:type="dxa"/>
            <w:vAlign w:val="center"/>
          </w:tcPr>
          <w:p>
            <w:pPr>
              <w:pStyle w:val="TableText"/>
            </w:pPr>
            <w:r>
              <w:t xml:space="preserve">数学题目正确率</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知识点匹配率</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RAG 来源命中率</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PDF/DOCX 题目召回率</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PPT 公式可读率/溢出率</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备课任务中位耗时</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端到端 p95 时延</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跨租户越权成功数</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每次生成的综合成本</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r>
        <w:tc>
          <w:tcPr>
            <w:tcW w:w="3100" w:type="dxa"/>
            <w:vAlign w:val="center"/>
          </w:tcPr>
          <w:p>
            <w:pPr>
              <w:pStyle w:val="TableText"/>
            </w:pPr>
            <w:r>
              <w:t xml:space="preserve">教师主观可用性得分</w:t>
            </w:r>
          </w:p>
        </w:tc>
        <w:tc>
          <w:tcPr>
            <w:tcW w:w="2000" w:type="dxa"/>
            <w:vAlign w:val="center"/>
          </w:tcPr>
          <w:p>
            <w:pPr>
              <w:pStyle w:val="TableText"/>
            </w:pPr>
            <w:r>
              <w:t xml:space="preserve">待实测</w:t>
            </w:r>
          </w:p>
        </w:tc>
        <w:tc>
          <w:tcPr>
            <w:tcW w:w="2000" w:type="dxa"/>
            <w:vAlign w:val="center"/>
          </w:tcPr>
          <w:p>
            <w:pPr>
              <w:pStyle w:val="TableText"/>
            </w:pPr>
            <w:r>
              <w:t xml:space="preserve">待实测</w:t>
            </w:r>
          </w:p>
        </w:tc>
        <w:tc>
          <w:tcPr>
            <w:tcW w:w="2400" w:type="dxa"/>
            <w:vAlign w:val="center"/>
          </w:tcPr>
          <w:p>
            <w:pPr>
              <w:pStyle w:val="TableText"/>
            </w:pPr>
            <w:r>
              <w:t xml:space="preserve">待实测</w:t>
            </w:r>
          </w:p>
        </w:tc>
      </w:tr>
    </w:tbl>
    <w:p>
      <w:pPr>
        <w:pStyle w:val="Normal"/>
      </w:pPr>
      <w:r>
        <w:t xml:space="preserve">注意：本报告没有对上述数值作任何虚构填充。GitHub CI 的“success”仅填入工程证据说明，不填入教学或性能结果列。</w:t>
      </w:r>
    </w:p>
    <w:p>
      <w:pPr>
        <w:pStyle w:val="Heading1"/>
      </w:pPr>
      <w:r>
        <w:t xml:space="preserve">8　应用场景、推广与经济可行性</w:t>
      </w:r>
    </w:p>
    <w:p>
      <w:pPr>
        <w:pStyle w:val="Heading2"/>
      </w:pPr>
      <w:r>
        <w:t xml:space="preserve">8.1　适用场景与推广路径</w:t>
      </w:r>
    </w:p>
    <w:p>
      <w:pPr>
        <w:pStyle w:val="Normal"/>
      </w:pPr>
      <w:r>
        <w:t xml:space="preserve">优先场景为初中数学教师日常备课、教研组资源整理、课后练习与个别化辅导。推广宜采用“单教师试点—小范围教研组试点—校级合规评估”分阶段方式：首先验证数学正确性与操作流程，再核查学生信息保护、账号权限、成本上限和数据迁移，最后讨论商业部署。课堂教学决策与最终试题发布由教师负责。</w:t>
      </w:r>
    </w:p>
    <w:p>
      <w:pPr>
        <w:pStyle w:val="Heading2"/>
      </w:pPr>
      <w:r>
        <w:t xml:space="preserve">8.2　审慎经济测算</w:t>
      </w:r>
    </w:p>
    <w:p>
      <w:pPr>
        <w:pStyle w:val="Normal"/>
      </w:pPr>
      <w:r>
        <w:t xml:space="preserve">经济模型采用情景参数而非经营事实：假设某教师每月使用 12 次智能备课，每次相较人工基线节省 8 分钟，则理论节省时间 = 12×8/60 = 1.6 小时/月；若每次 AI 与存储等可变成本为 C 元，月成本为 12C + 固定基础设施分摊 F。净价值是否为正，取决于经实测的节时、教师可接受成本、API 定价、运维投入及人工审核时间。上述 8 分钟为演算假设，不是系统实测成绩。</w:t>
      </w:r>
    </w:p>
    <w:p>
      <w:pPr>
        <w:pStyle w:val="Normal"/>
      </w:pPr>
      <w:r>
        <w:t xml:space="preserve">代码中包含套餐、订阅、订单和可选支付接入，不构成已有付费客户或真实收入证据。商业预测应提供真实价格、模型调用分布、获客成本、退订率与数据合规成本；缺少这些数据时不得计算确定的利润率或市场份额。</w:t>
      </w:r>
    </w:p>
    <w:p>
      <w:pPr>
        <w:pStyle w:val="Heading2"/>
      </w:pPr>
      <w:r>
        <w:t xml:space="preserve">8.3　社会与教育价值</w:t>
      </w:r>
    </w:p>
    <w:p>
      <w:pPr>
        <w:pStyle w:val="Normal"/>
      </w:pPr>
      <w:r>
        <w:t xml:space="preserve">潜在价值在于减少重复性资源整理、提高个体错题反馈的可获得性，并促进教师对 AI 输出的审核意识。但对学生学习成绩、教育公平、教师工作负担的净影响，需要对照研究和长期追踪，不能以界面功能存在替代教育效果证据。</w:t>
      </w:r>
    </w:p>
    <w:p>
      <w:pPr>
        <w:pStyle w:val="Heading1"/>
      </w:pPr>
      <w:r>
        <w:t xml:space="preserve">9　风险、局限及改进计划</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2600"/>
        <w:gridCol w:w="3450"/>
        <w:gridCol w:w="3450"/>
      </w:tblGrid>
      <w:tr>
        <w:tc>
          <w:tcPr>
            <w:tcW w:w="2600" w:type="dxa"/>
            <w:shd w:fill="164A73"/>
            <w:vAlign w:val="center"/>
          </w:tcPr>
          <w:p>
            <w:pPr>
              <w:pStyle w:val="TableHeader"/>
            </w:pPr>
            <w:r>
              <w:rPr>
                <w:color w:val="FFFFFF"/>
                <w:b/>
              </w:rPr>
              <w:t xml:space="preserve">风险/局限</w:t>
            </w:r>
          </w:p>
        </w:tc>
        <w:tc>
          <w:tcPr>
            <w:tcW w:w="3450" w:type="dxa"/>
            <w:shd w:fill="164A73"/>
            <w:vAlign w:val="center"/>
          </w:tcPr>
          <w:p>
            <w:pPr>
              <w:pStyle w:val="TableHeader"/>
            </w:pPr>
            <w:r>
              <w:rPr>
                <w:color w:val="FFFFFF"/>
                <w:b/>
              </w:rPr>
              <w:t xml:space="preserve">已见工程措施</w:t>
            </w:r>
          </w:p>
        </w:tc>
        <w:tc>
          <w:tcPr>
            <w:tcW w:w="3450" w:type="dxa"/>
            <w:shd w:fill="164A73"/>
            <w:vAlign w:val="center"/>
          </w:tcPr>
          <w:p>
            <w:pPr>
              <w:pStyle w:val="TableHeader"/>
            </w:pPr>
            <w:r>
              <w:rPr>
                <w:color w:val="FFFFFF"/>
                <w:b/>
              </w:rPr>
              <w:t xml:space="preserve">后续改进或验证</w:t>
            </w:r>
          </w:p>
        </w:tc>
      </w:tr>
      <w:tr>
        <w:tc>
          <w:tcPr>
            <w:tcW w:w="2600" w:type="dxa"/>
            <w:vAlign w:val="center"/>
          </w:tcPr>
          <w:p>
            <w:pPr>
              <w:pStyle w:val="TableText"/>
            </w:pPr>
            <w:r>
              <w:t xml:space="preserve">模型幻觉与数学错误</w:t>
            </w:r>
          </w:p>
        </w:tc>
        <w:tc>
          <w:tcPr>
            <w:tcW w:w="3450" w:type="dxa"/>
            <w:vAlign w:val="center"/>
          </w:tcPr>
          <w:p>
            <w:pPr>
              <w:pStyle w:val="TableText"/>
            </w:pPr>
            <w:r>
              <w:t xml:space="preserve">结构化解析、一致性检查、教师审核流程</w:t>
            </w:r>
          </w:p>
        </w:tc>
        <w:tc>
          <w:tcPr>
            <w:tcW w:w="3450" w:type="dxa"/>
            <w:vAlign w:val="center"/>
          </w:tcPr>
          <w:p>
            <w:pPr>
              <w:pStyle w:val="TableText"/>
            </w:pPr>
            <w:r>
              <w:t xml:space="preserve">建设标准题库，独立人工复核与错误分类</w:t>
            </w:r>
          </w:p>
        </w:tc>
      </w:tr>
      <w:tr>
        <w:tc>
          <w:tcPr>
            <w:tcW w:w="2600" w:type="dxa"/>
            <w:vAlign w:val="center"/>
          </w:tcPr>
          <w:p>
            <w:pPr>
              <w:pStyle w:val="TableText"/>
            </w:pPr>
            <w:r>
              <w:t xml:space="preserve">检索误召回与来源漂移</w:t>
            </w:r>
          </w:p>
        </w:tc>
        <w:tc>
          <w:tcPr>
            <w:tcW w:w="3450" w:type="dxa"/>
            <w:vAlign w:val="center"/>
          </w:tcPr>
          <w:p>
            <w:pPr>
              <w:pStyle w:val="TableText"/>
            </w:pPr>
            <w:r>
              <w:t xml:space="preserve">归属过滤、知识点条件、RRF 与来源标签</w:t>
            </w:r>
          </w:p>
        </w:tc>
        <w:tc>
          <w:tcPr>
            <w:tcW w:w="3450" w:type="dxa"/>
            <w:vAlign w:val="center"/>
          </w:tcPr>
          <w:p>
            <w:pPr>
              <w:pStyle w:val="TableText"/>
            </w:pPr>
            <w:r>
              <w:t xml:space="preserve">Recall@K/引用支持率测试，改进中文分词与重排</w:t>
            </w:r>
          </w:p>
        </w:tc>
      </w:tr>
      <w:tr>
        <w:tc>
          <w:tcPr>
            <w:tcW w:w="2600" w:type="dxa"/>
            <w:vAlign w:val="center"/>
          </w:tcPr>
          <w:p>
            <w:pPr>
              <w:pStyle w:val="TableText"/>
            </w:pPr>
            <w:r>
              <w:t xml:space="preserve">试卷复杂版式与扫描件</w:t>
            </w:r>
          </w:p>
        </w:tc>
        <w:tc>
          <w:tcPr>
            <w:tcW w:w="3450" w:type="dxa"/>
            <w:vAlign w:val="center"/>
          </w:tcPr>
          <w:p>
            <w:pPr>
              <w:pStyle w:val="TableText"/>
            </w:pPr>
            <w:r>
              <w:t xml:space="preserve">视觉识别与文本回退、文件预检</w:t>
            </w:r>
          </w:p>
        </w:tc>
        <w:tc>
          <w:tcPr>
            <w:tcW w:w="3450" w:type="dxa"/>
            <w:vAlign w:val="center"/>
          </w:tcPr>
          <w:p>
            <w:pPr>
              <w:pStyle w:val="TableText"/>
            </w:pPr>
            <w:r>
              <w:t xml:space="preserve">建立跨页/表格/图像/手写样本集</w:t>
            </w:r>
          </w:p>
        </w:tc>
      </w:tr>
      <w:tr>
        <w:tc>
          <w:tcPr>
            <w:tcW w:w="2600" w:type="dxa"/>
            <w:vAlign w:val="center"/>
          </w:tcPr>
          <w:p>
            <w:pPr>
              <w:pStyle w:val="TableText"/>
            </w:pPr>
            <w:r>
              <w:t xml:space="preserve">PPT 公式非原生编辑</w:t>
            </w:r>
          </w:p>
        </w:tc>
        <w:tc>
          <w:tcPr>
            <w:tcW w:w="3450" w:type="dxa"/>
            <w:vAlign w:val="center"/>
          </w:tcPr>
          <w:p>
            <w:pPr>
              <w:pStyle w:val="TableText"/>
            </w:pPr>
            <w:r>
              <w:t xml:space="preserve">MathText 转透明 PNG、版式资源预算</w:t>
            </w:r>
          </w:p>
        </w:tc>
        <w:tc>
          <w:tcPr>
            <w:tcW w:w="3450" w:type="dxa"/>
            <w:vAlign w:val="center"/>
          </w:tcPr>
          <w:p>
            <w:pPr>
              <w:pStyle w:val="TableText"/>
            </w:pPr>
            <w:r>
              <w:t xml:space="preserve">兼容性/可读性评测，探索原生 OfficeMath</w:t>
            </w:r>
          </w:p>
        </w:tc>
      </w:tr>
      <w:tr>
        <w:tc>
          <w:tcPr>
            <w:tcW w:w="2600" w:type="dxa"/>
            <w:vAlign w:val="center"/>
          </w:tcPr>
          <w:p>
            <w:pPr>
              <w:pStyle w:val="TableText"/>
            </w:pPr>
            <w:r>
              <w:t xml:space="preserve">学情指标简化</w:t>
            </w:r>
          </w:p>
        </w:tc>
        <w:tc>
          <w:tcPr>
            <w:tcW w:w="3450" w:type="dxa"/>
            <w:vAlign w:val="center"/>
          </w:tcPr>
          <w:p>
            <w:pPr>
              <w:pStyle w:val="TableText"/>
            </w:pPr>
            <w:r>
              <w:t xml:space="preserve">基于错题状态和试卷快照计算</w:t>
            </w:r>
          </w:p>
        </w:tc>
        <w:tc>
          <w:tcPr>
            <w:tcW w:w="3450" w:type="dxa"/>
            <w:vAlign w:val="center"/>
          </w:tcPr>
          <w:p>
            <w:pPr>
              <w:pStyle w:val="TableText"/>
            </w:pPr>
            <w:r>
              <w:t xml:space="preserve">引入经验证的诊断模型与教育测量评估</w:t>
            </w:r>
          </w:p>
        </w:tc>
      </w:tr>
      <w:tr>
        <w:tc>
          <w:tcPr>
            <w:tcW w:w="2600" w:type="dxa"/>
            <w:vAlign w:val="center"/>
          </w:tcPr>
          <w:p>
            <w:pPr>
              <w:pStyle w:val="TableText"/>
            </w:pPr>
            <w:r>
              <w:t xml:space="preserve">隐私与多租户</w:t>
            </w:r>
          </w:p>
        </w:tc>
        <w:tc>
          <w:tcPr>
            <w:tcW w:w="3450" w:type="dxa"/>
            <w:vAlign w:val="center"/>
          </w:tcPr>
          <w:p>
            <w:pPr>
              <w:pStyle w:val="TableText"/>
            </w:pPr>
            <w:r>
              <w:t xml:space="preserve">JWT、owner_user_id、学生身份、受控失败</w:t>
            </w:r>
          </w:p>
        </w:tc>
        <w:tc>
          <w:tcPr>
            <w:tcW w:w="3450" w:type="dxa"/>
            <w:vAlign w:val="center"/>
          </w:tcPr>
          <w:p>
            <w:pPr>
              <w:pStyle w:val="TableText"/>
            </w:pPr>
            <w:r>
              <w:t xml:space="preserve">第三方安全审计、加密备份、保留期与删除核查</w:t>
            </w:r>
          </w:p>
        </w:tc>
      </w:tr>
      <w:tr>
        <w:tc>
          <w:tcPr>
            <w:tcW w:w="2600" w:type="dxa"/>
            <w:vAlign w:val="center"/>
          </w:tcPr>
          <w:p>
            <w:pPr>
              <w:pStyle w:val="TableText"/>
            </w:pPr>
            <w:r>
              <w:t xml:space="preserve">外部模型依赖</w:t>
            </w:r>
          </w:p>
        </w:tc>
        <w:tc>
          <w:tcPr>
            <w:tcW w:w="3450" w:type="dxa"/>
            <w:vAlign w:val="center"/>
          </w:tcPr>
          <w:p>
            <w:pPr>
              <w:pStyle w:val="TableText"/>
            </w:pPr>
            <w:r>
              <w:t xml:space="preserve">多服务商策略、超时与重试参数</w:t>
            </w:r>
          </w:p>
        </w:tc>
        <w:tc>
          <w:tcPr>
            <w:tcW w:w="3450" w:type="dxa"/>
            <w:vAlign w:val="center"/>
          </w:tcPr>
          <w:p>
            <w:pPr>
              <w:pStyle w:val="TableText"/>
            </w:pPr>
            <w:r>
              <w:t xml:space="preserve">价格敏感性、降级、缓存和限流实测</w:t>
            </w:r>
          </w:p>
        </w:tc>
      </w:tr>
      <w:tr>
        <w:tc>
          <w:tcPr>
            <w:tcW w:w="2600" w:type="dxa"/>
            <w:vAlign w:val="center"/>
          </w:tcPr>
          <w:p>
            <w:pPr>
              <w:pStyle w:val="TableText"/>
            </w:pPr>
            <w:r>
              <w:t xml:space="preserve">部署可扩展性</w:t>
            </w:r>
          </w:p>
        </w:tc>
        <w:tc>
          <w:tcPr>
            <w:tcW w:w="3450" w:type="dxa"/>
            <w:vAlign w:val="center"/>
          </w:tcPr>
          <w:p>
            <w:pPr>
              <w:pStyle w:val="TableText"/>
            </w:pPr>
            <w:r>
              <w:t xml:space="preserve">Docker、CI、数据库迁移、RAG 上传槽位</w:t>
            </w:r>
          </w:p>
        </w:tc>
        <w:tc>
          <w:tcPr>
            <w:tcW w:w="3450" w:type="dxa"/>
            <w:vAlign w:val="center"/>
          </w:tcPr>
          <w:p>
            <w:pPr>
              <w:pStyle w:val="TableText"/>
            </w:pPr>
            <w:r>
              <w:t xml:space="preserve">多实例任务队列、监控、压力与故障注入测试</w:t>
            </w:r>
          </w:p>
        </w:tc>
      </w:tr>
    </w:tbl>
    <w:p>
      <w:pPr>
        <w:pStyle w:val="Heading2"/>
      </w:pPr>
      <w:r>
        <w:t xml:space="preserve">9.1　优先级与路线图</w:t>
      </w:r>
    </w:p>
    <w:p>
      <w:pPr>
        <w:pStyle w:val="Normal"/>
      </w:pPr>
      <w:r>
        <w:t xml:space="preserve">近期（0—2 个月）：建立标注数据集，完成 E1—E6 的基线测试与报告截图；中期（2—4 个月）：完成教师可用性研究、成本与 p95 性能测试，修复误召回和复杂文档解析；远期（4—8 个月）：在获得合法授权后开展真实教学试点，完善权限审计、监控、备份与部署标准化。时间为建议计划，非已完成里程碑。</w:t>
      </w:r>
    </w:p>
    <w:p>
      <w:pPr>
        <w:pStyle w:val="Heading2"/>
      </w:pPr>
      <w:r>
        <w:t xml:space="preserve">9.2　伦理与合规原则</w:t>
      </w:r>
    </w:p>
    <w:p>
      <w:pPr>
        <w:pStyle w:val="Normal"/>
      </w:pPr>
      <w:r>
        <w:t xml:space="preserve">学生可能为未成年人，个人学习记录属于需要审慎处理的数据。应坚持最小必要收集、教师和学校授权、明确用途、保留期管理、访问控制与可删除性。向第三方模型发送文本前应脱敏，不上传姓名、联系方式等不必要字段；对生成内容标明 AI 辅助，禁止自动替代教师评价。中国《个人信息保护法》与相关教育管理要求的具体适用范围须由部署单位进一步核实。</w:t>
      </w:r>
    </w:p>
    <w:p>
      <w:pPr>
        <w:pStyle w:val="Heading1"/>
      </w:pPr>
      <w:r>
        <w:t xml:space="preserve">10　研究结论</w:t>
      </w:r>
    </w:p>
    <w:p>
      <w:pPr>
        <w:pStyle w:val="Normal"/>
      </w:pPr>
      <w:r>
        <w:t xml:space="preserve">TutorPro 已形成以教师端、学生端和 FastAPI 服务为核心的初中数学 AI 辅助教学软件实现。源码可核验的技术要素包括结构化出题与试卷管理、教师归属 RAG、PDF/DOCX 试卷解析、数学 PPT 生成、LangGraph 受控智能体、错题与学习报告、身份隔离和持续集成测试。其主要贡献在于面向真实教学任务的流程编排、证据与权限约束，以及复杂文档和数学内容的工程处理。</w:t>
      </w:r>
    </w:p>
    <w:p>
      <w:pPr>
        <w:pStyle w:val="Normal"/>
      </w:pPr>
      <w:r>
        <w:t xml:space="preserve">研究证据仍有明确边界：本报告确认代码存在及一次对应提交的 CI 成功，不声称已证明学习成绩提升、题目生成准确率达到某一数值、实际节省备课时间或实现商业营收。下一阶段应依照第 7 章完成独立标准集测试、教师参与实验、性能成本测量与安全审计，形成具有样本、日志、统计方法和失败案例的正式试验数据。作品可作为科技发明制作类的系统研发成果提交，但最终类别、创新性认定和获奖资格由竞赛评审决定。</w:t>
      </w:r>
    </w:p>
    <w:p>
      <w:pPr>
        <w:pStyle w:val="Heading1"/>
      </w:pPr>
      <w:r>
        <w:t xml:space="preserve">参考文献</w:t>
      </w:r>
    </w:p>
    <w:p>
      <w:pPr>
        <w:pStyle w:val="Normal"/>
      </w:pPr>
      <w:r>
        <w:t xml:space="preserve">[1] BLOOM B S. The 2 Sigma Problem: The Search for Methods of Group Instruction as Effective as One-to-One Tutoring[J]. Educational Researcher, 1984, 13(6): 4-16. DOI: 10.3102/0013189X013006004. https://doi.org/10.3102/0013189X013006004</w:t>
      </w:r>
    </w:p>
    <w:p>
      <w:pPr>
        <w:pStyle w:val="Normal"/>
      </w:pPr>
      <w:r>
        <w:t xml:space="preserve">[2] VASWANI A, SHAZEER N, PARMAR N, et al. Attention Is All You Need[C]//Advances in Neural Information Processing Systems. 2017, 30. https://papers.nips.cc/paper_files/paper/2017/hash/3f5ee243547dee91fbd053c1c4a845aa-Abstract.html</w:t>
      </w:r>
    </w:p>
    <w:p>
      <w:pPr>
        <w:pStyle w:val="Normal"/>
      </w:pPr>
      <w:r>
        <w:t xml:space="preserve">[3] LEWIS P, PEREZ E, PIKTUS A, et al. Retrieval-Augmented Generation for Knowledge-Intensive NLP Tasks[C]//Advances in Neural Information Processing Systems. 2020, 33: 9459-9474. https://arxiv.org/abs/2005.11401</w:t>
      </w:r>
    </w:p>
    <w:p>
      <w:pPr>
        <w:pStyle w:val="Normal"/>
      </w:pPr>
      <w:r>
        <w:t xml:space="preserve">[4] MIAO F, HOLMES W. Guidance for Generative AI in Education and Research[R]. UNESCO, 2023. https://www.unesco.org/en/articles/guidance-generative-ai-education-and-research</w:t>
      </w:r>
    </w:p>
    <w:p>
      <w:pPr>
        <w:pStyle w:val="Normal"/>
      </w:pPr>
      <w:r>
        <w:t xml:space="preserve">[5] 中华人民共和国教育部. 义务教育数学课程标准（2022年版）[S]. 北京：北京师范大学出版社，2022.</w:t>
      </w:r>
    </w:p>
    <w:p>
      <w:pPr>
        <w:pStyle w:val="Normal"/>
      </w:pPr>
      <w:r>
        <w:t xml:space="preserve">[6] TutorPro / MathTutor_System 项目仓库[EB/OL]. GitHub, main 提交 30d42477a68f080f349d70ede010aa71c745913a（审查于 2026-10-27）. https://github.com/ljjnb666-nb/MathTutor_System/tree/30d42477a68f080f349d70ede010aa71c745913a</w:t>
      </w:r>
    </w:p>
    <w:p>
      <w:pPr>
        <w:pStyle w:val="Normal"/>
      </w:pPr>
      <w:r>
        <w:t xml:space="preserve">[7] GitHub Actions. MathTutor_System CI workflow run 37357951369[EB/OL]. 2026-10-05. https://github.com/ljjnb666-nb/MathTutor_System/actions/runs/37357951369</w:t>
      </w:r>
    </w:p>
    <w:p>
      <w:pPr>
        <w:pStyle w:val="Small"/>
      </w:pPr>
      <w:r>
        <w:t xml:space="preserve">文献 [1]—[4] 已核对出版机构/论文入口；[5] 为公开课程标准书目信息；[6]—[7] 为项目一手工程证据。技术文献为理论背景，不能替代本系统的实验结果。</w:t>
      </w:r>
    </w:p>
    <w:p>
      <w:pPr>
        <w:pStyle w:val="Heading1"/>
      </w:pPr>
      <w:r>
        <w:t xml:space="preserve">附录 A　源代码证据索引</w:t>
      </w:r>
    </w:p>
    <w:p>
      <w:pPr>
        <w:pStyle w:val="Normal"/>
      </w:pPr>
      <w:r>
        <w:t xml:space="preserve">所有相对路径均以仓库根目录为基准。核验时在 GitHub URL 中将路径附于 https://github.com/ljjnb666-nb/MathTutor_System/blob/30d42477a68f080f349d70ede010aa71c745913a/ 后；以下为最小可追溯证据集，不代表已穷尽仓库全部实现。</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850"/>
        <w:gridCol w:w="5900"/>
        <w:gridCol w:w="2750"/>
      </w:tblGrid>
      <w:tr>
        <w:tc>
          <w:tcPr>
            <w:tcW w:w="850" w:type="dxa"/>
            <w:shd w:fill="164A73"/>
            <w:vAlign w:val="center"/>
          </w:tcPr>
          <w:p>
            <w:pPr>
              <w:pStyle w:val="TableHeader"/>
            </w:pPr>
            <w:r>
              <w:rPr>
                <w:color w:val="FFFFFF"/>
                <w:b/>
              </w:rPr>
              <w:t xml:space="preserve">编号</w:t>
            </w:r>
          </w:p>
        </w:tc>
        <w:tc>
          <w:tcPr>
            <w:tcW w:w="5900" w:type="dxa"/>
            <w:shd w:fill="164A73"/>
            <w:vAlign w:val="center"/>
          </w:tcPr>
          <w:p>
            <w:pPr>
              <w:pStyle w:val="TableHeader"/>
            </w:pPr>
            <w:r>
              <w:rPr>
                <w:color w:val="FFFFFF"/>
                <w:b/>
              </w:rPr>
              <w:t xml:space="preserve">源代码/配置路径</w:t>
            </w:r>
          </w:p>
        </w:tc>
        <w:tc>
          <w:tcPr>
            <w:tcW w:w="2750" w:type="dxa"/>
            <w:shd w:fill="164A73"/>
            <w:vAlign w:val="center"/>
          </w:tcPr>
          <w:p>
            <w:pPr>
              <w:pStyle w:val="TableHeader"/>
            </w:pPr>
            <w:r>
              <w:rPr>
                <w:color w:val="FFFFFF"/>
                <w:b/>
              </w:rPr>
              <w:t xml:space="preserve">支持的技术结论</w:t>
            </w:r>
          </w:p>
        </w:tc>
      </w:tr>
      <w:tr>
        <w:tc>
          <w:tcPr>
            <w:tcW w:w="850" w:type="dxa"/>
            <w:vAlign w:val="center"/>
          </w:tcPr>
          <w:p>
            <w:pPr>
              <w:pStyle w:val="TableText"/>
            </w:pPr>
            <w:r>
              <w:t xml:space="preserve">S01</w:t>
            </w:r>
          </w:p>
        </w:tc>
        <w:tc>
          <w:tcPr>
            <w:tcW w:w="5900" w:type="dxa"/>
            <w:vAlign w:val="center"/>
          </w:tcPr>
          <w:p>
            <w:pPr>
              <w:pStyle w:val="TableText"/>
            </w:pPr>
            <w:r>
              <w:t xml:space="preserve">MathTutor_System/backend/requirements.txt；frontend/package.json；frontend-student/package.json</w:t>
            </w:r>
          </w:p>
        </w:tc>
        <w:tc>
          <w:tcPr>
            <w:tcW w:w="2750" w:type="dxa"/>
            <w:vAlign w:val="center"/>
          </w:tcPr>
          <w:p>
            <w:pPr>
              <w:pStyle w:val="TableText"/>
            </w:pPr>
            <w:r>
              <w:t xml:space="preserve">Python/React/Chroma/LangGraph/PPT 等依赖</w:t>
            </w:r>
          </w:p>
        </w:tc>
      </w:tr>
      <w:tr>
        <w:tc>
          <w:tcPr>
            <w:tcW w:w="850" w:type="dxa"/>
            <w:vAlign w:val="center"/>
          </w:tcPr>
          <w:p>
            <w:pPr>
              <w:pStyle w:val="TableText"/>
            </w:pPr>
            <w:r>
              <w:t xml:space="preserve">S02</w:t>
            </w:r>
          </w:p>
        </w:tc>
        <w:tc>
          <w:tcPr>
            <w:tcW w:w="5900" w:type="dxa"/>
            <w:vAlign w:val="center"/>
          </w:tcPr>
          <w:p>
            <w:pPr>
              <w:pStyle w:val="TableText"/>
            </w:pPr>
            <w:r>
              <w:t xml:space="preserve">MathTutor_System/backend/app/api/endpoints/generation.py</w:t>
            </w:r>
          </w:p>
        </w:tc>
        <w:tc>
          <w:tcPr>
            <w:tcW w:w="2750" w:type="dxa"/>
            <w:vAlign w:val="center"/>
          </w:tcPr>
          <w:p>
            <w:pPr>
              <w:pStyle w:val="TableText"/>
            </w:pPr>
            <w:r>
              <w:t xml:space="preserve">生成、弱项出题、试卷生成、校验接口</w:t>
            </w:r>
          </w:p>
        </w:tc>
      </w:tr>
      <w:tr>
        <w:tc>
          <w:tcPr>
            <w:tcW w:w="850" w:type="dxa"/>
            <w:vAlign w:val="center"/>
          </w:tcPr>
          <w:p>
            <w:pPr>
              <w:pStyle w:val="TableText"/>
            </w:pPr>
            <w:r>
              <w:t xml:space="preserve">S03</w:t>
            </w:r>
          </w:p>
        </w:tc>
        <w:tc>
          <w:tcPr>
            <w:tcW w:w="5900" w:type="dxa"/>
            <w:vAlign w:val="center"/>
          </w:tcPr>
          <w:p>
            <w:pPr>
              <w:pStyle w:val="TableText"/>
            </w:pPr>
            <w:r>
              <w:t xml:space="preserve">MathTutor_System/backend/app/services/llm_service.py；core/ai_runtime.py</w:t>
            </w:r>
          </w:p>
        </w:tc>
        <w:tc>
          <w:tcPr>
            <w:tcW w:w="2750" w:type="dxa"/>
            <w:vAlign w:val="center"/>
          </w:tcPr>
          <w:p>
            <w:pPr>
              <w:pStyle w:val="TableText"/>
            </w:pPr>
            <w:r>
              <w:t xml:space="preserve">LLM 调用与服务商策略、校验</w:t>
            </w:r>
          </w:p>
        </w:tc>
      </w:tr>
      <w:tr>
        <w:tc>
          <w:tcPr>
            <w:tcW w:w="850" w:type="dxa"/>
            <w:vAlign w:val="center"/>
          </w:tcPr>
          <w:p>
            <w:pPr>
              <w:pStyle w:val="TableText"/>
            </w:pPr>
            <w:r>
              <w:t xml:space="preserve">S04</w:t>
            </w:r>
          </w:p>
        </w:tc>
        <w:tc>
          <w:tcPr>
            <w:tcW w:w="5900" w:type="dxa"/>
            <w:vAlign w:val="center"/>
          </w:tcPr>
          <w:p>
            <w:pPr>
              <w:pStyle w:val="TableText"/>
            </w:pPr>
            <w:r>
              <w:t xml:space="preserve">MathTutor_System/backend/app/api/endpoints/rag.py；services/rag_service.py</w:t>
            </w:r>
          </w:p>
        </w:tc>
        <w:tc>
          <w:tcPr>
            <w:tcW w:w="2750" w:type="dxa"/>
            <w:vAlign w:val="center"/>
          </w:tcPr>
          <w:p>
            <w:pPr>
              <w:pStyle w:val="TableText"/>
            </w:pPr>
            <w:r>
              <w:t xml:space="preserve">知识库上传、查询、归属检索</w:t>
            </w:r>
          </w:p>
        </w:tc>
      </w:tr>
      <w:tr>
        <w:tc>
          <w:tcPr>
            <w:tcW w:w="850" w:type="dxa"/>
            <w:vAlign w:val="center"/>
          </w:tcPr>
          <w:p>
            <w:pPr>
              <w:pStyle w:val="TableText"/>
            </w:pPr>
            <w:r>
              <w:t xml:space="preserve">S05</w:t>
            </w:r>
          </w:p>
        </w:tc>
        <w:tc>
          <w:tcPr>
            <w:tcW w:w="5900" w:type="dxa"/>
            <w:vAlign w:val="center"/>
          </w:tcPr>
          <w:p>
            <w:pPr>
              <w:pStyle w:val="TableText"/>
            </w:pPr>
            <w:r>
              <w:t xml:space="preserve">MathTutor_System/backend/app/services/rag_text_utils.py；rag_document_store.py</w:t>
            </w:r>
          </w:p>
        </w:tc>
        <w:tc>
          <w:tcPr>
            <w:tcW w:w="2750" w:type="dxa"/>
            <w:vAlign w:val="center"/>
          </w:tcPr>
          <w:p>
            <w:pPr>
              <w:pStyle w:val="TableText"/>
            </w:pPr>
            <w:r>
              <w:t xml:space="preserve">结构切分、关键词融合、文档登记</w:t>
            </w:r>
          </w:p>
        </w:tc>
      </w:tr>
      <w:tr>
        <w:tc>
          <w:tcPr>
            <w:tcW w:w="850" w:type="dxa"/>
            <w:vAlign w:val="center"/>
          </w:tcPr>
          <w:p>
            <w:pPr>
              <w:pStyle w:val="TableText"/>
            </w:pPr>
            <w:r>
              <w:t xml:space="preserve">S06</w:t>
            </w:r>
          </w:p>
        </w:tc>
        <w:tc>
          <w:tcPr>
            <w:tcW w:w="5900" w:type="dxa"/>
            <w:vAlign w:val="center"/>
          </w:tcPr>
          <w:p>
            <w:pPr>
              <w:pStyle w:val="TableText"/>
            </w:pPr>
            <w:r>
              <w:t xml:space="preserve">MathTutor_System/backend/app/api/endpoints/upload.py；services/word_parser.py；document_safety.py</w:t>
            </w:r>
          </w:p>
        </w:tc>
        <w:tc>
          <w:tcPr>
            <w:tcW w:w="2750" w:type="dxa"/>
            <w:vAlign w:val="center"/>
          </w:tcPr>
          <w:p>
            <w:pPr>
              <w:pStyle w:val="TableText"/>
            </w:pPr>
            <w:r>
              <w:t xml:space="preserve">PDF/DOCX 解析及文件安全预检</w:t>
            </w:r>
          </w:p>
        </w:tc>
      </w:tr>
      <w:tr>
        <w:tc>
          <w:tcPr>
            <w:tcW w:w="850" w:type="dxa"/>
            <w:vAlign w:val="center"/>
          </w:tcPr>
          <w:p>
            <w:pPr>
              <w:pStyle w:val="TableText"/>
            </w:pPr>
            <w:r>
              <w:t xml:space="preserve">S07</w:t>
            </w:r>
          </w:p>
        </w:tc>
        <w:tc>
          <w:tcPr>
            <w:tcW w:w="5900" w:type="dxa"/>
            <w:vAlign w:val="center"/>
          </w:tcPr>
          <w:p>
            <w:pPr>
              <w:pStyle w:val="TableText"/>
            </w:pPr>
            <w:r>
              <w:t xml:space="preserve">MathTutor_System/backend/app/services/ppt_service.py；ppt_content_service.py；ppt_math_renderer.py</w:t>
            </w:r>
          </w:p>
        </w:tc>
        <w:tc>
          <w:tcPr>
            <w:tcW w:w="2750" w:type="dxa"/>
            <w:vAlign w:val="center"/>
          </w:tcPr>
          <w:p>
            <w:pPr>
              <w:pStyle w:val="TableText"/>
            </w:pPr>
            <w:r>
              <w:t xml:space="preserve">PPT 生成、版式与数学公式</w:t>
            </w:r>
          </w:p>
        </w:tc>
      </w:tr>
      <w:tr>
        <w:tc>
          <w:tcPr>
            <w:tcW w:w="850" w:type="dxa"/>
            <w:vAlign w:val="center"/>
          </w:tcPr>
          <w:p>
            <w:pPr>
              <w:pStyle w:val="TableText"/>
            </w:pPr>
            <w:r>
              <w:t xml:space="preserve">S08</w:t>
            </w:r>
          </w:p>
        </w:tc>
        <w:tc>
          <w:tcPr>
            <w:tcW w:w="5900" w:type="dxa"/>
            <w:vAlign w:val="center"/>
          </w:tcPr>
          <w:p>
            <w:pPr>
              <w:pStyle w:val="TableText"/>
            </w:pPr>
            <w:r>
              <w:t xml:space="preserve">MathTutor_System/backend/app/services/teacher_agent_service.py；teacher_agent_artifact_service.py；agent_tool_registry.py</w:t>
            </w:r>
          </w:p>
        </w:tc>
        <w:tc>
          <w:tcPr>
            <w:tcW w:w="2750" w:type="dxa"/>
            <w:vAlign w:val="center"/>
          </w:tcPr>
          <w:p>
            <w:pPr>
              <w:pStyle w:val="TableText"/>
            </w:pPr>
            <w:r>
              <w:t xml:space="preserve">LangGraph 工作流与确认写入</w:t>
            </w:r>
          </w:p>
        </w:tc>
      </w:tr>
      <w:tr>
        <w:tc>
          <w:tcPr>
            <w:tcW w:w="850" w:type="dxa"/>
            <w:vAlign w:val="center"/>
          </w:tcPr>
          <w:p>
            <w:pPr>
              <w:pStyle w:val="TableText"/>
            </w:pPr>
            <w:r>
              <w:t xml:space="preserve">S09</w:t>
            </w:r>
          </w:p>
        </w:tc>
        <w:tc>
          <w:tcPr>
            <w:tcW w:w="5900" w:type="dxa"/>
            <w:vAlign w:val="center"/>
          </w:tcPr>
          <w:p>
            <w:pPr>
              <w:pStyle w:val="TableText"/>
            </w:pPr>
            <w:r>
              <w:t xml:space="preserve">MathTutor_System/backend/app/services/exam_grading_service.py；report_snapshot_service.py；report_narrative_service.py</w:t>
            </w:r>
          </w:p>
        </w:tc>
        <w:tc>
          <w:tcPr>
            <w:tcW w:w="2750" w:type="dxa"/>
            <w:vAlign w:val="center"/>
          </w:tcPr>
          <w:p>
            <w:pPr>
              <w:pStyle w:val="TableText"/>
            </w:pPr>
            <w:r>
              <w:t xml:space="preserve">批改、学情快照、证据叙述</w:t>
            </w:r>
          </w:p>
        </w:tc>
      </w:tr>
      <w:tr>
        <w:tc>
          <w:tcPr>
            <w:tcW w:w="850" w:type="dxa"/>
            <w:vAlign w:val="center"/>
          </w:tcPr>
          <w:p>
            <w:pPr>
              <w:pStyle w:val="TableText"/>
            </w:pPr>
            <w:r>
              <w:t xml:space="preserve">S10</w:t>
            </w:r>
          </w:p>
        </w:tc>
        <w:tc>
          <w:tcPr>
            <w:tcW w:w="5900" w:type="dxa"/>
            <w:vAlign w:val="center"/>
          </w:tcPr>
          <w:p>
            <w:pPr>
              <w:pStyle w:val="TableText"/>
            </w:pPr>
            <w:r>
              <w:t xml:space="preserve">MathTutor_System/backend/app/api/endpoints/student_router.py；frontend-student/src/App.jsx</w:t>
            </w:r>
          </w:p>
        </w:tc>
        <w:tc>
          <w:tcPr>
            <w:tcW w:w="2750" w:type="dxa"/>
            <w:vAlign w:val="center"/>
          </w:tcPr>
          <w:p>
            <w:pPr>
              <w:pStyle w:val="TableText"/>
            </w:pPr>
            <w:r>
              <w:t xml:space="preserve">学生独立认证与业务端</w:t>
            </w:r>
          </w:p>
        </w:tc>
      </w:tr>
      <w:tr>
        <w:tc>
          <w:tcPr>
            <w:tcW w:w="850" w:type="dxa"/>
            <w:vAlign w:val="center"/>
          </w:tcPr>
          <w:p>
            <w:pPr>
              <w:pStyle w:val="TableText"/>
            </w:pPr>
            <w:r>
              <w:t xml:space="preserve">S11</w:t>
            </w:r>
          </w:p>
        </w:tc>
        <w:tc>
          <w:tcPr>
            <w:tcW w:w="5900" w:type="dxa"/>
            <w:vAlign w:val="center"/>
          </w:tcPr>
          <w:p>
            <w:pPr>
              <w:pStyle w:val="TableText"/>
            </w:pPr>
            <w:r>
              <w:t xml:space="preserve">MathTutor_System/backend/app/models/student.py；exam.py；mistake.py；agent_artifact.py</w:t>
            </w:r>
          </w:p>
        </w:tc>
        <w:tc>
          <w:tcPr>
            <w:tcW w:w="2750" w:type="dxa"/>
            <w:vAlign w:val="center"/>
          </w:tcPr>
          <w:p>
            <w:pPr>
              <w:pStyle w:val="TableText"/>
            </w:pPr>
            <w:r>
              <w:t xml:space="preserve">数据模型、归属与状态</w:t>
            </w:r>
          </w:p>
        </w:tc>
      </w:tr>
      <w:tr>
        <w:tc>
          <w:tcPr>
            <w:tcW w:w="850" w:type="dxa"/>
            <w:vAlign w:val="center"/>
          </w:tcPr>
          <w:p>
            <w:pPr>
              <w:pStyle w:val="TableText"/>
            </w:pPr>
            <w:r>
              <w:t xml:space="preserve">S12</w:t>
            </w:r>
          </w:p>
        </w:tc>
        <w:tc>
          <w:tcPr>
            <w:tcW w:w="5900" w:type="dxa"/>
            <w:vAlign w:val="center"/>
          </w:tcPr>
          <w:p>
            <w:pPr>
              <w:pStyle w:val="TableText"/>
            </w:pPr>
            <w:r>
              <w:t xml:space="preserve">MathTutor_System/docker-compose.yml；backend/Dockerfile；Dockerfile.web</w:t>
            </w:r>
          </w:p>
        </w:tc>
        <w:tc>
          <w:tcPr>
            <w:tcW w:w="2750" w:type="dxa"/>
            <w:vAlign w:val="center"/>
          </w:tcPr>
          <w:p>
            <w:pPr>
              <w:pStyle w:val="TableText"/>
            </w:pPr>
            <w:r>
              <w:t xml:space="preserve">容器部署与持久化</w:t>
            </w:r>
          </w:p>
        </w:tc>
      </w:tr>
      <w:tr>
        <w:tc>
          <w:tcPr>
            <w:tcW w:w="850" w:type="dxa"/>
            <w:vAlign w:val="center"/>
          </w:tcPr>
          <w:p>
            <w:pPr>
              <w:pStyle w:val="TableText"/>
            </w:pPr>
            <w:r>
              <w:t xml:space="preserve">S13</w:t>
            </w:r>
          </w:p>
        </w:tc>
        <w:tc>
          <w:tcPr>
            <w:tcW w:w="5900" w:type="dxa"/>
            <w:vAlign w:val="center"/>
          </w:tcPr>
          <w:p>
            <w:pPr>
              <w:pStyle w:val="TableText"/>
            </w:pPr>
            <w:r>
              <w:t xml:space="preserve">.github/workflows/ci.yml；MathTutor_System/backend/tests/；MathTutor_System/e2e/tests/</w:t>
            </w:r>
          </w:p>
        </w:tc>
        <w:tc>
          <w:tcPr>
            <w:tcW w:w="2750" w:type="dxa"/>
            <w:vAlign w:val="center"/>
          </w:tcPr>
          <w:p>
            <w:pPr>
              <w:pStyle w:val="TableText"/>
            </w:pPr>
            <w:r>
              <w:t xml:space="preserve">自动化测试与 CI 配置</w:t>
            </w:r>
          </w:p>
        </w:tc>
      </w:tr>
      <w:tr>
        <w:tc>
          <w:tcPr>
            <w:tcW w:w="850" w:type="dxa"/>
            <w:vAlign w:val="center"/>
          </w:tcPr>
          <w:p>
            <w:pPr>
              <w:pStyle w:val="TableText"/>
            </w:pPr>
            <w:r>
              <w:t xml:space="preserve">S14</w:t>
            </w:r>
          </w:p>
        </w:tc>
        <w:tc>
          <w:tcPr>
            <w:tcW w:w="5900" w:type="dxa"/>
            <w:vAlign w:val="center"/>
          </w:tcPr>
          <w:p>
            <w:pPr>
              <w:pStyle w:val="TableText"/>
            </w:pPr>
            <w:r>
              <w:t xml:space="preserve">MathTutor_System/frontend/src/App.jsx；frontend/src/pages/</w:t>
            </w:r>
          </w:p>
        </w:tc>
        <w:tc>
          <w:tcPr>
            <w:tcW w:w="2750" w:type="dxa"/>
            <w:vAlign w:val="center"/>
          </w:tcPr>
          <w:p>
            <w:pPr>
              <w:pStyle w:val="TableText"/>
            </w:pPr>
            <w:r>
              <w:t xml:space="preserve">教师端页面与路由</w:t>
            </w:r>
          </w:p>
        </w:tc>
      </w:tr>
      <w:tr>
        <w:tc>
          <w:tcPr>
            <w:tcW w:w="850" w:type="dxa"/>
            <w:vAlign w:val="center"/>
          </w:tcPr>
          <w:p>
            <w:pPr>
              <w:pStyle w:val="TableText"/>
            </w:pPr>
            <w:r>
              <w:t xml:space="preserve">S15</w:t>
            </w:r>
          </w:p>
        </w:tc>
        <w:tc>
          <w:tcPr>
            <w:tcW w:w="5900" w:type="dxa"/>
            <w:vAlign w:val="center"/>
          </w:tcPr>
          <w:p>
            <w:pPr>
              <w:pStyle w:val="TableText"/>
            </w:pPr>
            <w:r>
              <w:t xml:space="preserve">MathTutor_System/backend/app/api/router.py；backend/app/main.py</w:t>
            </w:r>
          </w:p>
        </w:tc>
        <w:tc>
          <w:tcPr>
            <w:tcW w:w="2750" w:type="dxa"/>
            <w:vAlign w:val="center"/>
          </w:tcPr>
          <w:p>
            <w:pPr>
              <w:pStyle w:val="TableText"/>
            </w:pPr>
            <w:r>
              <w:t xml:space="preserve">统一 API 注册与应用入口</w:t>
            </w:r>
          </w:p>
        </w:tc>
      </w:tr>
    </w:tbl>
    <w:p>
      <w:pPr>
        <w:pStyle w:val="Heading1"/>
      </w:pPr>
      <w:r>
        <w:t xml:space="preserve">附录 B　界面、图表与试验材料清单</w:t>
      </w:r>
    </w:p>
    <w:p>
      <w:pPr>
        <w:pStyle w:val="List"/>
      </w:pPr>
      <w:r>
        <w:t xml:space="preserve">B1 教师端登录及角色控制截图：注明演示账号、版本、时间，遮蔽真实账号与密钥。</w:t>
      </w:r>
    </w:p>
    <w:p>
      <w:pPr>
        <w:pStyle w:val="List"/>
      </w:pPr>
      <w:r>
        <w:t xml:space="preserve">B2 智能出题参数页、生成结果与题目校验前后对照截图。</w:t>
      </w:r>
    </w:p>
    <w:p>
      <w:pPr>
        <w:pStyle w:val="List"/>
      </w:pPr>
      <w:r>
        <w:t xml:space="preserve">B3 PDF/DOCX 试卷导入、题目结构化结果与复杂公式/图形样例截图。</w:t>
      </w:r>
    </w:p>
    <w:p>
      <w:pPr>
        <w:pStyle w:val="List"/>
      </w:pPr>
      <w:r>
        <w:t xml:space="preserve">B4 RAG 文档列表、检索来源展示、教师 A/B 隔离测试证据截图。</w:t>
      </w:r>
    </w:p>
    <w:p>
      <w:pPr>
        <w:pStyle w:val="List"/>
      </w:pPr>
      <w:r>
        <w:t xml:space="preserve">B5 Magic PPT 输入页、生成课件封面、公式页和版式溢出边界截图。</w:t>
      </w:r>
    </w:p>
    <w:p>
      <w:pPr>
        <w:pStyle w:val="List"/>
      </w:pPr>
      <w:r>
        <w:t xml:space="preserve">B6 教师智能体计划、练习草稿、确认前/后状态及动作日志截图。</w:t>
      </w:r>
    </w:p>
    <w:p>
      <w:pPr>
        <w:pStyle w:val="List"/>
      </w:pPr>
      <w:r>
        <w:t xml:space="preserve">B7 学生端试卷作答、错题复习、学情图谱、学习报告 PDF 截图。</w:t>
      </w:r>
    </w:p>
    <w:p>
      <w:pPr>
        <w:pStyle w:val="List"/>
      </w:pPr>
      <w:r>
        <w:t xml:space="preserve">B8 CI 成功运行页面、后端 JUnit XML、前端 Vitest、Playwright 结果和环境版本截图。</w:t>
      </w:r>
    </w:p>
    <w:p>
      <w:pPr>
        <w:pStyle w:val="List"/>
      </w:pPr>
      <w:r>
        <w:t xml:space="preserve">B9 评审量表、标注题库、脱敏测试输入、统计表及失败样本归档。</w:t>
      </w:r>
    </w:p>
    <w:p>
      <w:pPr>
        <w:pStyle w:val="Normal"/>
      </w:pPr>
      <w:r>
        <w:t xml:space="preserve">说明：本次报告中图 1—图 4 为基于代码整理的架构/流程示意，并非伪装成真实系统运行截图；B1—B9 需由团队在运行环境补齐原始证据。</w:t>
      </w:r>
    </w:p>
    <w:p>
      <w:pPr>
        <w:pStyle w:val="Heading1"/>
      </w:pPr>
      <w:r>
        <w:t xml:space="preserve">附录 C　B3 申报要点映射与提交前核验</w:t>
      </w:r>
    </w:p>
    <w:tbl>
      <w:tblPr>
        <w:tblW w:w="9500" w:type="dxa"/>
        <w:tblLayout w:type="fixed"/>
        <w:tblBorders>
          <w:top w:val="single" w:sz="4" w:color="D6E0EA"/>
          <w:left w:val="single" w:sz="4" w:color="D6E0EA"/>
          <w:bottom w:val="single" w:sz="4" w:color="D6E0EA"/>
          <w:right w:val="single" w:sz="4" w:color="D6E0EA"/>
          <w:insideH w:val="single" w:sz="3" w:color="E0E7EF"/>
          <w:insideV w:val="single" w:sz="3" w:color="E0E7EF"/>
        </w:tblBorders>
      </w:tblPr>
      <w:tblGrid>
        <w:gridCol w:w="2700"/>
        <w:gridCol w:w="3400"/>
        <w:gridCol w:w="3400"/>
      </w:tblGrid>
      <w:tr>
        <w:tc>
          <w:tcPr>
            <w:tcW w:w="2700" w:type="dxa"/>
            <w:shd w:fill="164A73"/>
            <w:vAlign w:val="center"/>
          </w:tcPr>
          <w:p>
            <w:pPr>
              <w:pStyle w:val="TableHeader"/>
            </w:pPr>
            <w:r>
              <w:rPr>
                <w:color w:val="FFFFFF"/>
                <w:b/>
              </w:rPr>
              <w:t xml:space="preserve">申报关注点</w:t>
            </w:r>
          </w:p>
        </w:tc>
        <w:tc>
          <w:tcPr>
            <w:tcW w:w="3400" w:type="dxa"/>
            <w:shd w:fill="164A73"/>
            <w:vAlign w:val="center"/>
          </w:tcPr>
          <w:p>
            <w:pPr>
              <w:pStyle w:val="TableHeader"/>
            </w:pPr>
            <w:r>
              <w:rPr>
                <w:color w:val="FFFFFF"/>
                <w:b/>
              </w:rPr>
              <w:t xml:space="preserve">本报告位置</w:t>
            </w:r>
          </w:p>
        </w:tc>
        <w:tc>
          <w:tcPr>
            <w:tcW w:w="3400" w:type="dxa"/>
            <w:shd w:fill="164A73"/>
            <w:vAlign w:val="center"/>
          </w:tcPr>
          <w:p>
            <w:pPr>
              <w:pStyle w:val="TableHeader"/>
            </w:pPr>
            <w:r>
              <w:rPr>
                <w:color w:val="FFFFFF"/>
                <w:b/>
              </w:rPr>
              <w:t xml:space="preserve">提交前应补证</w:t>
            </w:r>
          </w:p>
        </w:tc>
      </w:tr>
      <w:tr>
        <w:tc>
          <w:tcPr>
            <w:tcW w:w="2700" w:type="dxa"/>
            <w:vAlign w:val="center"/>
          </w:tcPr>
          <w:p>
            <w:pPr>
              <w:pStyle w:val="TableText"/>
            </w:pPr>
            <w:r>
              <w:t xml:space="preserve">研究目的、问题与理论依据</w:t>
            </w:r>
          </w:p>
        </w:tc>
        <w:tc>
          <w:tcPr>
            <w:tcW w:w="3400" w:type="dxa"/>
            <w:vAlign w:val="center"/>
          </w:tcPr>
          <w:p>
            <w:pPr>
              <w:pStyle w:val="TableText"/>
            </w:pPr>
            <w:r>
              <w:t xml:space="preserve">第 1—2 章、参考文献</w:t>
            </w:r>
          </w:p>
        </w:tc>
        <w:tc>
          <w:tcPr>
            <w:tcW w:w="3400" w:type="dxa"/>
            <w:vAlign w:val="center"/>
          </w:tcPr>
          <w:p>
            <w:pPr>
              <w:pStyle w:val="TableText"/>
            </w:pPr>
            <w:r>
              <w:t xml:space="preserve">学校/赛事官方分类与封面信息</w:t>
            </w:r>
          </w:p>
        </w:tc>
      </w:tr>
      <w:tr>
        <w:tc>
          <w:tcPr>
            <w:tcW w:w="2700" w:type="dxa"/>
            <w:vAlign w:val="center"/>
          </w:tcPr>
          <w:p>
            <w:pPr>
              <w:pStyle w:val="TableText"/>
            </w:pPr>
            <w:r>
              <w:t xml:space="preserve">系统设计、结构图和技术路线</w:t>
            </w:r>
          </w:p>
        </w:tc>
        <w:tc>
          <w:tcPr>
            <w:tcW w:w="3400" w:type="dxa"/>
            <w:vAlign w:val="center"/>
          </w:tcPr>
          <w:p>
            <w:pPr>
              <w:pStyle w:val="TableText"/>
            </w:pPr>
            <w:r>
              <w:t xml:space="preserve">第 3 章，图 1—2</w:t>
            </w:r>
          </w:p>
        </w:tc>
        <w:tc>
          <w:tcPr>
            <w:tcW w:w="3400" w:type="dxa"/>
            <w:vAlign w:val="center"/>
          </w:tcPr>
          <w:p>
            <w:pPr>
              <w:pStyle w:val="TableText"/>
            </w:pPr>
            <w:r>
              <w:t xml:space="preserve">部署截图、系统架构矢量图</w:t>
            </w:r>
          </w:p>
        </w:tc>
      </w:tr>
      <w:tr>
        <w:tc>
          <w:tcPr>
            <w:tcW w:w="2700" w:type="dxa"/>
            <w:vAlign w:val="center"/>
          </w:tcPr>
          <w:p>
            <w:pPr>
              <w:pStyle w:val="TableText"/>
            </w:pPr>
            <w:r>
              <w:t xml:space="preserve">关键技术与作品创新</w:t>
            </w:r>
          </w:p>
        </w:tc>
        <w:tc>
          <w:tcPr>
            <w:tcW w:w="3400" w:type="dxa"/>
            <w:vAlign w:val="center"/>
          </w:tcPr>
          <w:p>
            <w:pPr>
              <w:pStyle w:val="TableText"/>
            </w:pPr>
            <w:r>
              <w:t xml:space="preserve">第 4、6 章，图 3—4</w:t>
            </w:r>
          </w:p>
        </w:tc>
        <w:tc>
          <w:tcPr>
            <w:tcW w:w="3400" w:type="dxa"/>
            <w:vAlign w:val="center"/>
          </w:tcPr>
          <w:p>
            <w:pPr>
              <w:pStyle w:val="TableText"/>
            </w:pPr>
            <w:r>
              <w:t xml:space="preserve">核心功能演示、原创贡献边界说明</w:t>
            </w:r>
          </w:p>
        </w:tc>
      </w:tr>
      <w:tr>
        <w:tc>
          <w:tcPr>
            <w:tcW w:w="2700" w:type="dxa"/>
            <w:vAlign w:val="center"/>
          </w:tcPr>
          <w:p>
            <w:pPr>
              <w:pStyle w:val="TableText"/>
            </w:pPr>
            <w:r>
              <w:t xml:space="preserve">功能与数据结构</w:t>
            </w:r>
          </w:p>
        </w:tc>
        <w:tc>
          <w:tcPr>
            <w:tcW w:w="3400" w:type="dxa"/>
            <w:vAlign w:val="center"/>
          </w:tcPr>
          <w:p>
            <w:pPr>
              <w:pStyle w:val="TableText"/>
            </w:pPr>
            <w:r>
              <w:t xml:space="preserve">第 5 章、附录 A</w:t>
            </w:r>
          </w:p>
        </w:tc>
        <w:tc>
          <w:tcPr>
            <w:tcW w:w="3400" w:type="dxa"/>
            <w:vAlign w:val="center"/>
          </w:tcPr>
          <w:p>
            <w:pPr>
              <w:pStyle w:val="TableText"/>
            </w:pPr>
            <w:r>
              <w:t xml:space="preserve">实体关系图、接口清单与截图</w:t>
            </w:r>
          </w:p>
        </w:tc>
      </w:tr>
      <w:tr>
        <w:tc>
          <w:tcPr>
            <w:tcW w:w="2700" w:type="dxa"/>
            <w:vAlign w:val="center"/>
          </w:tcPr>
          <w:p>
            <w:pPr>
              <w:pStyle w:val="TableText"/>
            </w:pPr>
            <w:r>
              <w:t xml:space="preserve">试验过程、图表、数据</w:t>
            </w:r>
          </w:p>
        </w:tc>
        <w:tc>
          <w:tcPr>
            <w:tcW w:w="3400" w:type="dxa"/>
            <w:vAlign w:val="center"/>
          </w:tcPr>
          <w:p>
            <w:pPr>
              <w:pStyle w:val="TableText"/>
            </w:pPr>
            <w:r>
              <w:t xml:space="preserve">第 7 章及附录 B</w:t>
            </w:r>
          </w:p>
        </w:tc>
        <w:tc>
          <w:tcPr>
            <w:tcW w:w="3400" w:type="dxa"/>
            <w:vAlign w:val="center"/>
          </w:tcPr>
          <w:p>
            <w:pPr>
              <w:pStyle w:val="TableText"/>
            </w:pPr>
            <w:r>
              <w:t xml:space="preserve">原始数据、日志、人工评分、统计结果</w:t>
            </w:r>
          </w:p>
        </w:tc>
      </w:tr>
      <w:tr>
        <w:tc>
          <w:tcPr>
            <w:tcW w:w="2700" w:type="dxa"/>
            <w:vAlign w:val="center"/>
          </w:tcPr>
          <w:p>
            <w:pPr>
              <w:pStyle w:val="TableText"/>
            </w:pPr>
            <w:r>
              <w:t xml:space="preserve">应用价值、风险与推广</w:t>
            </w:r>
          </w:p>
        </w:tc>
        <w:tc>
          <w:tcPr>
            <w:tcW w:w="3400" w:type="dxa"/>
            <w:vAlign w:val="center"/>
          </w:tcPr>
          <w:p>
            <w:pPr>
              <w:pStyle w:val="TableText"/>
            </w:pPr>
            <w:r>
              <w:t xml:space="preserve">第 8—9 章</w:t>
            </w:r>
          </w:p>
        </w:tc>
        <w:tc>
          <w:tcPr>
            <w:tcW w:w="3400" w:type="dxa"/>
            <w:vAlign w:val="center"/>
          </w:tcPr>
          <w:p>
            <w:pPr>
              <w:pStyle w:val="TableText"/>
            </w:pPr>
            <w:r>
              <w:t xml:space="preserve">试点许可、成本账单、合规说明</w:t>
            </w:r>
          </w:p>
        </w:tc>
      </w:tr>
      <w:tr>
        <w:tc>
          <w:tcPr>
            <w:tcW w:w="2700" w:type="dxa"/>
            <w:vAlign w:val="center"/>
          </w:tcPr>
          <w:p>
            <w:pPr>
              <w:pStyle w:val="TableText"/>
            </w:pPr>
            <w:r>
              <w:t xml:space="preserve">参考文献及可核查性</w:t>
            </w:r>
          </w:p>
        </w:tc>
        <w:tc>
          <w:tcPr>
            <w:tcW w:w="3400" w:type="dxa"/>
            <w:vAlign w:val="center"/>
          </w:tcPr>
          <w:p>
            <w:pPr>
              <w:pStyle w:val="TableText"/>
            </w:pPr>
            <w:r>
              <w:t xml:space="preserve">参考文献、附录 A</w:t>
            </w:r>
          </w:p>
        </w:tc>
        <w:tc>
          <w:tcPr>
            <w:tcW w:w="3400" w:type="dxa"/>
            <w:vAlign w:val="center"/>
          </w:tcPr>
          <w:p>
            <w:pPr>
              <w:pStyle w:val="TableText"/>
            </w:pPr>
            <w:r>
              <w:t xml:space="preserve">逐项校对引文与代码提交号</w:t>
            </w:r>
          </w:p>
        </w:tc>
      </w:tr>
    </w:tbl>
    <w:p>
      <w:pPr>
        <w:pStyle w:val="Normal"/>
      </w:pPr>
      <w:r>
        <w:t xml:space="preserve">正式提交前核验：①申报类别和封面个人信息与学校官方模板一致；②补齐作品实物/界面照片、系统架构图与实测表；③所有准确率、节时、成本及试点数据均有原始记录；④不虚报专利、软著、获奖、用户数和营收；⑤确认源码、依赖与第三方素材授权；⑥删除或脱敏演示数据中的个人信息；⑦打印前更新目录、页码与图表编号。</w:t>
      </w:r>
    </w:p>
    <w:p>
      <w:pPr>
        <w:pStyle w:val="Small"/>
      </w:pPr>
      <w:r>
        <w:t xml:space="preserve">报告完。源码审查日期 2026-10-27；源码版本固定 30d42477a68f080f349d70ede010aa71c745913a。</w:t>
      </w:r>
    </w:p>
    <w:sectPr>
      <w:headerReference w:type="default" r:id="rId3"/>
      <w:footerReference w:type="default" r:id="rId4"/>
      <w:pgSz w:w="11906" w:h="16838"/>
      <w:pgMar w:top="1450" w:right="1300" w:bottom="1450" w:left="1300" w:header="650" w:footer="700"/>
      <w:cols w:space="425"/>
    </w:sectPr>
  </w:body>
</w:document>
</file>

<file path=word/footer1.xml><?xml version="1.0" encoding="utf-8"?>
<w:ftr xmlns:w="http://schemas.openxmlformats.org/wordprocessingml/2006/main">
  <w:p>
    <w:pPr>
      <w:jc w:val="center"/>
    </w:pPr>
    <w:r>
      <w:t xml:space="preserve">TutorPro  ·  第 </w:t>
    </w:r>
    <w:r>
      <w:fldChar w:fldCharType="begin"/>
    </w:r>
    <w:r>
      <w:instrText xml:space="preserve"> PAGE </w:instrText>
    </w:r>
    <w:r>
      <w:fldChar w:fldCharType="end"/>
    </w:r>
    <w:r>
      <w:t xml:space="preserve"> 页</w:t>
    </w:r>
  </w:p>
</w:ftr>
</file>

<file path=word/header1.xml><?xml version="1.0" encoding="utf-8"?>
<w:hdr xmlns:w="http://schemas.openxmlformats.org/wordprocessingml/2006/main">
  <w:p>
    <w:pPr>
      <w:jc w:val="right"/>
    </w:pPr>
    <w:r>
      <w:rPr>
        <w:color w:val="607084"/>
        <w:sz w:val="17"/>
      </w:rPr>
      <w:t xml:space="preserve">澈知科技  |  TutorPro 技术研究报告</w:t>
    </w:r>
  </w:p>
</w:hd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Aptos" w:eastAsia="宋体"/>
        <w:sz w:val="22"/>
      </w:rPr>
    </w:rPrDefault>
  </w:docDefaults>
  <w:style w:type="paragraph" w:styleId="Normal">
    <w:name w:val="正文"/>
    <w:pPr>
      <w:spacing w:before="0" w:after="130" w:line="350" w:lineRule="auto"/>
    </w:pPr>
    <w:rPr>
      <w:rFonts w:ascii="Aptos" w:hAnsi="Aptos" w:eastAsia="宋体"/>
      <w:color w:val="242F3A"/>
      <w:sz w:val="22"/>
      <w:szCs w:val="22"/>
    </w:rPr>
  </w:style>
  <w:style w:type="paragraph" w:styleId="Heading1">
    <w:name w:val="标题 1"/>
    <w:basedOn w:val="Normal"/>
    <w:pPr>
      <w:outlineLvl w:val="0"/>
      <w:spacing w:before="360" w:after="230" w:line="350" w:lineRule="auto"/>
    </w:pPr>
    <w:rPr>
      <w:rFonts w:ascii="Aptos" w:hAnsi="Aptos" w:eastAsia="宋体"/>
      <w:color w:val="164A73"/>
      <w:sz w:val="34"/>
      <w:szCs w:val="34"/>
      <w:b/>
    </w:rPr>
  </w:style>
  <w:style w:type="paragraph" w:styleId="Heading2">
    <w:name w:val="标题 2"/>
    <w:basedOn w:val="Normal"/>
    <w:pPr>
      <w:outlineLvl w:val="1"/>
      <w:spacing w:before="260" w:after="150" w:line="350" w:lineRule="auto"/>
    </w:pPr>
    <w:rPr>
      <w:rFonts w:ascii="Aptos" w:hAnsi="Aptos" w:eastAsia="宋体"/>
      <w:color w:val="164A73"/>
      <w:sz w:val="27"/>
      <w:szCs w:val="27"/>
      <w:b/>
    </w:rPr>
  </w:style>
  <w:style w:type="paragraph" w:styleId="Small">
    <w:name w:val="注释"/>
    <w:basedOn w:val="Normal"/>
    <w:pPr>
      <w:spacing w:before="0" w:after="100" w:line="350" w:lineRule="auto"/>
    </w:pPr>
    <w:rPr>
      <w:rFonts w:ascii="Aptos" w:hAnsi="Aptos" w:eastAsia="宋体"/>
      <w:color w:val="607084"/>
      <w:sz w:val="18"/>
      <w:szCs w:val="18"/>
    </w:rPr>
  </w:style>
  <w:style w:type="paragraph" w:styleId="Caption">
    <w:name w:val="图表题注"/>
    <w:basedOn w:val="Normal"/>
    <w:pPr>
      <w:spacing w:before="200" w:after="120" w:line="350" w:lineRule="auto"/>
    </w:pPr>
    <w:rPr>
      <w:rFonts w:ascii="Aptos" w:hAnsi="Aptos" w:eastAsia="宋体"/>
      <w:color w:val="41617E"/>
      <w:sz w:val="19"/>
      <w:szCs w:val="19"/>
      <w:b/>
    </w:rPr>
  </w:style>
  <w:style w:type="paragraph" w:styleId="List">
    <w:name w:val="列表"/>
    <w:basedOn w:val="Normal"/>
    <w:pPr>
      <w:spacing w:before="0" w:after="100" w:line="350" w:lineRule="auto"/>
      <w:ind w:left="460" w:hanging="260"/>
    </w:pPr>
    <w:rPr>
      <w:rFonts w:ascii="Aptos" w:hAnsi="Aptos" w:eastAsia="宋体"/>
      <w:color w:val="273442"/>
      <w:sz w:val="21"/>
      <w:szCs w:val="21"/>
    </w:rPr>
  </w:style>
  <w:style w:type="paragraph" w:styleId="Code">
    <w:name w:val="流程图文字"/>
    <w:basedOn w:val="Normal"/>
    <w:pPr>
      <w:spacing w:before="0" w:after="60" w:line="350" w:lineRule="auto"/>
      <w:ind w:left="200"/>
    </w:pPr>
    <w:rPr>
      <w:rFonts w:ascii="Aptos" w:hAnsi="Aptos" w:eastAsia="宋体"/>
      <w:color w:val="244663"/>
      <w:sz w:val="18"/>
      <w:szCs w:val="18"/>
    </w:rPr>
  </w:style>
  <w:style w:type="paragraph" w:styleId="Toc">
    <w:name w:val="目录条目"/>
    <w:basedOn w:val="Normal"/>
    <w:pPr>
      <w:spacing w:before="0" w:after="120" w:line="350" w:lineRule="auto"/>
    </w:pPr>
    <w:rPr>
      <w:rFonts w:ascii="Aptos" w:hAnsi="Aptos" w:eastAsia="宋体"/>
      <w:color w:val="273442"/>
      <w:sz w:val="22"/>
      <w:szCs w:val="22"/>
    </w:rPr>
  </w:style>
  <w:style w:type="paragraph" w:styleId="TableText">
    <w:name w:val="表格正文"/>
    <w:basedOn w:val="Normal"/>
    <w:pPr>
      <w:spacing w:before="0" w:after="70" w:line="350" w:lineRule="auto"/>
    </w:pPr>
    <w:rPr>
      <w:rFonts w:ascii="Aptos" w:hAnsi="Aptos" w:eastAsia="宋体"/>
      <w:color w:val="273442"/>
      <w:sz w:val="18"/>
      <w:szCs w:val="18"/>
    </w:rPr>
  </w:style>
  <w:style w:type="paragraph" w:styleId="TableHeader">
    <w:name w:val="表头"/>
    <w:basedOn w:val="Normal"/>
    <w:pPr>
      <w:spacing w:before="0" w:after="70" w:line="350" w:lineRule="auto"/>
    </w:pPr>
    <w:rPr>
      <w:rFonts w:ascii="Aptos" w:hAnsi="Aptos" w:eastAsia="宋体"/>
      <w:color w:val="FFFFFF"/>
      <w:sz w:val="19"/>
      <w:szCs w:val="19"/>
      <w:b/>
    </w:rPr>
  </w:style>
  <w:style w:type="paragraph" w:styleId="CoverKicker">
    <w:name w:val="封面眉题"/>
    <w:basedOn w:val="Normal"/>
    <w:pPr>
      <w:spacing w:before="1500" w:after="300" w:line="350" w:lineRule="auto"/>
      <w:jc w:val="center"/>
    </w:pPr>
    <w:rPr>
      <w:rFonts w:ascii="Aptos" w:hAnsi="Aptos" w:eastAsia="宋体"/>
      <w:color w:val="41617E"/>
      <w:sz w:val="23"/>
      <w:szCs w:val="23"/>
      <w:b/>
    </w:rPr>
  </w:style>
  <w:style w:type="paragraph" w:styleId="CoverCategory">
    <w:name w:val="封面类别"/>
    <w:basedOn w:val="Normal"/>
    <w:pPr>
      <w:spacing w:before="0" w:after="650" w:line="350" w:lineRule="auto"/>
      <w:jc w:val="center"/>
    </w:pPr>
    <w:rPr>
      <w:rFonts w:ascii="Aptos" w:hAnsi="Aptos" w:eastAsia="宋体"/>
      <w:color w:val="41617E"/>
      <w:sz w:val="21"/>
      <w:szCs w:val="21"/>
    </w:rPr>
  </w:style>
  <w:style w:type="paragraph" w:styleId="CoverTitle">
    <w:name w:val="封面主标题"/>
    <w:basedOn w:val="Normal"/>
    <w:pPr>
      <w:spacing w:before="250" w:after="100" w:line="350" w:lineRule="auto"/>
      <w:jc w:val="center"/>
    </w:pPr>
    <w:rPr>
      <w:rFonts w:ascii="Aptos" w:hAnsi="Aptos" w:eastAsia="宋体"/>
      <w:color w:val="164A73"/>
      <w:sz w:val="64"/>
      <w:szCs w:val="64"/>
      <w:b/>
    </w:rPr>
  </w:style>
  <w:style w:type="paragraph" w:styleId="CoverSubtitle">
    <w:name w:val="封面副标题"/>
    <w:basedOn w:val="Normal"/>
    <w:pPr>
      <w:spacing w:before="0" w:after="150" w:line="350" w:lineRule="auto"/>
      <w:jc w:val="center"/>
    </w:pPr>
    <w:rPr>
      <w:rFonts w:ascii="Aptos" w:hAnsi="Aptos" w:eastAsia="宋体"/>
      <w:color w:val="164A73"/>
      <w:sz w:val="32"/>
      <w:szCs w:val="32"/>
      <w:b/>
    </w:rPr>
  </w:style>
  <w:style w:type="paragraph" w:styleId="CoverReport">
    <w:name w:val="封面报告名"/>
    <w:basedOn w:val="Normal"/>
    <w:pPr>
      <w:spacing w:before="100" w:after="1000" w:line="350" w:lineRule="auto"/>
      <w:jc w:val="center"/>
    </w:pPr>
    <w:rPr>
      <w:rFonts w:ascii="Aptos" w:hAnsi="Aptos" w:eastAsia="宋体"/>
      <w:color w:val="253A50"/>
      <w:sz w:val="40"/>
      <w:szCs w:val="40"/>
      <w:b/>
    </w:rPr>
  </w:style>
  <w:style w:type="paragraph" w:styleId="CoverLine">
    <w:name w:val="封面信息"/>
    <w:basedOn w:val="Normal"/>
    <w:pPr>
      <w:spacing w:before="0" w:after="190" w:line="350" w:lineRule="auto"/>
      <w:jc w:val="center"/>
    </w:pPr>
    <w:rPr>
      <w:rFonts w:ascii="Aptos" w:hAnsi="Aptos" w:eastAsia="宋体"/>
      <w:color w:val="273442"/>
      <w:sz w:val="23"/>
      <w:szCs w:val="23"/>
    </w:rPr>
  </w:style>
  <w:style w:type="paragraph" w:styleId="CoverMeta">
    <w:name w:val="封面版本"/>
    <w:basedOn w:val="Normal"/>
    <w:pPr>
      <w:spacing w:before="100" w:after="120" w:line="350" w:lineRule="auto"/>
      <w:jc w:val="center"/>
    </w:pPr>
    <w:rPr>
      <w:rFonts w:ascii="Aptos" w:hAnsi="Aptos" w:eastAsia="宋体"/>
      <w:color w:val="607084"/>
      <w:sz w:val="18"/>
      <w:szCs w:val="18"/>
    </w:rPr>
  </w:style>
  <w:style w:type="paragraph" w:styleId="CoverNote">
    <w:name w:val="封面说明"/>
    <w:basedOn w:val="Normal"/>
    <w:pPr>
      <w:spacing w:before="200" w:after="150" w:line="350" w:lineRule="auto"/>
      <w:jc w:val="center"/>
    </w:pPr>
    <w:rPr>
      <w:rFonts w:ascii="Aptos" w:hAnsi="Aptos" w:eastAsia="宋体"/>
      <w:color w:val="607084"/>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TutorPro 技术研究报告</dc:title>
  <dc:creator>澈知科技</dc:creator>
  <dc:subject>挑战杯 B3 科技发明制作类技术研究报告</dc:subject>
  <dc:description>基于 GitHub 源码静态审查与可复现实验设计</dc:description>
  <dcterms:created xsi:type="dcterms:W3CDTF">2026-10-27T00:00:00Z</dcterms:created>
</cp:coreProperties>
</file>