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C665" w14:textId="77777777" w:rsidR="00880E73" w:rsidRPr="00D7590C" w:rsidRDefault="00880E73" w:rsidP="00880E73">
      <w:pPr>
        <w:rPr>
          <w:rFonts w:ascii="Times New Roman" w:hAnsi="Times New Roman" w:cs="Times New Roman"/>
        </w:rPr>
      </w:pPr>
      <w:r w:rsidRPr="00D7590C">
        <w:rPr>
          <w:rFonts w:ascii="Times New Roman" w:hAnsi="Times New Roman" w:cs="Times New Roman"/>
        </w:rPr>
        <w:t>Homework for week 2, submission deadline 23:59 on Sunday night.</w:t>
      </w:r>
    </w:p>
    <w:p w14:paraId="26C0E97C" w14:textId="77777777" w:rsidR="00880E73" w:rsidRPr="00D7590C" w:rsidRDefault="008C5ACE" w:rsidP="008C5ACE">
      <w:pPr>
        <w:pStyle w:val="a9"/>
        <w:numPr>
          <w:ilvl w:val="0"/>
          <w:numId w:val="1"/>
        </w:numPr>
        <w:rPr>
          <w:rFonts w:ascii="Times New Roman" w:hAnsi="Times New Roman" w:cs="Times New Roman"/>
        </w:rPr>
      </w:pPr>
      <w:r w:rsidRPr="00D7590C">
        <w:rPr>
          <w:rFonts w:ascii="Times New Roman" w:hAnsi="Times New Roman" w:cs="Times New Roman"/>
        </w:rPr>
        <w:t>Choose your own topics from following list or your own.</w:t>
      </w:r>
    </w:p>
    <w:p w14:paraId="51C9F6E3" w14:textId="77777777" w:rsidR="008C5ACE" w:rsidRPr="00D7590C" w:rsidRDefault="008C5ACE" w:rsidP="008C5ACE">
      <w:pPr>
        <w:numPr>
          <w:ilvl w:val="0"/>
          <w:numId w:val="3"/>
        </w:numPr>
        <w:spacing w:after="0" w:line="240" w:lineRule="auto"/>
        <w:rPr>
          <w:rFonts w:ascii="Times New Roman" w:hAnsi="Times New Roman" w:cs="Times New Roman"/>
        </w:rPr>
      </w:pPr>
      <w:r w:rsidRPr="00D7590C">
        <w:rPr>
          <w:rFonts w:ascii="Times New Roman" w:hAnsi="Times New Roman" w:cs="Times New Roman"/>
        </w:rPr>
        <w:t>Gut microbiota and metabolic disease</w:t>
      </w:r>
    </w:p>
    <w:p w14:paraId="4C114F2F" w14:textId="77777777" w:rsidR="008C5ACE" w:rsidRPr="00D7590C" w:rsidRDefault="008C5ACE" w:rsidP="008C5ACE">
      <w:pPr>
        <w:numPr>
          <w:ilvl w:val="0"/>
          <w:numId w:val="3"/>
        </w:numPr>
        <w:spacing w:after="0" w:line="240" w:lineRule="auto"/>
        <w:rPr>
          <w:rFonts w:ascii="Times New Roman" w:hAnsi="Times New Roman" w:cs="Times New Roman"/>
        </w:rPr>
      </w:pPr>
      <w:r w:rsidRPr="00D7590C">
        <w:rPr>
          <w:rFonts w:ascii="Times New Roman" w:hAnsi="Times New Roman" w:cs="Times New Roman"/>
        </w:rPr>
        <w:t>Single-cell transcriptomics in cancer immunology</w:t>
      </w:r>
    </w:p>
    <w:p w14:paraId="4F17AD6B" w14:textId="77777777" w:rsidR="008C5ACE" w:rsidRPr="00D7590C" w:rsidRDefault="008C5ACE" w:rsidP="008C5ACE">
      <w:pPr>
        <w:numPr>
          <w:ilvl w:val="0"/>
          <w:numId w:val="3"/>
        </w:numPr>
        <w:spacing w:after="0" w:line="240" w:lineRule="auto"/>
        <w:rPr>
          <w:rFonts w:ascii="Times New Roman" w:hAnsi="Times New Roman" w:cs="Times New Roman"/>
        </w:rPr>
      </w:pPr>
      <w:r w:rsidRPr="00D7590C">
        <w:rPr>
          <w:rFonts w:ascii="Times New Roman" w:hAnsi="Times New Roman" w:cs="Times New Roman"/>
        </w:rPr>
        <w:t>Antibiotic resistance genomics</w:t>
      </w:r>
    </w:p>
    <w:p w14:paraId="5A64B890" w14:textId="77777777" w:rsidR="008C5ACE" w:rsidRPr="00D7590C" w:rsidRDefault="008C5ACE" w:rsidP="008C5ACE">
      <w:pPr>
        <w:numPr>
          <w:ilvl w:val="0"/>
          <w:numId w:val="3"/>
        </w:numPr>
        <w:spacing w:after="0" w:line="240" w:lineRule="auto"/>
        <w:rPr>
          <w:rFonts w:ascii="Times New Roman" w:hAnsi="Times New Roman" w:cs="Times New Roman"/>
        </w:rPr>
      </w:pPr>
      <w:r w:rsidRPr="00D7590C">
        <w:rPr>
          <w:rFonts w:ascii="Times New Roman" w:hAnsi="Times New Roman" w:cs="Times New Roman"/>
        </w:rPr>
        <w:t>Epigenetic regulation in neurological disorders</w:t>
      </w:r>
    </w:p>
    <w:p w14:paraId="65094C38" w14:textId="77777777" w:rsidR="008C5ACE" w:rsidRPr="00D7590C" w:rsidRDefault="008C5ACE" w:rsidP="008C5ACE">
      <w:pPr>
        <w:numPr>
          <w:ilvl w:val="0"/>
          <w:numId w:val="3"/>
        </w:numPr>
        <w:spacing w:after="0" w:line="240" w:lineRule="auto"/>
        <w:rPr>
          <w:rFonts w:ascii="Times New Roman" w:hAnsi="Times New Roman" w:cs="Times New Roman"/>
        </w:rPr>
      </w:pPr>
      <w:r w:rsidRPr="00D7590C">
        <w:rPr>
          <w:rFonts w:ascii="Times New Roman" w:hAnsi="Times New Roman" w:cs="Times New Roman"/>
        </w:rPr>
        <w:t>Muscle regeneration and aging</w:t>
      </w:r>
    </w:p>
    <w:p w14:paraId="30BDED5E" w14:textId="77777777" w:rsidR="008C5ACE" w:rsidRPr="00D7590C" w:rsidRDefault="008C5ACE" w:rsidP="008C5ACE">
      <w:pPr>
        <w:numPr>
          <w:ilvl w:val="0"/>
          <w:numId w:val="3"/>
        </w:numPr>
        <w:spacing w:after="0" w:line="240" w:lineRule="auto"/>
        <w:rPr>
          <w:rFonts w:ascii="Times New Roman" w:hAnsi="Times New Roman" w:cs="Times New Roman"/>
        </w:rPr>
      </w:pPr>
      <w:r w:rsidRPr="00D7590C">
        <w:rPr>
          <w:rFonts w:ascii="Times New Roman" w:hAnsi="Times New Roman" w:cs="Times New Roman"/>
        </w:rPr>
        <w:t>Proteomic biomarkers in MAFLD/MASH</w:t>
      </w:r>
    </w:p>
    <w:p w14:paraId="0147EDA5" w14:textId="77777777" w:rsidR="008C5ACE" w:rsidRPr="00D7590C" w:rsidRDefault="008C5ACE" w:rsidP="008C5ACE">
      <w:pPr>
        <w:spacing w:before="240" w:after="0"/>
        <w:rPr>
          <w:rFonts w:ascii="Times New Roman" w:hAnsi="Times New Roman" w:cs="Times New Roman"/>
        </w:rPr>
      </w:pPr>
      <w:r w:rsidRPr="00D7590C">
        <w:rPr>
          <w:rFonts w:ascii="Times New Roman" w:hAnsi="Times New Roman" w:cs="Times New Roman"/>
        </w:rPr>
        <w:t>Finish the following question section we covered in the class</w:t>
      </w:r>
    </w:p>
    <w:p w14:paraId="3F7472C9" w14:textId="77777777" w:rsidR="008C5ACE" w:rsidRPr="00D7590C" w:rsidRDefault="008C5ACE" w:rsidP="008C5ACE">
      <w:pPr>
        <w:rPr>
          <w:rFonts w:ascii="Times New Roman" w:hAnsi="Times New Roman" w:cs="Times New Roman"/>
        </w:rPr>
      </w:pPr>
      <w:r w:rsidRPr="00D7590C">
        <w:rPr>
          <w:rFonts w:ascii="Times New Roman" w:hAnsi="Times New Roman" w:cs="Times New Roman"/>
          <w:noProof/>
        </w:rPr>
        <w:drawing>
          <wp:inline distT="0" distB="0" distL="0" distR="0" wp14:anchorId="6F245277" wp14:editId="5F7C9A90">
            <wp:extent cx="3318095" cy="2087280"/>
            <wp:effectExtent l="0" t="0" r="0" b="0"/>
            <wp:docPr id="11383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954" name=""/>
                    <pic:cNvPicPr/>
                  </pic:nvPicPr>
                  <pic:blipFill>
                    <a:blip r:embed="rId7"/>
                    <a:stretch>
                      <a:fillRect/>
                    </a:stretch>
                  </pic:blipFill>
                  <pic:spPr>
                    <a:xfrm>
                      <a:off x="0" y="0"/>
                      <a:ext cx="3369786" cy="2119797"/>
                    </a:xfrm>
                    <a:prstGeom prst="rect">
                      <a:avLst/>
                    </a:prstGeom>
                  </pic:spPr>
                </pic:pic>
              </a:graphicData>
            </a:graphic>
          </wp:inline>
        </w:drawing>
      </w:r>
    </w:p>
    <w:tbl>
      <w:tblPr>
        <w:tblStyle w:val="ae"/>
        <w:tblW w:w="9411" w:type="dxa"/>
        <w:jc w:val="center"/>
        <w:tblLayout w:type="fixed"/>
        <w:tblLook w:val="04A0" w:firstRow="1" w:lastRow="0" w:firstColumn="1" w:lastColumn="0" w:noHBand="0" w:noVBand="1"/>
      </w:tblPr>
      <w:tblGrid>
        <w:gridCol w:w="2268"/>
        <w:gridCol w:w="7143"/>
      </w:tblGrid>
      <w:tr w:rsidR="00AD6A3F" w:rsidRPr="00D7590C" w14:paraId="20F4467A" w14:textId="77777777" w:rsidTr="00AD6A3F">
        <w:trPr>
          <w:jc w:val="center"/>
        </w:trPr>
        <w:tc>
          <w:tcPr>
            <w:tcW w:w="2268" w:type="dxa"/>
            <w:tcMar>
              <w:top w:w="90" w:type="dxa"/>
              <w:left w:w="110" w:type="dxa"/>
              <w:bottom w:w="90" w:type="dxa"/>
              <w:right w:w="110" w:type="dxa"/>
            </w:tcMar>
            <w:vAlign w:val="center"/>
          </w:tcPr>
          <w:p w14:paraId="0CA0A5E7" w14:textId="77777777"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sz w:val="18"/>
              </w:rPr>
              <w:t>1. Broad topic</w:t>
            </w:r>
          </w:p>
        </w:tc>
        <w:tc>
          <w:tcPr>
            <w:tcW w:w="7143" w:type="dxa"/>
            <w:tcMar>
              <w:top w:w="90" w:type="dxa"/>
              <w:left w:w="110" w:type="dxa"/>
              <w:bottom w:w="90" w:type="dxa"/>
              <w:right w:w="110" w:type="dxa"/>
            </w:tcMar>
            <w:vAlign w:val="center"/>
          </w:tcPr>
          <w:p w14:paraId="0A0946F8" w14:textId="798D0348" w:rsidR="00AD6A3F" w:rsidRPr="00D7590C" w:rsidRDefault="008E676F" w:rsidP="0017428D">
            <w:pPr>
              <w:spacing w:after="0" w:line="259" w:lineRule="auto"/>
              <w:rPr>
                <w:rFonts w:ascii="Times New Roman" w:hAnsi="Times New Roman" w:cs="Times New Roman"/>
              </w:rPr>
            </w:pPr>
            <w:r w:rsidRPr="008E676F">
              <w:rPr>
                <w:rFonts w:ascii="Times New Roman" w:hAnsi="Times New Roman" w:cs="Times New Roman"/>
                <w:color w:val="1F2937"/>
                <w:sz w:val="18"/>
              </w:rPr>
              <w:t>Gut microbiota and metabolic diseases, particularly obesity and glucose metabolism.</w:t>
            </w:r>
          </w:p>
        </w:tc>
      </w:tr>
      <w:tr w:rsidR="00AD6A3F" w:rsidRPr="00D7590C" w14:paraId="170D77AB" w14:textId="77777777" w:rsidTr="00AD6A3F">
        <w:trPr>
          <w:jc w:val="center"/>
        </w:trPr>
        <w:tc>
          <w:tcPr>
            <w:tcW w:w="2268" w:type="dxa"/>
            <w:tcMar>
              <w:top w:w="90" w:type="dxa"/>
              <w:left w:w="110" w:type="dxa"/>
              <w:bottom w:w="90" w:type="dxa"/>
              <w:right w:w="110" w:type="dxa"/>
            </w:tcMar>
            <w:vAlign w:val="center"/>
          </w:tcPr>
          <w:p w14:paraId="56407A81" w14:textId="77777777"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sz w:val="18"/>
              </w:rPr>
              <w:t>2. Narrow phenomenon</w:t>
            </w:r>
          </w:p>
        </w:tc>
        <w:tc>
          <w:tcPr>
            <w:tcW w:w="7143" w:type="dxa"/>
            <w:tcMar>
              <w:top w:w="90" w:type="dxa"/>
              <w:left w:w="110" w:type="dxa"/>
              <w:bottom w:w="90" w:type="dxa"/>
              <w:right w:w="110" w:type="dxa"/>
            </w:tcMar>
            <w:vAlign w:val="center"/>
          </w:tcPr>
          <w:p w14:paraId="02A88BF2" w14:textId="6A347B93"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color w:val="1F2937"/>
                <w:sz w:val="18"/>
              </w:rPr>
              <w:t xml:space="preserve">Butyrate-producing gut microbial taxa and butyrate-synthesis pathways may </w:t>
            </w:r>
            <w:proofErr w:type="gramStart"/>
            <w:r w:rsidRPr="00D7590C">
              <w:rPr>
                <w:rFonts w:ascii="Times New Roman" w:hAnsi="Times New Roman" w:cs="Times New Roman"/>
                <w:color w:val="1F2937"/>
                <w:sz w:val="18"/>
              </w:rPr>
              <w:t>be reduced</w:t>
            </w:r>
            <w:proofErr w:type="gramEnd"/>
            <w:r w:rsidRPr="00D7590C">
              <w:rPr>
                <w:rFonts w:ascii="Times New Roman" w:hAnsi="Times New Roman" w:cs="Times New Roman"/>
                <w:color w:val="1F2937"/>
                <w:sz w:val="18"/>
              </w:rPr>
              <w:t xml:space="preserve"> in adults with type 2 diabetes (T2D)</w:t>
            </w:r>
          </w:p>
        </w:tc>
      </w:tr>
      <w:tr w:rsidR="00AD6A3F" w:rsidRPr="00D7590C" w14:paraId="4DDE775F" w14:textId="77777777" w:rsidTr="00AD6A3F">
        <w:trPr>
          <w:jc w:val="center"/>
        </w:trPr>
        <w:tc>
          <w:tcPr>
            <w:tcW w:w="2268" w:type="dxa"/>
            <w:tcMar>
              <w:top w:w="90" w:type="dxa"/>
              <w:left w:w="110" w:type="dxa"/>
              <w:bottom w:w="90" w:type="dxa"/>
              <w:right w:w="110" w:type="dxa"/>
            </w:tcMar>
            <w:vAlign w:val="center"/>
          </w:tcPr>
          <w:p w14:paraId="7AB489CD" w14:textId="77777777"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sz w:val="18"/>
              </w:rPr>
              <w:t>3. Testable hypothesis</w:t>
            </w:r>
          </w:p>
        </w:tc>
        <w:tc>
          <w:tcPr>
            <w:tcW w:w="7143" w:type="dxa"/>
            <w:tcMar>
              <w:top w:w="90" w:type="dxa"/>
              <w:left w:w="110" w:type="dxa"/>
              <w:bottom w:w="90" w:type="dxa"/>
              <w:right w:w="110" w:type="dxa"/>
            </w:tcMar>
            <w:vAlign w:val="center"/>
          </w:tcPr>
          <w:p w14:paraId="7B177488" w14:textId="3CE1EF48"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color w:val="1F2937"/>
                <w:sz w:val="18"/>
              </w:rPr>
              <w:t>Adults with T2D have lower relative abundance of butyrate-producing taxa and lower butyrate-synthesis pathway abundance than non-diabetic controls after adjustment for age, sex, BMI, diet, medication use, sequencing batch, and sequencing depth.</w:t>
            </w:r>
          </w:p>
        </w:tc>
      </w:tr>
      <w:tr w:rsidR="00AD6A3F" w:rsidRPr="00D7590C" w14:paraId="1F1E9B04" w14:textId="77777777" w:rsidTr="00AD6A3F">
        <w:trPr>
          <w:jc w:val="center"/>
        </w:trPr>
        <w:tc>
          <w:tcPr>
            <w:tcW w:w="2268" w:type="dxa"/>
            <w:tcMar>
              <w:top w:w="90" w:type="dxa"/>
              <w:left w:w="110" w:type="dxa"/>
              <w:bottom w:w="90" w:type="dxa"/>
              <w:right w:w="110" w:type="dxa"/>
            </w:tcMar>
            <w:vAlign w:val="center"/>
          </w:tcPr>
          <w:p w14:paraId="6A965BFD" w14:textId="77777777"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sz w:val="18"/>
              </w:rPr>
              <w:t>4. Apply PECO</w:t>
            </w:r>
          </w:p>
        </w:tc>
        <w:tc>
          <w:tcPr>
            <w:tcW w:w="7143" w:type="dxa"/>
            <w:tcMar>
              <w:top w:w="90" w:type="dxa"/>
              <w:left w:w="110" w:type="dxa"/>
              <w:bottom w:w="90" w:type="dxa"/>
              <w:right w:w="110" w:type="dxa"/>
            </w:tcMar>
            <w:vAlign w:val="center"/>
          </w:tcPr>
          <w:p w14:paraId="1D241B78" w14:textId="77777777" w:rsidR="00AD6A3F" w:rsidRPr="00D7590C" w:rsidRDefault="00AD6A3F" w:rsidP="0017428D">
            <w:pPr>
              <w:spacing w:after="0" w:line="259" w:lineRule="auto"/>
              <w:rPr>
                <w:rFonts w:ascii="Times New Roman" w:hAnsi="Times New Roman" w:cs="Times New Roman"/>
                <w:color w:val="1F2937"/>
                <w:sz w:val="18"/>
              </w:rPr>
            </w:pPr>
            <w:r w:rsidRPr="00D7590C">
              <w:rPr>
                <w:rFonts w:ascii="Times New Roman" w:hAnsi="Times New Roman" w:cs="Times New Roman"/>
                <w:color w:val="1F2937"/>
                <w:sz w:val="18"/>
              </w:rPr>
              <w:t>P — Population: Adults in a human stool metagenomic cohort with available T2D status and relevant clinical metadata.</w:t>
            </w:r>
          </w:p>
          <w:p w14:paraId="6DC0E349" w14:textId="77777777" w:rsidR="00AD6A3F" w:rsidRPr="00D7590C" w:rsidRDefault="00AD6A3F" w:rsidP="0017428D">
            <w:pPr>
              <w:spacing w:after="0" w:line="259" w:lineRule="auto"/>
              <w:rPr>
                <w:rFonts w:ascii="Times New Roman" w:hAnsi="Times New Roman" w:cs="Times New Roman"/>
                <w:color w:val="1F2937"/>
                <w:sz w:val="18"/>
              </w:rPr>
            </w:pPr>
            <w:r w:rsidRPr="00D7590C">
              <w:rPr>
                <w:rFonts w:ascii="Times New Roman" w:hAnsi="Times New Roman" w:cs="Times New Roman"/>
                <w:color w:val="1F2937"/>
                <w:sz w:val="18"/>
              </w:rPr>
              <w:t>E — Exposure: Type 2 diabetes (T2D) status.</w:t>
            </w:r>
          </w:p>
          <w:p w14:paraId="64A2863A" w14:textId="77777777" w:rsidR="00AD6A3F" w:rsidRPr="00D7590C" w:rsidRDefault="00AD6A3F" w:rsidP="0017428D">
            <w:pPr>
              <w:spacing w:after="0" w:line="259" w:lineRule="auto"/>
              <w:rPr>
                <w:rFonts w:ascii="Times New Roman" w:hAnsi="Times New Roman" w:cs="Times New Roman"/>
                <w:color w:val="1F2937"/>
                <w:sz w:val="18"/>
              </w:rPr>
            </w:pPr>
            <w:r w:rsidRPr="00D7590C">
              <w:rPr>
                <w:rFonts w:ascii="Times New Roman" w:hAnsi="Times New Roman" w:cs="Times New Roman"/>
                <w:color w:val="1F2937"/>
                <w:sz w:val="18"/>
              </w:rPr>
              <w:t>C — Comparison: Adults without T2D from the same or a comparable cohort.</w:t>
            </w:r>
          </w:p>
          <w:p w14:paraId="2553E901" w14:textId="71AF1416"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color w:val="1F2937"/>
                <w:sz w:val="18"/>
              </w:rPr>
              <w:t>O — Outcome: Relative abundance of butyrate-producing microbial taxa and abundance of microbial pathways involved in butyrate biosynthesis.</w:t>
            </w:r>
          </w:p>
        </w:tc>
      </w:tr>
      <w:tr w:rsidR="00AD6A3F" w:rsidRPr="00D7590C" w14:paraId="3C287A1D" w14:textId="77777777" w:rsidTr="00AD6A3F">
        <w:trPr>
          <w:jc w:val="center"/>
        </w:trPr>
        <w:tc>
          <w:tcPr>
            <w:tcW w:w="2268" w:type="dxa"/>
            <w:tcMar>
              <w:top w:w="90" w:type="dxa"/>
              <w:left w:w="110" w:type="dxa"/>
              <w:bottom w:w="90" w:type="dxa"/>
              <w:right w:w="110" w:type="dxa"/>
            </w:tcMar>
            <w:vAlign w:val="center"/>
          </w:tcPr>
          <w:p w14:paraId="742D9F26" w14:textId="77777777"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sz w:val="18"/>
              </w:rPr>
              <w:t>5. Dataset/data type</w:t>
            </w:r>
          </w:p>
        </w:tc>
        <w:tc>
          <w:tcPr>
            <w:tcW w:w="7143" w:type="dxa"/>
            <w:tcMar>
              <w:top w:w="90" w:type="dxa"/>
              <w:left w:w="110" w:type="dxa"/>
              <w:bottom w:w="90" w:type="dxa"/>
              <w:right w:w="110" w:type="dxa"/>
            </w:tcMar>
            <w:vAlign w:val="center"/>
          </w:tcPr>
          <w:p w14:paraId="153F6593" w14:textId="123320A7"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color w:val="1F2937"/>
                <w:sz w:val="18"/>
              </w:rPr>
              <w:t xml:space="preserve">A human stool shotgun metagenomic dataset containing T2D status and relevant clinical metadata, including age, sex, BMI, diet, medication use, sequencing batch, and sequencing depth. An independent cohort with comparable variables would </w:t>
            </w:r>
            <w:proofErr w:type="gramStart"/>
            <w:r w:rsidRPr="00D7590C">
              <w:rPr>
                <w:rFonts w:ascii="Times New Roman" w:hAnsi="Times New Roman" w:cs="Times New Roman"/>
                <w:color w:val="1F2937"/>
                <w:sz w:val="18"/>
              </w:rPr>
              <w:t>be used</w:t>
            </w:r>
            <w:proofErr w:type="gramEnd"/>
            <w:r w:rsidRPr="00D7590C">
              <w:rPr>
                <w:rFonts w:ascii="Times New Roman" w:hAnsi="Times New Roman" w:cs="Times New Roman"/>
                <w:color w:val="1F2937"/>
                <w:sz w:val="18"/>
              </w:rPr>
              <w:t xml:space="preserve"> for external validation if available.</w:t>
            </w:r>
          </w:p>
        </w:tc>
      </w:tr>
      <w:tr w:rsidR="00AD6A3F" w:rsidRPr="00D7590C" w14:paraId="0055A599" w14:textId="77777777" w:rsidTr="00AD6A3F">
        <w:trPr>
          <w:jc w:val="center"/>
        </w:trPr>
        <w:tc>
          <w:tcPr>
            <w:tcW w:w="2268" w:type="dxa"/>
            <w:tcMar>
              <w:top w:w="90" w:type="dxa"/>
              <w:left w:w="110" w:type="dxa"/>
              <w:bottom w:w="90" w:type="dxa"/>
              <w:right w:w="110" w:type="dxa"/>
            </w:tcMar>
            <w:vAlign w:val="center"/>
          </w:tcPr>
          <w:p w14:paraId="77E18FD6" w14:textId="77777777" w:rsidR="00AD6A3F" w:rsidRPr="00D7590C" w:rsidRDefault="00AD6A3F" w:rsidP="0017428D">
            <w:pPr>
              <w:spacing w:after="0" w:line="259" w:lineRule="auto"/>
              <w:rPr>
                <w:rFonts w:ascii="Times New Roman" w:hAnsi="Times New Roman" w:cs="Times New Roman"/>
              </w:rPr>
            </w:pPr>
            <w:r w:rsidRPr="00D7590C">
              <w:rPr>
                <w:rFonts w:ascii="Times New Roman" w:hAnsi="Times New Roman" w:cs="Times New Roman"/>
                <w:sz w:val="18"/>
              </w:rPr>
              <w:t>6. Minimal analysis plan</w:t>
            </w:r>
          </w:p>
        </w:tc>
        <w:tc>
          <w:tcPr>
            <w:tcW w:w="7143" w:type="dxa"/>
            <w:tcMar>
              <w:top w:w="90" w:type="dxa"/>
              <w:left w:w="110" w:type="dxa"/>
              <w:bottom w:w="90" w:type="dxa"/>
              <w:right w:w="110" w:type="dxa"/>
            </w:tcMar>
            <w:vAlign w:val="center"/>
          </w:tcPr>
          <w:p w14:paraId="5EDB68AB" w14:textId="77777777" w:rsidR="00184969" w:rsidRPr="00184969" w:rsidRDefault="00184969" w:rsidP="00184969">
            <w:pPr>
              <w:spacing w:after="0" w:line="259" w:lineRule="auto"/>
              <w:rPr>
                <w:rFonts w:ascii="Times New Roman" w:hAnsi="Times New Roman" w:cs="Times New Roman"/>
                <w:color w:val="1F2937"/>
                <w:sz w:val="18"/>
              </w:rPr>
            </w:pPr>
            <w:r w:rsidRPr="00184969">
              <w:rPr>
                <w:rFonts w:ascii="Times New Roman" w:hAnsi="Times New Roman" w:cs="Times New Roman"/>
                <w:b/>
                <w:bCs/>
                <w:color w:val="1F2937"/>
                <w:sz w:val="18"/>
              </w:rPr>
              <w:t>Data:</w:t>
            </w:r>
            <w:r w:rsidRPr="00184969">
              <w:rPr>
                <w:rFonts w:ascii="Times New Roman" w:hAnsi="Times New Roman" w:cs="Times New Roman"/>
                <w:color w:val="1F2937"/>
                <w:sz w:val="18"/>
              </w:rPr>
              <w:t xml:space="preserve"> Include adults with valid T2D status, adequate sequencing quality, and available core covariates. Compare T2D with non-T2D adults. Exclude participants with recent antibiotic exposure if this information is available.</w:t>
            </w:r>
          </w:p>
          <w:p w14:paraId="224B4782" w14:textId="77777777" w:rsidR="00184969" w:rsidRPr="00184969" w:rsidRDefault="00184969" w:rsidP="00184969">
            <w:pPr>
              <w:spacing w:after="0" w:line="259" w:lineRule="auto"/>
              <w:rPr>
                <w:rFonts w:ascii="Times New Roman" w:hAnsi="Times New Roman" w:cs="Times New Roman"/>
                <w:color w:val="1F2937"/>
                <w:sz w:val="18"/>
              </w:rPr>
            </w:pPr>
            <w:r w:rsidRPr="00184969">
              <w:rPr>
                <w:rFonts w:ascii="Times New Roman" w:hAnsi="Times New Roman" w:cs="Times New Roman"/>
                <w:b/>
                <w:bCs/>
                <w:color w:val="1F2937"/>
                <w:sz w:val="18"/>
              </w:rPr>
              <w:t>Method:</w:t>
            </w:r>
            <w:r w:rsidRPr="00184969">
              <w:rPr>
                <w:rFonts w:ascii="Times New Roman" w:hAnsi="Times New Roman" w:cs="Times New Roman"/>
                <w:color w:val="1F2937"/>
                <w:sz w:val="18"/>
              </w:rPr>
              <w:t xml:space="preserve"> Perform taxonomic and functional pathway profiling, followed by covariate-adjusted regression models. Adjust for age, sex, BMI, diet, medication use, sequencing batch, and </w:t>
            </w:r>
            <w:r w:rsidRPr="00184969">
              <w:rPr>
                <w:rFonts w:ascii="Times New Roman" w:hAnsi="Times New Roman" w:cs="Times New Roman"/>
                <w:color w:val="1F2937"/>
                <w:sz w:val="18"/>
              </w:rPr>
              <w:lastRenderedPageBreak/>
              <w:t>sequencing depth as appropriate. Apply false discovery rate (FDR) correction for multiple testing.</w:t>
            </w:r>
          </w:p>
          <w:p w14:paraId="3D030278" w14:textId="77777777" w:rsidR="00184969" w:rsidRPr="00184969" w:rsidRDefault="00184969" w:rsidP="00184969">
            <w:pPr>
              <w:spacing w:after="0" w:line="259" w:lineRule="auto"/>
              <w:rPr>
                <w:rFonts w:ascii="Times New Roman" w:hAnsi="Times New Roman" w:cs="Times New Roman"/>
                <w:color w:val="1F2937"/>
                <w:sz w:val="18"/>
              </w:rPr>
            </w:pPr>
            <w:r w:rsidRPr="00184969">
              <w:rPr>
                <w:rFonts w:ascii="Times New Roman" w:hAnsi="Times New Roman" w:cs="Times New Roman"/>
                <w:b/>
                <w:bCs/>
                <w:color w:val="1F2937"/>
                <w:sz w:val="18"/>
              </w:rPr>
              <w:t>Output:</w:t>
            </w:r>
            <w:r w:rsidRPr="00184969">
              <w:rPr>
                <w:rFonts w:ascii="Times New Roman" w:hAnsi="Times New Roman" w:cs="Times New Roman"/>
                <w:color w:val="1F2937"/>
                <w:sz w:val="18"/>
              </w:rPr>
              <w:t xml:space="preserve"> Report adjusted effect sizes, 95% confidence intervals, and FDR-adjusted P values. Summarize the main results using forest plots and heatmaps.</w:t>
            </w:r>
          </w:p>
          <w:p w14:paraId="378290EF" w14:textId="77777777" w:rsidR="00184969" w:rsidRPr="00184969" w:rsidRDefault="00184969" w:rsidP="00184969">
            <w:pPr>
              <w:spacing w:after="0" w:line="259" w:lineRule="auto"/>
              <w:rPr>
                <w:rFonts w:ascii="Times New Roman" w:hAnsi="Times New Roman" w:cs="Times New Roman"/>
                <w:color w:val="1F2937"/>
                <w:sz w:val="18"/>
              </w:rPr>
            </w:pPr>
            <w:r w:rsidRPr="00184969">
              <w:rPr>
                <w:rFonts w:ascii="Times New Roman" w:hAnsi="Times New Roman" w:cs="Times New Roman"/>
                <w:b/>
                <w:bCs/>
                <w:color w:val="1F2937"/>
                <w:sz w:val="18"/>
              </w:rPr>
              <w:t>Validation:</w:t>
            </w:r>
            <w:r w:rsidRPr="00184969">
              <w:rPr>
                <w:rFonts w:ascii="Times New Roman" w:hAnsi="Times New Roman" w:cs="Times New Roman"/>
                <w:color w:val="1F2937"/>
                <w:sz w:val="18"/>
              </w:rPr>
              <w:t xml:space="preserve"> Repeat the analysis in an independent cohort if available and perform sensitivity analyses, particularly after excluding metformin users.</w:t>
            </w:r>
          </w:p>
          <w:p w14:paraId="2357F4C3" w14:textId="1918CCBE" w:rsidR="00184969" w:rsidRPr="00184969" w:rsidRDefault="00184969" w:rsidP="0017428D">
            <w:pPr>
              <w:spacing w:after="0" w:line="259" w:lineRule="auto"/>
              <w:rPr>
                <w:rFonts w:ascii="Times New Roman" w:hAnsi="Times New Roman" w:cs="Times New Roman"/>
                <w:color w:val="1F2937"/>
                <w:sz w:val="18"/>
                <w:lang w:eastAsia="zh-CN"/>
              </w:rPr>
            </w:pPr>
          </w:p>
        </w:tc>
      </w:tr>
    </w:tbl>
    <w:p w14:paraId="43CBCE62" w14:textId="77777777" w:rsidR="00C575F7" w:rsidRPr="00D7590C" w:rsidRDefault="00C575F7" w:rsidP="008C5ACE">
      <w:pPr>
        <w:rPr>
          <w:rFonts w:ascii="Times New Roman" w:hAnsi="Times New Roman" w:cs="Times New Roman"/>
        </w:rPr>
      </w:pPr>
    </w:p>
    <w:p w14:paraId="71646A6D" w14:textId="77777777" w:rsidR="008C5ACE" w:rsidRPr="00D7590C" w:rsidRDefault="008C5ACE" w:rsidP="008C5ACE">
      <w:pPr>
        <w:pStyle w:val="a9"/>
        <w:numPr>
          <w:ilvl w:val="0"/>
          <w:numId w:val="1"/>
        </w:numPr>
        <w:rPr>
          <w:rFonts w:ascii="Times New Roman" w:hAnsi="Times New Roman" w:cs="Times New Roman"/>
        </w:rPr>
      </w:pPr>
      <w:r w:rsidRPr="00D7590C">
        <w:rPr>
          <w:rFonts w:ascii="Times New Roman" w:hAnsi="Times New Roman" w:cs="Times New Roman"/>
        </w:rPr>
        <w:t>Find and read two research papers in the folder and answer following question based on these two papers.</w:t>
      </w:r>
    </w:p>
    <w:p w14:paraId="3453C1FF" w14:textId="77777777" w:rsidR="008C5ACE" w:rsidRPr="00D7590C" w:rsidRDefault="008C5ACE" w:rsidP="008C5ACE">
      <w:pPr>
        <w:pStyle w:val="a9"/>
        <w:numPr>
          <w:ilvl w:val="1"/>
          <w:numId w:val="1"/>
        </w:numPr>
        <w:rPr>
          <w:rFonts w:ascii="Times New Roman" w:hAnsi="Times New Roman" w:cs="Times New Roman"/>
        </w:rPr>
      </w:pPr>
      <w:r w:rsidRPr="00D7590C">
        <w:rPr>
          <w:rFonts w:ascii="Times New Roman" w:hAnsi="Times New Roman" w:cs="Times New Roman"/>
        </w:rPr>
        <w:t>Question 1: Use the PICO/PECO, what are they for these two papers?</w:t>
      </w:r>
    </w:p>
    <w:p w14:paraId="0C462AC8" w14:textId="77777777" w:rsidR="008C5ACE" w:rsidRPr="00D7590C" w:rsidRDefault="00651052" w:rsidP="008C5ACE">
      <w:pPr>
        <w:pStyle w:val="a9"/>
        <w:numPr>
          <w:ilvl w:val="1"/>
          <w:numId w:val="1"/>
        </w:numPr>
        <w:rPr>
          <w:rFonts w:ascii="Times New Roman" w:hAnsi="Times New Roman" w:cs="Times New Roman"/>
        </w:rPr>
      </w:pPr>
      <w:r w:rsidRPr="00D7590C">
        <w:rPr>
          <w:rFonts w:ascii="Times New Roman" w:hAnsi="Times New Roman" w:cs="Times New Roman"/>
        </w:rPr>
        <w:t xml:space="preserve">Question 2: </w:t>
      </w:r>
      <w:r w:rsidR="008C5ACE" w:rsidRPr="00D7590C">
        <w:rPr>
          <w:rFonts w:ascii="Times New Roman" w:hAnsi="Times New Roman" w:cs="Times New Roman"/>
        </w:rPr>
        <w:t>What kind of dataset or data type these two papers use?</w:t>
      </w:r>
    </w:p>
    <w:p w14:paraId="7AE3F7A5" w14:textId="77777777" w:rsidR="008C5ACE" w:rsidRPr="00D7590C" w:rsidRDefault="00651052" w:rsidP="008C5ACE">
      <w:pPr>
        <w:pStyle w:val="a9"/>
        <w:numPr>
          <w:ilvl w:val="1"/>
          <w:numId w:val="1"/>
        </w:numPr>
        <w:rPr>
          <w:rFonts w:ascii="Times New Roman" w:hAnsi="Times New Roman" w:cs="Times New Roman"/>
        </w:rPr>
      </w:pPr>
      <w:r w:rsidRPr="00D7590C">
        <w:rPr>
          <w:rFonts w:ascii="Times New Roman" w:hAnsi="Times New Roman" w:cs="Times New Roman"/>
        </w:rPr>
        <w:t xml:space="preserve">Question 3: </w:t>
      </w:r>
      <w:r w:rsidR="008C5ACE" w:rsidRPr="00D7590C">
        <w:rPr>
          <w:rFonts w:ascii="Times New Roman" w:hAnsi="Times New Roman" w:cs="Times New Roman"/>
        </w:rPr>
        <w:t xml:space="preserve">What is the hypothesis of </w:t>
      </w:r>
      <w:proofErr w:type="gramStart"/>
      <w:r w:rsidR="008C5ACE" w:rsidRPr="00D7590C">
        <w:rPr>
          <w:rFonts w:ascii="Times New Roman" w:hAnsi="Times New Roman" w:cs="Times New Roman"/>
        </w:rPr>
        <w:t>these two research</w:t>
      </w:r>
      <w:proofErr w:type="gramEnd"/>
      <w:r w:rsidR="008C5ACE" w:rsidRPr="00D7590C">
        <w:rPr>
          <w:rFonts w:ascii="Times New Roman" w:hAnsi="Times New Roman" w:cs="Times New Roman"/>
        </w:rPr>
        <w:t>?</w:t>
      </w:r>
    </w:p>
    <w:p w14:paraId="6519F6B8" w14:textId="77777777" w:rsidR="008E676F" w:rsidRPr="008E676F" w:rsidRDefault="008E676F" w:rsidP="008E676F">
      <w:pPr>
        <w:pStyle w:val="a9"/>
        <w:ind w:left="360"/>
        <w:rPr>
          <w:rFonts w:ascii="Times New Roman" w:hAnsi="Times New Roman" w:cs="Times New Roman"/>
          <w:b/>
          <w:bCs/>
        </w:rPr>
      </w:pPr>
      <w:r w:rsidRPr="008E676F">
        <w:rPr>
          <w:rFonts w:ascii="Times New Roman" w:hAnsi="Times New Roman" w:cs="Times New Roman"/>
          <w:b/>
          <w:bCs/>
        </w:rPr>
        <w:t>Paper title</w:t>
      </w:r>
    </w:p>
    <w:p w14:paraId="301AD600"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Microbial network signatures of early colonizers in infants with eczema</w:t>
      </w:r>
    </w:p>
    <w:p w14:paraId="109079B9" w14:textId="1D05B4CC" w:rsidR="008E676F" w:rsidRPr="008E676F" w:rsidRDefault="008E676F" w:rsidP="008E676F">
      <w:pPr>
        <w:pStyle w:val="a9"/>
        <w:ind w:left="360"/>
        <w:rPr>
          <w:rFonts w:ascii="Times New Roman" w:hAnsi="Times New Roman" w:cs="Times New Roman"/>
          <w:b/>
          <w:bCs/>
        </w:rPr>
      </w:pPr>
      <w:r w:rsidRPr="008E676F">
        <w:rPr>
          <w:rFonts w:ascii="Times New Roman" w:hAnsi="Times New Roman" w:cs="Times New Roman"/>
          <w:b/>
          <w:bCs/>
        </w:rPr>
        <w:t>Question 1</w:t>
      </w:r>
    </w:p>
    <w:p w14:paraId="119A58C5"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P — Population:</w:t>
      </w:r>
    </w:p>
    <w:p w14:paraId="694C37A2"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Full-term, vaginally delivered infants from mother–infant pairs in Guangzhou, China, followed from birth to 6 months of age. The final analysis included 34 infants.</w:t>
      </w:r>
    </w:p>
    <w:p w14:paraId="2BFF394A"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E — Exposure:</w:t>
      </w:r>
    </w:p>
    <w:p w14:paraId="794593E3"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Development of infantile eczema by 6 months of age.</w:t>
      </w:r>
    </w:p>
    <w:p w14:paraId="7D475AA8"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C — Comparison:</w:t>
      </w:r>
    </w:p>
    <w:p w14:paraId="356DCE27"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Infants who did not develop eczema by 6 months of age.</w:t>
      </w:r>
    </w:p>
    <w:p w14:paraId="508A7007"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O — Outcome:</w:t>
      </w:r>
    </w:p>
    <w:p w14:paraId="69F8AFC8"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Differences in early-life gut microbiota diversity, community structure, microbial network complexity, and network stability during the first three months of life.</w:t>
      </w:r>
    </w:p>
    <w:p w14:paraId="6E571180" w14:textId="356532C1" w:rsidR="00AD6A3F" w:rsidRPr="00AD6A3F" w:rsidRDefault="00AD6A3F" w:rsidP="008E676F">
      <w:pPr>
        <w:pStyle w:val="a9"/>
        <w:ind w:left="360"/>
        <w:rPr>
          <w:rFonts w:ascii="Times New Roman" w:hAnsi="Times New Roman" w:cs="Times New Roman"/>
        </w:rPr>
      </w:pPr>
      <w:r w:rsidRPr="00D7590C">
        <w:rPr>
          <w:rFonts w:ascii="Times New Roman" w:hAnsi="Times New Roman" w:cs="Times New Roman"/>
          <w:b/>
          <w:bCs/>
        </w:rPr>
        <w:t>Question 2</w:t>
      </w:r>
    </w:p>
    <w:p w14:paraId="1C89BE66" w14:textId="6B5A03E0" w:rsidR="008E676F" w:rsidRDefault="008E676F" w:rsidP="00AD6A3F">
      <w:pPr>
        <w:pStyle w:val="a9"/>
        <w:ind w:left="360"/>
        <w:rPr>
          <w:rFonts w:ascii="Times New Roman" w:hAnsi="Times New Roman" w:cs="Times New Roman"/>
        </w:rPr>
      </w:pPr>
      <w:r>
        <w:rPr>
          <w:rFonts w:ascii="Times New Roman" w:hAnsi="Times New Roman" w:cs="Times New Roman" w:hint="eastAsia"/>
        </w:rPr>
        <w:t>T</w:t>
      </w:r>
      <w:r w:rsidRPr="008E676F">
        <w:rPr>
          <w:rFonts w:ascii="Times New Roman" w:hAnsi="Times New Roman" w:cs="Times New Roman"/>
        </w:rPr>
        <w:t xml:space="preserve">he study used longitudinal infant microbiome data generated by 16S rRNA gene amplicon sequencing. Meconium </w:t>
      </w:r>
      <w:proofErr w:type="gramStart"/>
      <w:r w:rsidRPr="008E676F">
        <w:rPr>
          <w:rFonts w:ascii="Times New Roman" w:hAnsi="Times New Roman" w:cs="Times New Roman"/>
        </w:rPr>
        <w:t>was collected</w:t>
      </w:r>
      <w:proofErr w:type="gramEnd"/>
      <w:r w:rsidRPr="008E676F">
        <w:rPr>
          <w:rFonts w:ascii="Times New Roman" w:hAnsi="Times New Roman" w:cs="Times New Roman"/>
        </w:rPr>
        <w:t xml:space="preserve"> at birth, followed by fecal samples at 1, 2, and 3 months of age. The study generated ASV-based microbiome profiles and performed microbial diversity, community structure, and network analyses. Clinical metadata from mother–infant pairs </w:t>
      </w:r>
      <w:proofErr w:type="gramStart"/>
      <w:r w:rsidRPr="008E676F">
        <w:rPr>
          <w:rFonts w:ascii="Times New Roman" w:hAnsi="Times New Roman" w:cs="Times New Roman"/>
        </w:rPr>
        <w:t>were also included</w:t>
      </w:r>
      <w:proofErr w:type="gramEnd"/>
      <w:r w:rsidRPr="008E676F">
        <w:rPr>
          <w:rFonts w:ascii="Times New Roman" w:hAnsi="Times New Roman" w:cs="Times New Roman"/>
        </w:rPr>
        <w:t>.</w:t>
      </w:r>
    </w:p>
    <w:p w14:paraId="3A507202" w14:textId="7747E785" w:rsidR="00AD6A3F" w:rsidRPr="00AD6A3F" w:rsidRDefault="00AD6A3F" w:rsidP="00AD6A3F">
      <w:pPr>
        <w:pStyle w:val="a9"/>
        <w:ind w:left="360"/>
        <w:rPr>
          <w:rFonts w:ascii="Times New Roman" w:hAnsi="Times New Roman" w:cs="Times New Roman"/>
          <w:b/>
          <w:bCs/>
        </w:rPr>
      </w:pPr>
      <w:r w:rsidRPr="00AD6A3F">
        <w:rPr>
          <w:rFonts w:ascii="Times New Roman" w:hAnsi="Times New Roman" w:cs="Times New Roman"/>
          <w:b/>
          <w:bCs/>
        </w:rPr>
        <w:t>Hypothesis</w:t>
      </w:r>
    </w:p>
    <w:p w14:paraId="2E7428A3" w14:textId="77777777" w:rsidR="008E676F" w:rsidRDefault="008E676F" w:rsidP="00AD6A3F">
      <w:pPr>
        <w:pStyle w:val="a9"/>
        <w:ind w:left="360"/>
        <w:rPr>
          <w:rFonts w:ascii="Times New Roman" w:hAnsi="Times New Roman" w:cs="Times New Roman"/>
        </w:rPr>
      </w:pPr>
      <w:r w:rsidRPr="008E676F">
        <w:rPr>
          <w:rFonts w:ascii="Times New Roman" w:hAnsi="Times New Roman" w:cs="Times New Roman"/>
        </w:rPr>
        <w:t>The study hypothesizes that infants who develop eczema show abnormal early-life gut microbiota maturation compared with healthy infants, characterized by differences in microbial diversity, community structure, and the complexity and stability of microbial interaction networks during the first 100 days of life.</w:t>
      </w:r>
    </w:p>
    <w:p w14:paraId="74B2FD22" w14:textId="66D25783" w:rsidR="00AD6A3F" w:rsidRPr="00AD6A3F" w:rsidRDefault="00AD6A3F" w:rsidP="00AD6A3F">
      <w:pPr>
        <w:pStyle w:val="a9"/>
        <w:ind w:left="360"/>
        <w:rPr>
          <w:rFonts w:ascii="Times New Roman" w:hAnsi="Times New Roman" w:cs="Times New Roman"/>
          <w:b/>
          <w:bCs/>
        </w:rPr>
      </w:pPr>
      <w:r w:rsidRPr="00AD6A3F">
        <w:rPr>
          <w:rFonts w:ascii="Times New Roman" w:hAnsi="Times New Roman" w:cs="Times New Roman"/>
          <w:b/>
          <w:bCs/>
        </w:rPr>
        <w:t>Paper title</w:t>
      </w:r>
    </w:p>
    <w:p w14:paraId="256EBAC0" w14:textId="020E2A6F" w:rsidR="00AD6A3F" w:rsidRPr="00D7590C" w:rsidRDefault="00AD6A3F" w:rsidP="00AD6A3F">
      <w:pPr>
        <w:pStyle w:val="a9"/>
        <w:ind w:left="360"/>
        <w:rPr>
          <w:rFonts w:ascii="Times New Roman" w:hAnsi="Times New Roman" w:cs="Times New Roman"/>
        </w:rPr>
      </w:pPr>
      <w:r w:rsidRPr="00AD6A3F">
        <w:rPr>
          <w:rFonts w:ascii="Times New Roman" w:hAnsi="Times New Roman" w:cs="Times New Roman"/>
          <w:b/>
          <w:bCs/>
        </w:rPr>
        <w:t>Identification of shared and disease-specific host gene–microbiome associations across human diseases using multi-</w:t>
      </w:r>
      <w:proofErr w:type="spellStart"/>
      <w:r w:rsidRPr="00AD6A3F">
        <w:rPr>
          <w:rFonts w:ascii="Times New Roman" w:hAnsi="Times New Roman" w:cs="Times New Roman"/>
          <w:b/>
          <w:bCs/>
        </w:rPr>
        <w:t>omic</w:t>
      </w:r>
      <w:proofErr w:type="spellEnd"/>
      <w:r w:rsidRPr="00AD6A3F">
        <w:rPr>
          <w:rFonts w:ascii="Times New Roman" w:hAnsi="Times New Roman" w:cs="Times New Roman"/>
          <w:b/>
          <w:bCs/>
        </w:rPr>
        <w:t xml:space="preserve"> integration</w:t>
      </w:r>
    </w:p>
    <w:p w14:paraId="6C5B44FE"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b/>
          <w:bCs/>
        </w:rPr>
        <w:t xml:space="preserve">Question 1: </w:t>
      </w:r>
      <w:r w:rsidRPr="008E676F">
        <w:rPr>
          <w:rFonts w:ascii="Times New Roman" w:hAnsi="Times New Roman" w:cs="Times New Roman"/>
        </w:rPr>
        <w:t>PECO</w:t>
      </w:r>
    </w:p>
    <w:p w14:paraId="0472ACE1"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lastRenderedPageBreak/>
        <w:t>P — Population:</w:t>
      </w:r>
      <w:r w:rsidRPr="008E676F">
        <w:rPr>
          <w:rFonts w:ascii="Times New Roman" w:hAnsi="Times New Roman" w:cs="Times New Roman"/>
        </w:rPr>
        <w:br/>
        <w:t>Individuals from three gastrointestinal disease cohorts with paired colonic mucosal host transcriptomic and microbiome data, including patients with colorectal cancer (CRC), inflammatory bowel disease (IBD), or irritable bowel syndrome (IBS), together with their corresponding controls.</w:t>
      </w:r>
    </w:p>
    <w:p w14:paraId="3E5ED6BB"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E — Exposure:</w:t>
      </w:r>
      <w:r w:rsidRPr="008E676F">
        <w:rPr>
          <w:rFonts w:ascii="Times New Roman" w:hAnsi="Times New Roman" w:cs="Times New Roman"/>
        </w:rPr>
        <w:br/>
        <w:t>Gastrointestinal disease status: CRC, IBD, or IBS.</w:t>
      </w:r>
    </w:p>
    <w:p w14:paraId="5760971A"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C — Comparison:</w:t>
      </w:r>
      <w:r w:rsidRPr="008E676F">
        <w:rPr>
          <w:rFonts w:ascii="Times New Roman" w:hAnsi="Times New Roman" w:cs="Times New Roman"/>
        </w:rPr>
        <w:br/>
        <w:t>Corresponding non-disease controls: patient-matched normal colon tissue for CRC, non-IBD controls for IBD, and non-IBS controls for IBS.</w:t>
      </w:r>
    </w:p>
    <w:p w14:paraId="2F91B21D" w14:textId="77777777" w:rsidR="008E676F" w:rsidRPr="008E676F" w:rsidRDefault="008E676F" w:rsidP="008E676F">
      <w:pPr>
        <w:pStyle w:val="a9"/>
        <w:ind w:left="360"/>
        <w:rPr>
          <w:rFonts w:ascii="Times New Roman" w:hAnsi="Times New Roman" w:cs="Times New Roman"/>
        </w:rPr>
      </w:pPr>
      <w:r w:rsidRPr="008E676F">
        <w:rPr>
          <w:rFonts w:ascii="Times New Roman" w:hAnsi="Times New Roman" w:cs="Times New Roman"/>
        </w:rPr>
        <w:t>O — Outcome:</w:t>
      </w:r>
      <w:r w:rsidRPr="008E676F">
        <w:rPr>
          <w:rFonts w:ascii="Times New Roman" w:hAnsi="Times New Roman" w:cs="Times New Roman"/>
        </w:rPr>
        <w:br/>
        <w:t>Disease-associated relationships between gut microbial taxa and host gene expression or biological pathways, including shared and disease-specific host gene–microbiome associations across CRC, IBD, and IBS.</w:t>
      </w:r>
    </w:p>
    <w:p w14:paraId="066BE6BD" w14:textId="569755FF" w:rsidR="00AD6A3F" w:rsidRPr="00AD6A3F" w:rsidRDefault="00AD6A3F" w:rsidP="00AD6A3F">
      <w:pPr>
        <w:pStyle w:val="a9"/>
        <w:ind w:left="360"/>
        <w:rPr>
          <w:rFonts w:ascii="Times New Roman" w:hAnsi="Times New Roman" w:cs="Times New Roman"/>
          <w:b/>
          <w:bCs/>
        </w:rPr>
      </w:pPr>
      <w:r w:rsidRPr="00AD6A3F">
        <w:rPr>
          <w:rFonts w:ascii="Times New Roman" w:hAnsi="Times New Roman" w:cs="Times New Roman"/>
          <w:b/>
          <w:bCs/>
        </w:rPr>
        <w:t>Question 2</w:t>
      </w:r>
    </w:p>
    <w:p w14:paraId="017E70AE" w14:textId="2EF1213B" w:rsidR="00AD6A3F" w:rsidRPr="00D7590C" w:rsidRDefault="00AD6A3F" w:rsidP="00AD6A3F">
      <w:pPr>
        <w:pStyle w:val="a9"/>
        <w:ind w:left="360"/>
        <w:rPr>
          <w:rFonts w:ascii="Times New Roman" w:hAnsi="Times New Roman" w:cs="Times New Roman"/>
        </w:rPr>
      </w:pPr>
      <w:r w:rsidRPr="00AD6A3F">
        <w:rPr>
          <w:rFonts w:ascii="Times New Roman" w:hAnsi="Times New Roman" w:cs="Times New Roman"/>
        </w:rPr>
        <w:t>This study used paired multi-omics datasets from colonic mucosal biopsy samples, including host transcriptomic RNA-seq data and mucosal gut microbiome 16S rRNA sequencing data. In total, the study included 208 paired microbiome and host gene expression samples from CRC, IBD and IBS cohorts.</w:t>
      </w:r>
    </w:p>
    <w:p w14:paraId="4FCAA1C6" w14:textId="7394A08F" w:rsidR="00AD6A3F" w:rsidRPr="00AD6A3F" w:rsidRDefault="00AD6A3F" w:rsidP="00AD6A3F">
      <w:pPr>
        <w:pStyle w:val="a9"/>
        <w:ind w:left="360"/>
        <w:rPr>
          <w:rFonts w:ascii="Times New Roman" w:hAnsi="Times New Roman" w:cs="Times New Roman"/>
        </w:rPr>
      </w:pPr>
      <w:r w:rsidRPr="00AD6A3F">
        <w:rPr>
          <w:rFonts w:ascii="Times New Roman" w:hAnsi="Times New Roman" w:cs="Times New Roman"/>
          <w:b/>
          <w:bCs/>
        </w:rPr>
        <w:t xml:space="preserve">Question 3: </w:t>
      </w:r>
    </w:p>
    <w:p w14:paraId="16A06F9A" w14:textId="0F3F3D3F" w:rsidR="008C5ACE" w:rsidRPr="00D7590C" w:rsidRDefault="008E676F" w:rsidP="008C5ACE">
      <w:pPr>
        <w:pStyle w:val="a9"/>
        <w:ind w:left="360"/>
        <w:rPr>
          <w:rFonts w:ascii="Times New Roman" w:hAnsi="Times New Roman" w:cs="Times New Roman"/>
        </w:rPr>
      </w:pPr>
      <w:r w:rsidRPr="008E676F">
        <w:rPr>
          <w:rFonts w:ascii="Times New Roman" w:hAnsi="Times New Roman" w:cs="Times New Roman"/>
        </w:rPr>
        <w:t xml:space="preserve">The study hypothesizes that host gene expression and gut microbial abundance </w:t>
      </w:r>
      <w:proofErr w:type="gramStart"/>
      <w:r w:rsidRPr="008E676F">
        <w:rPr>
          <w:rFonts w:ascii="Times New Roman" w:hAnsi="Times New Roman" w:cs="Times New Roman"/>
        </w:rPr>
        <w:t>are coordinated</w:t>
      </w:r>
      <w:proofErr w:type="gramEnd"/>
      <w:r w:rsidRPr="008E676F">
        <w:rPr>
          <w:rFonts w:ascii="Times New Roman" w:hAnsi="Times New Roman" w:cs="Times New Roman"/>
        </w:rPr>
        <w:t xml:space="preserve"> in gastrointestinal diseases, and that their associations include both biological patterns shared across CRC, IBD, and IBS and disease-specific patterns unique to each disease. The same host pathway may therefore be associated with different microbial taxa in different disease contexts.</w:t>
      </w:r>
    </w:p>
    <w:p w14:paraId="23E627C3" w14:textId="77777777" w:rsidR="008C5ACE" w:rsidRPr="00D7590C" w:rsidRDefault="008C5ACE" w:rsidP="008C5ACE">
      <w:pPr>
        <w:pStyle w:val="a9"/>
        <w:numPr>
          <w:ilvl w:val="0"/>
          <w:numId w:val="1"/>
        </w:numPr>
        <w:rPr>
          <w:rFonts w:ascii="Times New Roman" w:hAnsi="Times New Roman" w:cs="Times New Roman"/>
        </w:rPr>
      </w:pPr>
      <w:r w:rsidRPr="00D7590C">
        <w:rPr>
          <w:rFonts w:ascii="Times New Roman" w:hAnsi="Times New Roman" w:cs="Times New Roman"/>
        </w:rPr>
        <w:t xml:space="preserve">Based on your research </w:t>
      </w:r>
      <w:r w:rsidR="00651052" w:rsidRPr="00D7590C">
        <w:rPr>
          <w:rFonts w:ascii="Times New Roman" w:hAnsi="Times New Roman" w:cs="Times New Roman"/>
        </w:rPr>
        <w:t>interest, refine the search in PUBMED, and sort, identify the latest and the most important studies in your field. Read this paper and answer three question</w:t>
      </w:r>
      <w:r w:rsidR="00680E65" w:rsidRPr="00D7590C">
        <w:rPr>
          <w:rFonts w:ascii="Times New Roman" w:hAnsi="Times New Roman" w:cs="Times New Roman"/>
        </w:rPr>
        <w:t>s:</w:t>
      </w:r>
    </w:p>
    <w:p w14:paraId="4F901BE3" w14:textId="77777777" w:rsidR="00680E65" w:rsidRPr="00D7590C" w:rsidRDefault="00680E65" w:rsidP="00680E65">
      <w:pPr>
        <w:pStyle w:val="a9"/>
        <w:numPr>
          <w:ilvl w:val="1"/>
          <w:numId w:val="1"/>
        </w:numPr>
        <w:rPr>
          <w:rFonts w:ascii="Times New Roman" w:hAnsi="Times New Roman" w:cs="Times New Roman"/>
        </w:rPr>
      </w:pPr>
      <w:r w:rsidRPr="00D7590C">
        <w:rPr>
          <w:rFonts w:ascii="Times New Roman" w:hAnsi="Times New Roman" w:cs="Times New Roman"/>
        </w:rPr>
        <w:t>Question 1: Use the PICO/PECO, what are they for these two papers?</w:t>
      </w:r>
    </w:p>
    <w:p w14:paraId="668AA835" w14:textId="77777777" w:rsidR="00680E65" w:rsidRPr="00D7590C" w:rsidRDefault="00680E65" w:rsidP="00680E65">
      <w:pPr>
        <w:pStyle w:val="a9"/>
        <w:numPr>
          <w:ilvl w:val="1"/>
          <w:numId w:val="1"/>
        </w:numPr>
        <w:rPr>
          <w:rFonts w:ascii="Times New Roman" w:hAnsi="Times New Roman" w:cs="Times New Roman"/>
        </w:rPr>
      </w:pPr>
      <w:r w:rsidRPr="00D7590C">
        <w:rPr>
          <w:rFonts w:ascii="Times New Roman" w:hAnsi="Times New Roman" w:cs="Times New Roman"/>
        </w:rPr>
        <w:t>Question 2: What kind of dataset or data type these two papers use?</w:t>
      </w:r>
    </w:p>
    <w:p w14:paraId="2A6CB37B" w14:textId="222A3736" w:rsidR="00406A38" w:rsidRPr="00D7590C" w:rsidRDefault="00680E65" w:rsidP="00406A38">
      <w:pPr>
        <w:pStyle w:val="a9"/>
        <w:numPr>
          <w:ilvl w:val="1"/>
          <w:numId w:val="1"/>
        </w:numPr>
        <w:rPr>
          <w:rFonts w:ascii="Times New Roman" w:hAnsi="Times New Roman" w:cs="Times New Roman"/>
        </w:rPr>
      </w:pPr>
      <w:r w:rsidRPr="00D7590C">
        <w:rPr>
          <w:rFonts w:ascii="Times New Roman" w:hAnsi="Times New Roman" w:cs="Times New Roman"/>
        </w:rPr>
        <w:t xml:space="preserve">Question 3: What is the hypothesis of </w:t>
      </w:r>
      <w:proofErr w:type="gramStart"/>
      <w:r w:rsidRPr="00D7590C">
        <w:rPr>
          <w:rFonts w:ascii="Times New Roman" w:hAnsi="Times New Roman" w:cs="Times New Roman"/>
        </w:rPr>
        <w:t>these two research</w:t>
      </w:r>
      <w:proofErr w:type="gramEnd"/>
      <w:r w:rsidRPr="00D7590C">
        <w:rPr>
          <w:rFonts w:ascii="Times New Roman" w:hAnsi="Times New Roman" w:cs="Times New Roman"/>
        </w:rPr>
        <w:t>?</w:t>
      </w:r>
    </w:p>
    <w:p w14:paraId="6018420E" w14:textId="77777777" w:rsidR="008E676F" w:rsidRPr="008E676F" w:rsidRDefault="008E676F" w:rsidP="008E676F">
      <w:pPr>
        <w:pStyle w:val="af0"/>
        <w:rPr>
          <w:rFonts w:ascii="Times New Roman" w:hAnsi="Times New Roman" w:cs="Times New Roman"/>
          <w:b/>
          <w:bCs/>
        </w:rPr>
      </w:pPr>
      <w:r w:rsidRPr="008E676F">
        <w:rPr>
          <w:rFonts w:ascii="Times New Roman" w:hAnsi="Times New Roman" w:cs="Times New Roman"/>
          <w:b/>
          <w:bCs/>
        </w:rPr>
        <w:t>Research interest</w:t>
      </w:r>
    </w:p>
    <w:p w14:paraId="45B2718B" w14:textId="1DAAF744" w:rsidR="008E676F" w:rsidRDefault="008E676F" w:rsidP="008E676F">
      <w:pPr>
        <w:pStyle w:val="af0"/>
        <w:rPr>
          <w:rFonts w:ascii="Times New Roman" w:hAnsi="Times New Roman" w:cs="Times New Roman"/>
        </w:rPr>
      </w:pPr>
      <w:r w:rsidRPr="008E676F">
        <w:rPr>
          <w:rFonts w:ascii="Times New Roman" w:hAnsi="Times New Roman" w:cs="Times New Roman"/>
        </w:rPr>
        <w:t>Gut microbiome interactions with obesity and glucose metabolism.</w:t>
      </w:r>
    </w:p>
    <w:p w14:paraId="3D2F0812" w14:textId="77777777" w:rsidR="008E676F" w:rsidRPr="008E676F" w:rsidRDefault="008E676F" w:rsidP="008E676F">
      <w:pPr>
        <w:pStyle w:val="af0"/>
        <w:rPr>
          <w:rFonts w:ascii="Times New Roman" w:hAnsi="Times New Roman" w:cs="Times New Roman"/>
          <w:b/>
          <w:bCs/>
        </w:rPr>
      </w:pPr>
      <w:r w:rsidRPr="008E676F">
        <w:rPr>
          <w:rFonts w:ascii="Times New Roman" w:hAnsi="Times New Roman" w:cs="Times New Roman"/>
          <w:b/>
          <w:bCs/>
        </w:rPr>
        <w:t>PubMed search strategy</w:t>
      </w:r>
    </w:p>
    <w:p w14:paraId="745053D5" w14:textId="7482A6F7" w:rsidR="008E676F" w:rsidRPr="008E676F" w:rsidRDefault="008E676F" w:rsidP="008E676F">
      <w:pPr>
        <w:pStyle w:val="af0"/>
        <w:rPr>
          <w:rFonts w:ascii="Times New Roman" w:hAnsi="Times New Roman" w:cs="Times New Roman"/>
        </w:rPr>
      </w:pPr>
      <w:r w:rsidRPr="008E676F">
        <w:rPr>
          <w:rFonts w:ascii="Times New Roman" w:hAnsi="Times New Roman" w:cs="Times New Roman"/>
          <w:b/>
          <w:bCs/>
        </w:rPr>
        <w:t>PubMed query:</w:t>
      </w:r>
      <w:r w:rsidRPr="008E676F">
        <w:rPr>
          <w:rFonts w:ascii="Times New Roman" w:hAnsi="Times New Roman" w:cs="Times New Roman"/>
        </w:rPr>
        <w:br/>
        <w:t>("gut microbiome"[Title/Abstract] OR "gut microbiota"[Title/Abstract]) AND (</w:t>
      </w:r>
      <w:proofErr w:type="gramStart"/>
      <w:r w:rsidRPr="008E676F">
        <w:rPr>
          <w:rFonts w:ascii="Times New Roman" w:hAnsi="Times New Roman" w:cs="Times New Roman"/>
        </w:rPr>
        <w:t>obesity[</w:t>
      </w:r>
      <w:proofErr w:type="gramEnd"/>
      <w:r w:rsidRPr="008E676F">
        <w:rPr>
          <w:rFonts w:ascii="Times New Roman" w:hAnsi="Times New Roman" w:cs="Times New Roman"/>
        </w:rPr>
        <w:t xml:space="preserve">Title/Abstract] OR "glucose metabolism"[Title/Abstract] OR "glycemic response"[Title/Abstract] OR "type 2 diabetes"[Title/Abstract]) AND </w:t>
      </w:r>
      <w:proofErr w:type="gramStart"/>
      <w:r w:rsidRPr="008E676F">
        <w:rPr>
          <w:rFonts w:ascii="Times New Roman" w:hAnsi="Times New Roman" w:cs="Times New Roman"/>
        </w:rPr>
        <w:t>Humans[</w:t>
      </w:r>
      <w:proofErr w:type="spellStart"/>
      <w:proofErr w:type="gramEnd"/>
      <w:r w:rsidRPr="008E676F">
        <w:rPr>
          <w:rFonts w:ascii="Times New Roman" w:hAnsi="Times New Roman" w:cs="Times New Roman"/>
        </w:rPr>
        <w:t>MeSH</w:t>
      </w:r>
      <w:proofErr w:type="spellEnd"/>
      <w:r w:rsidRPr="008E676F">
        <w:rPr>
          <w:rFonts w:ascii="Times New Roman" w:hAnsi="Times New Roman" w:cs="Times New Roman"/>
        </w:rPr>
        <w:t xml:space="preserve"> Terms]</w:t>
      </w:r>
    </w:p>
    <w:p w14:paraId="21010F27" w14:textId="43058454" w:rsidR="003158B9" w:rsidRPr="008E676F" w:rsidRDefault="0014100D" w:rsidP="003158B9">
      <w:pPr>
        <w:pStyle w:val="af0"/>
        <w:rPr>
          <w:rFonts w:ascii="Times New Roman" w:hAnsi="Times New Roman" w:cs="Times New Roman"/>
          <w:b/>
          <w:bCs/>
        </w:rPr>
      </w:pPr>
      <w:r w:rsidRPr="008E676F">
        <w:rPr>
          <w:rFonts w:ascii="Times New Roman" w:hAnsi="Times New Roman" w:cs="Times New Roman"/>
          <w:b/>
          <w:bCs/>
        </w:rPr>
        <w:lastRenderedPageBreak/>
        <w:t>P</w:t>
      </w:r>
      <w:r w:rsidR="003158B9" w:rsidRPr="008E676F">
        <w:rPr>
          <w:rFonts w:ascii="Times New Roman" w:hAnsi="Times New Roman" w:cs="Times New Roman"/>
          <w:b/>
          <w:bCs/>
        </w:rPr>
        <w:t>aper</w:t>
      </w:r>
      <w:r w:rsidRPr="008E676F">
        <w:rPr>
          <w:rFonts w:ascii="Times New Roman" w:hAnsi="Times New Roman" w:cs="Times New Roman" w:hint="eastAsia"/>
          <w:b/>
          <w:bCs/>
        </w:rPr>
        <w:t xml:space="preserve"> title</w:t>
      </w:r>
    </w:p>
    <w:p w14:paraId="0F916C1C" w14:textId="5130A2F8" w:rsidR="00406A38" w:rsidRPr="00D7590C" w:rsidRDefault="00D7590C" w:rsidP="00406A38">
      <w:pPr>
        <w:rPr>
          <w:rFonts w:ascii="Times New Roman" w:hAnsi="Times New Roman" w:cs="Times New Roman"/>
        </w:rPr>
      </w:pPr>
      <w:r w:rsidRPr="00D7590C">
        <w:rPr>
          <w:rFonts w:ascii="Times New Roman" w:eastAsia="宋体" w:hAnsi="Times New Roman" w:cs="Times New Roman"/>
          <w:kern w:val="0"/>
          <w14:ligatures w14:val="none"/>
        </w:rPr>
        <w:t xml:space="preserve">Tian et al., 2026 — </w:t>
      </w:r>
      <w:proofErr w:type="gramStart"/>
      <w:r w:rsidRPr="0014100D">
        <w:rPr>
          <w:rFonts w:ascii="Times New Roman" w:eastAsia="宋体" w:hAnsi="Times New Roman" w:cs="Times New Roman"/>
          <w:b/>
          <w:bCs/>
          <w:i/>
          <w:iCs/>
          <w:kern w:val="0"/>
          <w14:ligatures w14:val="none"/>
        </w:rPr>
        <w:t>Multi-omics</w:t>
      </w:r>
      <w:proofErr w:type="gramEnd"/>
      <w:r w:rsidRPr="0014100D">
        <w:rPr>
          <w:rFonts w:ascii="Times New Roman" w:eastAsia="宋体" w:hAnsi="Times New Roman" w:cs="Times New Roman"/>
          <w:b/>
          <w:bCs/>
          <w:i/>
          <w:iCs/>
          <w:kern w:val="0"/>
          <w14:ligatures w14:val="none"/>
        </w:rPr>
        <w:t xml:space="preserve"> analysis identify novel microbiome-metabolome signatures associated with obesity</w:t>
      </w:r>
      <w:r w:rsidRPr="0014100D">
        <w:rPr>
          <w:rFonts w:ascii="Times New Roman" w:eastAsia="宋体" w:hAnsi="Times New Roman" w:cs="Times New Roman"/>
          <w:b/>
          <w:bCs/>
          <w:kern w:val="0"/>
          <w14:ligatures w14:val="none"/>
        </w:rPr>
        <w:t>.</w:t>
      </w:r>
    </w:p>
    <w:p w14:paraId="29BBA0DE" w14:textId="5B182E0C" w:rsidR="008E676F" w:rsidRDefault="008E676F" w:rsidP="00336041">
      <w:pPr>
        <w:rPr>
          <w:rFonts w:ascii="Times New Roman" w:hAnsi="Times New Roman" w:cs="Times New Roman"/>
        </w:rPr>
      </w:pPr>
      <w:r>
        <w:rPr>
          <w:rFonts w:ascii="Times New Roman" w:hAnsi="Times New Roman" w:cs="Times New Roman"/>
        </w:rPr>
        <w:t>Q</w:t>
      </w:r>
      <w:r>
        <w:rPr>
          <w:rFonts w:ascii="Times New Roman" w:hAnsi="Times New Roman" w:cs="Times New Roman" w:hint="eastAsia"/>
        </w:rPr>
        <w:t>uestion 1</w:t>
      </w:r>
    </w:p>
    <w:p w14:paraId="21187081" w14:textId="42DCBFEC" w:rsidR="00336041" w:rsidRPr="00336041" w:rsidRDefault="00336041" w:rsidP="00336041">
      <w:pPr>
        <w:rPr>
          <w:rFonts w:ascii="Times New Roman" w:hAnsi="Times New Roman" w:cs="Times New Roman"/>
        </w:rPr>
      </w:pPr>
      <w:r w:rsidRPr="00336041">
        <w:rPr>
          <w:rFonts w:ascii="Times New Roman" w:hAnsi="Times New Roman" w:cs="Times New Roman"/>
        </w:rPr>
        <w:t>P — Population:</w:t>
      </w:r>
      <w:r w:rsidRPr="00336041">
        <w:rPr>
          <w:rFonts w:ascii="Times New Roman" w:hAnsi="Times New Roman" w:cs="Times New Roman"/>
        </w:rPr>
        <w:br/>
        <w:t>Unrelated US men aged 20–50 years with paired stool and fasting blood samples and available BMI and relevant covariate data.</w:t>
      </w:r>
    </w:p>
    <w:p w14:paraId="41A0C23B" w14:textId="77777777" w:rsidR="00336041" w:rsidRPr="00336041" w:rsidRDefault="00336041" w:rsidP="00336041">
      <w:pPr>
        <w:rPr>
          <w:rFonts w:ascii="Times New Roman" w:hAnsi="Times New Roman" w:cs="Times New Roman"/>
        </w:rPr>
      </w:pPr>
      <w:r w:rsidRPr="00336041">
        <w:rPr>
          <w:rFonts w:ascii="Times New Roman" w:hAnsi="Times New Roman" w:cs="Times New Roman"/>
        </w:rPr>
        <w:t>E — Exposure:</w:t>
      </w:r>
      <w:r w:rsidRPr="00336041">
        <w:rPr>
          <w:rFonts w:ascii="Times New Roman" w:hAnsi="Times New Roman" w:cs="Times New Roman"/>
        </w:rPr>
        <w:br/>
        <w:t xml:space="preserve">Higher adiposity as measured by BMI; obesity </w:t>
      </w:r>
      <w:proofErr w:type="gramStart"/>
      <w:r w:rsidRPr="00336041">
        <w:rPr>
          <w:rFonts w:ascii="Times New Roman" w:hAnsi="Times New Roman" w:cs="Times New Roman"/>
        </w:rPr>
        <w:t>was defined</w:t>
      </w:r>
      <w:proofErr w:type="gramEnd"/>
      <w:r w:rsidRPr="00336041">
        <w:rPr>
          <w:rFonts w:ascii="Times New Roman" w:hAnsi="Times New Roman" w:cs="Times New Roman"/>
        </w:rPr>
        <w:t xml:space="preserve"> as BMI ≥30 kg/m², while BMI </w:t>
      </w:r>
      <w:proofErr w:type="gramStart"/>
      <w:r w:rsidRPr="00336041">
        <w:rPr>
          <w:rFonts w:ascii="Times New Roman" w:hAnsi="Times New Roman" w:cs="Times New Roman"/>
        </w:rPr>
        <w:t xml:space="preserve">was also </w:t>
      </w:r>
      <w:proofErr w:type="spellStart"/>
      <w:r w:rsidRPr="00336041">
        <w:rPr>
          <w:rFonts w:ascii="Times New Roman" w:hAnsi="Times New Roman" w:cs="Times New Roman"/>
        </w:rPr>
        <w:t>analysed</w:t>
      </w:r>
      <w:proofErr w:type="spellEnd"/>
      <w:proofErr w:type="gramEnd"/>
      <w:r w:rsidRPr="00336041">
        <w:rPr>
          <w:rFonts w:ascii="Times New Roman" w:hAnsi="Times New Roman" w:cs="Times New Roman"/>
        </w:rPr>
        <w:t xml:space="preserve"> as a continuous exposure.</w:t>
      </w:r>
    </w:p>
    <w:p w14:paraId="4F482235" w14:textId="77777777" w:rsidR="00336041" w:rsidRPr="00336041" w:rsidRDefault="00336041" w:rsidP="00336041">
      <w:pPr>
        <w:rPr>
          <w:rFonts w:ascii="Times New Roman" w:hAnsi="Times New Roman" w:cs="Times New Roman"/>
        </w:rPr>
      </w:pPr>
      <w:r w:rsidRPr="00336041">
        <w:rPr>
          <w:rFonts w:ascii="Times New Roman" w:hAnsi="Times New Roman" w:cs="Times New Roman"/>
        </w:rPr>
        <w:t>C — Comparator:</w:t>
      </w:r>
      <w:r w:rsidRPr="00336041">
        <w:rPr>
          <w:rFonts w:ascii="Times New Roman" w:hAnsi="Times New Roman" w:cs="Times New Roman"/>
        </w:rPr>
        <w:br/>
        <w:t>Healthy-weight participants with BMI 18.5–24.9 kg/m² from the same discovery cohort.</w:t>
      </w:r>
    </w:p>
    <w:p w14:paraId="1D551DC1" w14:textId="77777777" w:rsidR="00336041" w:rsidRPr="00336041" w:rsidRDefault="00336041" w:rsidP="00336041">
      <w:pPr>
        <w:rPr>
          <w:rFonts w:ascii="Times New Roman" w:hAnsi="Times New Roman" w:cs="Times New Roman"/>
        </w:rPr>
      </w:pPr>
      <w:r w:rsidRPr="00336041">
        <w:rPr>
          <w:rFonts w:ascii="Times New Roman" w:hAnsi="Times New Roman" w:cs="Times New Roman"/>
        </w:rPr>
        <w:t>O — Outcome:</w:t>
      </w:r>
      <w:r w:rsidRPr="00336041">
        <w:rPr>
          <w:rFonts w:ascii="Times New Roman" w:hAnsi="Times New Roman" w:cs="Times New Roman"/>
        </w:rPr>
        <w:br/>
        <w:t>BMI-associated gut microbial diversity and species abundance, serum metabolites and lipid profiles, short-chain fatty acids, and integrated microbiome–metabolome associations.</w:t>
      </w:r>
    </w:p>
    <w:p w14:paraId="65632810" w14:textId="77777777" w:rsidR="00336041" w:rsidRPr="00336041" w:rsidRDefault="00336041" w:rsidP="00336041">
      <w:pPr>
        <w:rPr>
          <w:rFonts w:ascii="Times New Roman" w:hAnsi="Times New Roman" w:cs="Times New Roman"/>
        </w:rPr>
      </w:pPr>
      <w:r w:rsidRPr="00336041">
        <w:rPr>
          <w:rFonts w:ascii="Times New Roman" w:hAnsi="Times New Roman" w:cs="Times New Roman"/>
        </w:rPr>
        <w:t>Validation:</w:t>
      </w:r>
      <w:r w:rsidRPr="00336041">
        <w:rPr>
          <w:rFonts w:ascii="Times New Roman" w:hAnsi="Times New Roman" w:cs="Times New Roman"/>
        </w:rPr>
        <w:br/>
        <w:t xml:space="preserve">Selected microbial associations </w:t>
      </w:r>
      <w:proofErr w:type="gramStart"/>
      <w:r w:rsidRPr="00336041">
        <w:rPr>
          <w:rFonts w:ascii="Times New Roman" w:hAnsi="Times New Roman" w:cs="Times New Roman"/>
        </w:rPr>
        <w:t>were evaluated</w:t>
      </w:r>
      <w:proofErr w:type="gramEnd"/>
      <w:r w:rsidRPr="00336041">
        <w:rPr>
          <w:rFonts w:ascii="Times New Roman" w:hAnsi="Times New Roman" w:cs="Times New Roman"/>
        </w:rPr>
        <w:t xml:space="preserve"> in an independent Chinese female cohort using BMI-based low- and high-BMI groups.</w:t>
      </w:r>
    </w:p>
    <w:p w14:paraId="4327148D" w14:textId="30D03D19" w:rsidR="00680E65" w:rsidRPr="00D7590C" w:rsidRDefault="00406A38" w:rsidP="00406A38">
      <w:pPr>
        <w:rPr>
          <w:rFonts w:ascii="Times New Roman" w:hAnsi="Times New Roman" w:cs="Times New Roman"/>
        </w:rPr>
      </w:pPr>
      <w:r w:rsidRPr="00D7590C">
        <w:rPr>
          <w:rFonts w:ascii="Times New Roman" w:hAnsi="Times New Roman" w:cs="Times New Roman"/>
        </w:rPr>
        <w:t>Question 2</w:t>
      </w:r>
    </w:p>
    <w:p w14:paraId="7C1A76D4" w14:textId="77777777" w:rsidR="00336041" w:rsidRPr="00336041" w:rsidRDefault="00336041" w:rsidP="00336041">
      <w:pPr>
        <w:rPr>
          <w:rFonts w:ascii="Times New Roman" w:hAnsi="Times New Roman" w:cs="Times New Roman"/>
        </w:rPr>
      </w:pPr>
      <w:r w:rsidRPr="00336041">
        <w:rPr>
          <w:rFonts w:ascii="Times New Roman" w:hAnsi="Times New Roman" w:cs="Times New Roman"/>
        </w:rPr>
        <w:t xml:space="preserve">The study used paired human multi-omics data, primarily including fecal shotgun metagenomic sequencing and fasting-serum metabolomic profiling. The metabolomic data included untargeted metabolomics, </w:t>
      </w:r>
      <w:proofErr w:type="spellStart"/>
      <w:r w:rsidRPr="00336041">
        <w:rPr>
          <w:rFonts w:ascii="Times New Roman" w:hAnsi="Times New Roman" w:cs="Times New Roman"/>
        </w:rPr>
        <w:t>lipidomics</w:t>
      </w:r>
      <w:proofErr w:type="spellEnd"/>
      <w:r w:rsidRPr="00336041">
        <w:rPr>
          <w:rFonts w:ascii="Times New Roman" w:hAnsi="Times New Roman" w:cs="Times New Roman"/>
        </w:rPr>
        <w:t xml:space="preserve">, and targeted short-chain fatty acid measurements. Human genomic data and demographic, dietary, lifestyle, medication/supplement, and BMI information were also available as covariates. The discovery cohort consisted of 495 US men, and major microbiome findings </w:t>
      </w:r>
      <w:proofErr w:type="gramStart"/>
      <w:r w:rsidRPr="00336041">
        <w:rPr>
          <w:rFonts w:ascii="Times New Roman" w:hAnsi="Times New Roman" w:cs="Times New Roman"/>
        </w:rPr>
        <w:t>were evaluated</w:t>
      </w:r>
      <w:proofErr w:type="gramEnd"/>
      <w:r w:rsidRPr="00336041">
        <w:rPr>
          <w:rFonts w:ascii="Times New Roman" w:hAnsi="Times New Roman" w:cs="Times New Roman"/>
        </w:rPr>
        <w:t xml:space="preserve"> in an independent cohort of 498 Chinese women.</w:t>
      </w:r>
    </w:p>
    <w:p w14:paraId="4D4C4069" w14:textId="5364E96B" w:rsidR="00651052" w:rsidRPr="00D7590C" w:rsidRDefault="00406A38" w:rsidP="00651052">
      <w:pPr>
        <w:rPr>
          <w:rFonts w:ascii="Times New Roman" w:hAnsi="Times New Roman" w:cs="Times New Roman"/>
        </w:rPr>
      </w:pPr>
      <w:r w:rsidRPr="00D7590C">
        <w:rPr>
          <w:rFonts w:ascii="Times New Roman" w:hAnsi="Times New Roman" w:cs="Times New Roman"/>
        </w:rPr>
        <w:t>Question 3</w:t>
      </w:r>
    </w:p>
    <w:p w14:paraId="137174C1" w14:textId="726A223B" w:rsidR="00406A38" w:rsidRPr="00D7590C" w:rsidRDefault="00336041" w:rsidP="00651052">
      <w:pPr>
        <w:rPr>
          <w:rFonts w:ascii="Times New Roman" w:hAnsi="Times New Roman" w:cs="Times New Roman"/>
        </w:rPr>
      </w:pPr>
      <w:r w:rsidRPr="00D7590C">
        <w:rPr>
          <w:rFonts w:ascii="Times New Roman" w:hAnsi="Times New Roman" w:cs="Times New Roman"/>
        </w:rPr>
        <w:t xml:space="preserve">Based on the stated aim of the study, the hypothesis is that obesity and higher BMI are associated with distinct gut microbial and serum metabolic profiles, and that some BMI-associated gut microbes </w:t>
      </w:r>
      <w:proofErr w:type="gramStart"/>
      <w:r w:rsidRPr="00D7590C">
        <w:rPr>
          <w:rFonts w:ascii="Times New Roman" w:hAnsi="Times New Roman" w:cs="Times New Roman"/>
        </w:rPr>
        <w:t>are linked</w:t>
      </w:r>
      <w:proofErr w:type="gramEnd"/>
      <w:r w:rsidRPr="00D7590C">
        <w:rPr>
          <w:rFonts w:ascii="Times New Roman" w:hAnsi="Times New Roman" w:cs="Times New Roman"/>
        </w:rPr>
        <w:t xml:space="preserve"> to obesity-related circulating metabolites, forming identifiable microbiome–metabolome signatures. Some of these microbial associations </w:t>
      </w:r>
      <w:proofErr w:type="gramStart"/>
      <w:r w:rsidRPr="00D7590C">
        <w:rPr>
          <w:rFonts w:ascii="Times New Roman" w:hAnsi="Times New Roman" w:cs="Times New Roman"/>
        </w:rPr>
        <w:t>are expected</w:t>
      </w:r>
      <w:proofErr w:type="gramEnd"/>
      <w:r w:rsidRPr="00D7590C">
        <w:rPr>
          <w:rFonts w:ascii="Times New Roman" w:hAnsi="Times New Roman" w:cs="Times New Roman"/>
        </w:rPr>
        <w:t xml:space="preserve"> to be reproducible in an independent population.</w:t>
      </w:r>
    </w:p>
    <w:p w14:paraId="014FD829" w14:textId="77777777" w:rsidR="008C5ACE" w:rsidRPr="00D7590C" w:rsidRDefault="008C5ACE" w:rsidP="008C5ACE">
      <w:pPr>
        <w:rPr>
          <w:rFonts w:ascii="Times New Roman" w:hAnsi="Times New Roman" w:cs="Times New Roman"/>
        </w:rPr>
      </w:pPr>
    </w:p>
    <w:p w14:paraId="33161D64" w14:textId="2E7F34DF" w:rsidR="00D7590C" w:rsidRPr="00D7590C" w:rsidRDefault="0014100D" w:rsidP="00D7590C">
      <w:pPr>
        <w:pStyle w:val="af0"/>
        <w:rPr>
          <w:rFonts w:ascii="Times New Roman" w:hAnsi="Times New Roman" w:cs="Times New Roman"/>
        </w:rPr>
      </w:pPr>
      <w:r w:rsidRPr="00D7590C">
        <w:rPr>
          <w:rFonts w:ascii="Times New Roman" w:hAnsi="Times New Roman" w:cs="Times New Roman"/>
        </w:rPr>
        <w:t>P</w:t>
      </w:r>
      <w:r w:rsidR="00D7590C" w:rsidRPr="00D7590C">
        <w:rPr>
          <w:rFonts w:ascii="Times New Roman" w:hAnsi="Times New Roman" w:cs="Times New Roman"/>
        </w:rPr>
        <w:t>aper</w:t>
      </w:r>
      <w:r>
        <w:rPr>
          <w:rFonts w:ascii="Times New Roman" w:hAnsi="Times New Roman" w:cs="Times New Roman" w:hint="eastAsia"/>
        </w:rPr>
        <w:t xml:space="preserve"> title</w:t>
      </w:r>
    </w:p>
    <w:p w14:paraId="5B42F74D" w14:textId="51E8DD55" w:rsidR="00D7590C" w:rsidRPr="00D7590C" w:rsidRDefault="00D7590C" w:rsidP="008C5ACE">
      <w:pPr>
        <w:rPr>
          <w:rFonts w:ascii="Times New Roman" w:hAnsi="Times New Roman" w:cs="Times New Roman"/>
        </w:rPr>
      </w:pPr>
      <w:r w:rsidRPr="00D7590C">
        <w:rPr>
          <w:rFonts w:ascii="Times New Roman" w:hAnsi="Times New Roman" w:cs="Times New Roman"/>
        </w:rPr>
        <w:lastRenderedPageBreak/>
        <w:t xml:space="preserve">Zeevi et al., 2015 — </w:t>
      </w:r>
      <w:r w:rsidRPr="0014100D">
        <w:rPr>
          <w:rFonts w:ascii="Times New Roman" w:hAnsi="Times New Roman" w:cs="Times New Roman"/>
          <w:b/>
          <w:bCs/>
          <w:i/>
          <w:iCs/>
        </w:rPr>
        <w:t>Personalized Nutrition by Prediction of Glycemic Responses</w:t>
      </w:r>
      <w:r w:rsidRPr="0014100D">
        <w:rPr>
          <w:rFonts w:ascii="Times New Roman" w:hAnsi="Times New Roman" w:cs="Times New Roman"/>
          <w:b/>
          <w:bCs/>
        </w:rPr>
        <w:t>.</w:t>
      </w:r>
    </w:p>
    <w:p w14:paraId="456C9631" w14:textId="16BA9FD4" w:rsidR="00D7590C" w:rsidRPr="00D7590C" w:rsidRDefault="00D7590C" w:rsidP="00D7590C">
      <w:pPr>
        <w:rPr>
          <w:rFonts w:ascii="Times New Roman" w:hAnsi="Times New Roman" w:cs="Times New Roman"/>
          <w:b/>
          <w:bCs/>
        </w:rPr>
      </w:pPr>
      <w:r w:rsidRPr="00D7590C">
        <w:rPr>
          <w:rFonts w:ascii="Times New Roman" w:hAnsi="Times New Roman" w:cs="Times New Roman"/>
          <w:b/>
          <w:bCs/>
        </w:rPr>
        <w:t>Question 1</w:t>
      </w:r>
    </w:p>
    <w:p w14:paraId="3EB43978" w14:textId="45C490BF" w:rsidR="00D7590C" w:rsidRPr="00D7590C" w:rsidRDefault="00D7590C" w:rsidP="00D7590C">
      <w:pPr>
        <w:rPr>
          <w:rFonts w:ascii="Times New Roman" w:hAnsi="Times New Roman" w:cs="Times New Roman"/>
        </w:rPr>
      </w:pPr>
      <w:r w:rsidRPr="00D7590C">
        <w:rPr>
          <w:rFonts w:ascii="Times New Roman" w:hAnsi="Times New Roman" w:cs="Times New Roman"/>
        </w:rPr>
        <w:t>PECO — observational/prediction phase</w:t>
      </w:r>
    </w:p>
    <w:p w14:paraId="230D7DFF" w14:textId="642C9EF2" w:rsidR="00D7590C" w:rsidRPr="00D7590C" w:rsidRDefault="00D7590C" w:rsidP="00D7590C">
      <w:pPr>
        <w:rPr>
          <w:rFonts w:ascii="Times New Roman" w:hAnsi="Times New Roman" w:cs="Times New Roman"/>
        </w:rPr>
      </w:pPr>
      <w:r w:rsidRPr="00D7590C">
        <w:rPr>
          <w:rFonts w:ascii="Times New Roman" w:hAnsi="Times New Roman" w:cs="Times New Roman"/>
        </w:rPr>
        <w:t xml:space="preserve">P — Population: Adults aged 18–70 years without previously diagnosed type 2 diabetes, recruited into the main 800-person cohort and an independent 100-person validation cohort. </w:t>
      </w:r>
    </w:p>
    <w:p w14:paraId="57A76B77" w14:textId="77777777" w:rsidR="00D7590C" w:rsidRPr="00D7590C" w:rsidRDefault="00D7590C" w:rsidP="00D7590C">
      <w:pPr>
        <w:rPr>
          <w:rFonts w:ascii="Times New Roman" w:hAnsi="Times New Roman" w:cs="Times New Roman"/>
        </w:rPr>
      </w:pPr>
      <w:r w:rsidRPr="00D7590C">
        <w:rPr>
          <w:rFonts w:ascii="Times New Roman" w:hAnsi="Times New Roman" w:cs="Times New Roman"/>
        </w:rPr>
        <w:t>E — Exposure: Individual-level dietary, clinical, anthropometric, lifestyle, physical-activity and gut microbiome characteristics associated with postprandial glycemic responses.</w:t>
      </w:r>
    </w:p>
    <w:p w14:paraId="4CD2872D" w14:textId="77777777" w:rsidR="00D7590C" w:rsidRPr="00D7590C" w:rsidRDefault="00D7590C" w:rsidP="00D7590C">
      <w:pPr>
        <w:rPr>
          <w:rFonts w:ascii="Times New Roman" w:hAnsi="Times New Roman" w:cs="Times New Roman"/>
        </w:rPr>
      </w:pPr>
      <w:r w:rsidRPr="00D7590C">
        <w:rPr>
          <w:rFonts w:ascii="Times New Roman" w:hAnsi="Times New Roman" w:cs="Times New Roman"/>
        </w:rPr>
        <w:t>C — Comparison: Individuals or meals with different combinations of these personal and dietary characteristics; the study also compared prediction performance against conventional carbohydrate-based prediction.</w:t>
      </w:r>
    </w:p>
    <w:p w14:paraId="4398A61C" w14:textId="77777777" w:rsidR="00D7590C" w:rsidRPr="00D7590C" w:rsidRDefault="00D7590C" w:rsidP="00D7590C">
      <w:pPr>
        <w:rPr>
          <w:rFonts w:ascii="Times New Roman" w:hAnsi="Times New Roman" w:cs="Times New Roman"/>
        </w:rPr>
      </w:pPr>
      <w:r w:rsidRPr="00D7590C">
        <w:rPr>
          <w:rFonts w:ascii="Times New Roman" w:hAnsi="Times New Roman" w:cs="Times New Roman"/>
        </w:rPr>
        <w:t>O — Outcome: Postprandial glycemic response (PPGR), quantified from continuous glucose monitoring as the 2-hour incremental area under the glucose curve after meals.</w:t>
      </w:r>
    </w:p>
    <w:p w14:paraId="16B13F4D" w14:textId="77777777" w:rsidR="00D7590C" w:rsidRPr="00D7590C" w:rsidRDefault="00D7590C" w:rsidP="00D7590C">
      <w:pPr>
        <w:rPr>
          <w:rFonts w:ascii="Times New Roman" w:hAnsi="Times New Roman" w:cs="Times New Roman"/>
        </w:rPr>
      </w:pPr>
      <w:r w:rsidRPr="00D7590C">
        <w:rPr>
          <w:rFonts w:ascii="Times New Roman" w:hAnsi="Times New Roman" w:cs="Times New Roman"/>
        </w:rPr>
        <w:t>PICO — dietary intervention phase</w:t>
      </w:r>
    </w:p>
    <w:p w14:paraId="28D62373" w14:textId="77777777" w:rsidR="00D7590C" w:rsidRPr="00D7590C" w:rsidRDefault="00D7590C" w:rsidP="00D7590C">
      <w:pPr>
        <w:rPr>
          <w:rFonts w:ascii="Times New Roman" w:hAnsi="Times New Roman" w:cs="Times New Roman"/>
        </w:rPr>
      </w:pPr>
      <w:r w:rsidRPr="00D7590C">
        <w:rPr>
          <w:rFonts w:ascii="Times New Roman" w:hAnsi="Times New Roman" w:cs="Times New Roman"/>
        </w:rPr>
        <w:t>P — Population: 26 participants enrolled in the blinded randomized dietary intervention.</w:t>
      </w:r>
    </w:p>
    <w:p w14:paraId="3A1AA847" w14:textId="77777777" w:rsidR="00D7590C" w:rsidRPr="00D7590C" w:rsidRDefault="00D7590C" w:rsidP="00D7590C">
      <w:pPr>
        <w:rPr>
          <w:rFonts w:ascii="Times New Roman" w:hAnsi="Times New Roman" w:cs="Times New Roman"/>
        </w:rPr>
      </w:pPr>
      <w:r w:rsidRPr="00D7590C">
        <w:rPr>
          <w:rFonts w:ascii="Times New Roman" w:hAnsi="Times New Roman" w:cs="Times New Roman"/>
        </w:rPr>
        <w:t>I — Intervention: A personalized “good” diet composed of meals predicted by the algorithm to produce low PPGRs.</w:t>
      </w:r>
    </w:p>
    <w:p w14:paraId="2BB679CB" w14:textId="77777777" w:rsidR="00D7590C" w:rsidRPr="00D7590C" w:rsidRDefault="00D7590C" w:rsidP="00D7590C">
      <w:pPr>
        <w:rPr>
          <w:rFonts w:ascii="Times New Roman" w:hAnsi="Times New Roman" w:cs="Times New Roman"/>
        </w:rPr>
      </w:pPr>
      <w:r w:rsidRPr="00D7590C">
        <w:rPr>
          <w:rFonts w:ascii="Times New Roman" w:hAnsi="Times New Roman" w:cs="Times New Roman"/>
        </w:rPr>
        <w:t>C — Comparison: A personalized “bad” diet composed of meals predicted to produce high PPGRs.</w:t>
      </w:r>
    </w:p>
    <w:p w14:paraId="126B3DF6" w14:textId="77777777" w:rsidR="00D7590C" w:rsidRPr="00D7590C" w:rsidRDefault="00D7590C" w:rsidP="00D7590C">
      <w:pPr>
        <w:rPr>
          <w:rFonts w:ascii="Times New Roman" w:hAnsi="Times New Roman" w:cs="Times New Roman"/>
        </w:rPr>
      </w:pPr>
      <w:r w:rsidRPr="00D7590C">
        <w:rPr>
          <w:rFonts w:ascii="Times New Roman" w:hAnsi="Times New Roman" w:cs="Times New Roman"/>
        </w:rPr>
        <w:t>O — Outcome: Differences in postprandial glycemic responses and related glucose-control measures, together with changes in gut microbiota.</w:t>
      </w:r>
    </w:p>
    <w:p w14:paraId="397C6467" w14:textId="0BFD9D4F" w:rsidR="00D7590C" w:rsidRPr="00D7590C" w:rsidRDefault="00D7590C" w:rsidP="008C5ACE">
      <w:pPr>
        <w:rPr>
          <w:rFonts w:ascii="Times New Roman" w:hAnsi="Times New Roman" w:cs="Times New Roman"/>
        </w:rPr>
      </w:pPr>
      <w:r w:rsidRPr="00D7590C">
        <w:rPr>
          <w:rFonts w:ascii="Times New Roman" w:hAnsi="Times New Roman" w:cs="Times New Roman"/>
        </w:rPr>
        <w:t>Question 2</w:t>
      </w:r>
    </w:p>
    <w:p w14:paraId="68728813" w14:textId="56B80340" w:rsidR="00D7590C" w:rsidRPr="00D7590C" w:rsidRDefault="00D7590C" w:rsidP="008C5ACE">
      <w:pPr>
        <w:rPr>
          <w:rFonts w:ascii="Times New Roman" w:hAnsi="Times New Roman" w:cs="Times New Roman"/>
        </w:rPr>
      </w:pPr>
      <w:r w:rsidRPr="00D7590C">
        <w:rPr>
          <w:rFonts w:ascii="Times New Roman" w:hAnsi="Times New Roman" w:cs="Times New Roman"/>
        </w:rPr>
        <w:t xml:space="preserve">The study used a large human multi-modal dataset including continuous glucose monitoring, detailed dietary records, anthropometric measurements, blood tests, lifestyle and medical questionnaires, physical-activity and sleep records, and gut microbiome profiles generated by both 16S rRNA and metagenomic sequencing. The main cohort included 800 participants, and an independent 100-person cohort </w:t>
      </w:r>
      <w:proofErr w:type="gramStart"/>
      <w:r w:rsidRPr="00D7590C">
        <w:rPr>
          <w:rFonts w:ascii="Times New Roman" w:hAnsi="Times New Roman" w:cs="Times New Roman"/>
        </w:rPr>
        <w:t>was used</w:t>
      </w:r>
      <w:proofErr w:type="gramEnd"/>
      <w:r w:rsidRPr="00D7590C">
        <w:rPr>
          <w:rFonts w:ascii="Times New Roman" w:hAnsi="Times New Roman" w:cs="Times New Roman"/>
        </w:rPr>
        <w:t xml:space="preserve"> for validation.</w:t>
      </w:r>
    </w:p>
    <w:p w14:paraId="63C62706" w14:textId="0D8306C7" w:rsidR="00D7590C" w:rsidRPr="00D7590C" w:rsidRDefault="00D7590C" w:rsidP="008C5ACE">
      <w:pPr>
        <w:rPr>
          <w:rFonts w:ascii="Times New Roman" w:hAnsi="Times New Roman" w:cs="Times New Roman"/>
        </w:rPr>
      </w:pPr>
      <w:r w:rsidRPr="00D7590C">
        <w:rPr>
          <w:rFonts w:ascii="Times New Roman" w:hAnsi="Times New Roman" w:cs="Times New Roman"/>
        </w:rPr>
        <w:t>Question 3</w:t>
      </w:r>
    </w:p>
    <w:p w14:paraId="090884EC" w14:textId="20C28574" w:rsidR="00D7590C" w:rsidRPr="00D7590C" w:rsidRDefault="00D7590C" w:rsidP="008C5ACE">
      <w:pPr>
        <w:rPr>
          <w:rFonts w:ascii="Times New Roman" w:hAnsi="Times New Roman" w:cs="Times New Roman"/>
        </w:rPr>
      </w:pPr>
      <w:r w:rsidRPr="00D7590C">
        <w:rPr>
          <w:rFonts w:ascii="Times New Roman" w:hAnsi="Times New Roman" w:cs="Times New Roman"/>
        </w:rPr>
        <w:t xml:space="preserve">The study hypothesizes that postprandial glycemic responses are highly individualized and cannot </w:t>
      </w:r>
      <w:proofErr w:type="gramStart"/>
      <w:r w:rsidRPr="00D7590C">
        <w:rPr>
          <w:rFonts w:ascii="Times New Roman" w:hAnsi="Times New Roman" w:cs="Times New Roman"/>
        </w:rPr>
        <w:t>be adequately predicted</w:t>
      </w:r>
      <w:proofErr w:type="gramEnd"/>
      <w:r w:rsidRPr="00D7590C">
        <w:rPr>
          <w:rFonts w:ascii="Times New Roman" w:hAnsi="Times New Roman" w:cs="Times New Roman"/>
        </w:rPr>
        <w:t xml:space="preserve"> from food composition alone. Instead, integrating person-specific clinical, lifestyle, dietary and gut microbiome features should enable accurate prediction of individual glycemic responses, and dietary recommendations based on these predictions should reduce postprandial glucose responses.</w:t>
      </w:r>
    </w:p>
    <w:sectPr w:rsidR="00D7590C" w:rsidRPr="00D7590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B602D" w14:textId="77777777" w:rsidR="008E676F" w:rsidRDefault="008E676F" w:rsidP="008E676F">
      <w:pPr>
        <w:spacing w:after="0" w:line="240" w:lineRule="auto"/>
      </w:pPr>
      <w:r>
        <w:separator/>
      </w:r>
    </w:p>
  </w:endnote>
  <w:endnote w:type="continuationSeparator" w:id="0">
    <w:p w14:paraId="74BC3FB4" w14:textId="77777777" w:rsidR="008E676F" w:rsidRDefault="008E676F" w:rsidP="008E6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03193" w14:textId="77777777" w:rsidR="008E676F" w:rsidRDefault="008E676F" w:rsidP="008E676F">
      <w:pPr>
        <w:spacing w:after="0" w:line="240" w:lineRule="auto"/>
      </w:pPr>
      <w:r>
        <w:separator/>
      </w:r>
    </w:p>
  </w:footnote>
  <w:footnote w:type="continuationSeparator" w:id="0">
    <w:p w14:paraId="7BE5B737" w14:textId="77777777" w:rsidR="008E676F" w:rsidRDefault="008E676F" w:rsidP="008E6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3EB9"/>
    <w:multiLevelType w:val="hybridMultilevel"/>
    <w:tmpl w:val="23A48C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921AD4"/>
    <w:multiLevelType w:val="multilevel"/>
    <w:tmpl w:val="F8E0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13D04"/>
    <w:multiLevelType w:val="hybridMultilevel"/>
    <w:tmpl w:val="691CF0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B3D5F73"/>
    <w:multiLevelType w:val="multilevel"/>
    <w:tmpl w:val="18F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31E6D"/>
    <w:multiLevelType w:val="hybridMultilevel"/>
    <w:tmpl w:val="E48ED63A"/>
    <w:lvl w:ilvl="0" w:tplc="11D4775C">
      <w:start w:val="1"/>
      <w:numFmt w:val="bullet"/>
      <w:lvlText w:val="§"/>
      <w:lvlJc w:val="left"/>
      <w:pPr>
        <w:tabs>
          <w:tab w:val="num" w:pos="720"/>
        </w:tabs>
        <w:ind w:left="720" w:hanging="360"/>
      </w:pPr>
      <w:rPr>
        <w:rFonts w:ascii="Wingdings" w:hAnsi="Wingdings" w:hint="default"/>
      </w:rPr>
    </w:lvl>
    <w:lvl w:ilvl="1" w:tplc="95A2DAC4" w:tentative="1">
      <w:start w:val="1"/>
      <w:numFmt w:val="bullet"/>
      <w:lvlText w:val="§"/>
      <w:lvlJc w:val="left"/>
      <w:pPr>
        <w:tabs>
          <w:tab w:val="num" w:pos="1440"/>
        </w:tabs>
        <w:ind w:left="1440" w:hanging="360"/>
      </w:pPr>
      <w:rPr>
        <w:rFonts w:ascii="Wingdings" w:hAnsi="Wingdings" w:hint="default"/>
      </w:rPr>
    </w:lvl>
    <w:lvl w:ilvl="2" w:tplc="2BFCE18E" w:tentative="1">
      <w:start w:val="1"/>
      <w:numFmt w:val="bullet"/>
      <w:lvlText w:val="§"/>
      <w:lvlJc w:val="left"/>
      <w:pPr>
        <w:tabs>
          <w:tab w:val="num" w:pos="2160"/>
        </w:tabs>
        <w:ind w:left="2160" w:hanging="360"/>
      </w:pPr>
      <w:rPr>
        <w:rFonts w:ascii="Wingdings" w:hAnsi="Wingdings" w:hint="default"/>
      </w:rPr>
    </w:lvl>
    <w:lvl w:ilvl="3" w:tplc="A99EC578" w:tentative="1">
      <w:start w:val="1"/>
      <w:numFmt w:val="bullet"/>
      <w:lvlText w:val="§"/>
      <w:lvlJc w:val="left"/>
      <w:pPr>
        <w:tabs>
          <w:tab w:val="num" w:pos="2880"/>
        </w:tabs>
        <w:ind w:left="2880" w:hanging="360"/>
      </w:pPr>
      <w:rPr>
        <w:rFonts w:ascii="Wingdings" w:hAnsi="Wingdings" w:hint="default"/>
      </w:rPr>
    </w:lvl>
    <w:lvl w:ilvl="4" w:tplc="373C3FCA" w:tentative="1">
      <w:start w:val="1"/>
      <w:numFmt w:val="bullet"/>
      <w:lvlText w:val="§"/>
      <w:lvlJc w:val="left"/>
      <w:pPr>
        <w:tabs>
          <w:tab w:val="num" w:pos="3600"/>
        </w:tabs>
        <w:ind w:left="3600" w:hanging="360"/>
      </w:pPr>
      <w:rPr>
        <w:rFonts w:ascii="Wingdings" w:hAnsi="Wingdings" w:hint="default"/>
      </w:rPr>
    </w:lvl>
    <w:lvl w:ilvl="5" w:tplc="7FE87DF8" w:tentative="1">
      <w:start w:val="1"/>
      <w:numFmt w:val="bullet"/>
      <w:lvlText w:val="§"/>
      <w:lvlJc w:val="left"/>
      <w:pPr>
        <w:tabs>
          <w:tab w:val="num" w:pos="4320"/>
        </w:tabs>
        <w:ind w:left="4320" w:hanging="360"/>
      </w:pPr>
      <w:rPr>
        <w:rFonts w:ascii="Wingdings" w:hAnsi="Wingdings" w:hint="default"/>
      </w:rPr>
    </w:lvl>
    <w:lvl w:ilvl="6" w:tplc="29A298AC" w:tentative="1">
      <w:start w:val="1"/>
      <w:numFmt w:val="bullet"/>
      <w:lvlText w:val="§"/>
      <w:lvlJc w:val="left"/>
      <w:pPr>
        <w:tabs>
          <w:tab w:val="num" w:pos="5040"/>
        </w:tabs>
        <w:ind w:left="5040" w:hanging="360"/>
      </w:pPr>
      <w:rPr>
        <w:rFonts w:ascii="Wingdings" w:hAnsi="Wingdings" w:hint="default"/>
      </w:rPr>
    </w:lvl>
    <w:lvl w:ilvl="7" w:tplc="86B8E1E2" w:tentative="1">
      <w:start w:val="1"/>
      <w:numFmt w:val="bullet"/>
      <w:lvlText w:val="§"/>
      <w:lvlJc w:val="left"/>
      <w:pPr>
        <w:tabs>
          <w:tab w:val="num" w:pos="5760"/>
        </w:tabs>
        <w:ind w:left="5760" w:hanging="360"/>
      </w:pPr>
      <w:rPr>
        <w:rFonts w:ascii="Wingdings" w:hAnsi="Wingdings" w:hint="default"/>
      </w:rPr>
    </w:lvl>
    <w:lvl w:ilvl="8" w:tplc="1994B710" w:tentative="1">
      <w:start w:val="1"/>
      <w:numFmt w:val="bullet"/>
      <w:lvlText w:val="§"/>
      <w:lvlJc w:val="left"/>
      <w:pPr>
        <w:tabs>
          <w:tab w:val="num" w:pos="6480"/>
        </w:tabs>
        <w:ind w:left="6480" w:hanging="360"/>
      </w:pPr>
      <w:rPr>
        <w:rFonts w:ascii="Wingdings" w:hAnsi="Wingdings" w:hint="default"/>
      </w:rPr>
    </w:lvl>
  </w:abstractNum>
  <w:num w:numId="1" w16cid:durableId="1167015042">
    <w:abstractNumId w:val="0"/>
  </w:num>
  <w:num w:numId="2" w16cid:durableId="1136920610">
    <w:abstractNumId w:val="4"/>
  </w:num>
  <w:num w:numId="3" w16cid:durableId="1953126850">
    <w:abstractNumId w:val="2"/>
  </w:num>
  <w:num w:numId="4" w16cid:durableId="1404062667">
    <w:abstractNumId w:val="3"/>
  </w:num>
  <w:num w:numId="5" w16cid:durableId="278730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73"/>
    <w:rsid w:val="00021050"/>
    <w:rsid w:val="0014100D"/>
    <w:rsid w:val="00184969"/>
    <w:rsid w:val="003158B9"/>
    <w:rsid w:val="00336041"/>
    <w:rsid w:val="003B1018"/>
    <w:rsid w:val="003E03CB"/>
    <w:rsid w:val="0040633A"/>
    <w:rsid w:val="00406A38"/>
    <w:rsid w:val="00651052"/>
    <w:rsid w:val="00680E65"/>
    <w:rsid w:val="006C79B1"/>
    <w:rsid w:val="0072366E"/>
    <w:rsid w:val="00880E73"/>
    <w:rsid w:val="008C5ACE"/>
    <w:rsid w:val="008E676F"/>
    <w:rsid w:val="00914EC1"/>
    <w:rsid w:val="00AD6A3F"/>
    <w:rsid w:val="00C575F7"/>
    <w:rsid w:val="00CA7093"/>
    <w:rsid w:val="00D7590C"/>
    <w:rsid w:val="00F91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1A98293"/>
  <w15:chartTrackingRefBased/>
  <w15:docId w15:val="{C583C452-4626-294A-B592-E6742A0D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0E73"/>
    <w:pPr>
      <w:spacing w:after="160" w:line="278" w:lineRule="auto"/>
    </w:pPr>
  </w:style>
  <w:style w:type="paragraph" w:styleId="1">
    <w:name w:val="heading 1"/>
    <w:basedOn w:val="a"/>
    <w:next w:val="a"/>
    <w:link w:val="10"/>
    <w:uiPriority w:val="9"/>
    <w:qFormat/>
    <w:rsid w:val="00880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80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80E7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80E7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0E7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0E7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0E7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0E7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0E73"/>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0E73"/>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880E73"/>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880E73"/>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880E73"/>
    <w:rPr>
      <w:rFonts w:eastAsiaTheme="majorEastAsia" w:cstheme="majorBidi"/>
      <w:i/>
      <w:iCs/>
      <w:color w:val="2F5496" w:themeColor="accent1" w:themeShade="BF"/>
    </w:rPr>
  </w:style>
  <w:style w:type="character" w:customStyle="1" w:styleId="50">
    <w:name w:val="标题 5 字符"/>
    <w:basedOn w:val="a0"/>
    <w:link w:val="5"/>
    <w:uiPriority w:val="9"/>
    <w:semiHidden/>
    <w:rsid w:val="00880E73"/>
    <w:rPr>
      <w:rFonts w:eastAsiaTheme="majorEastAsia" w:cstheme="majorBidi"/>
      <w:color w:val="2F5496" w:themeColor="accent1" w:themeShade="BF"/>
    </w:rPr>
  </w:style>
  <w:style w:type="character" w:customStyle="1" w:styleId="60">
    <w:name w:val="标题 6 字符"/>
    <w:basedOn w:val="a0"/>
    <w:link w:val="6"/>
    <w:uiPriority w:val="9"/>
    <w:semiHidden/>
    <w:rsid w:val="00880E73"/>
    <w:rPr>
      <w:rFonts w:eastAsiaTheme="majorEastAsia" w:cstheme="majorBidi"/>
      <w:i/>
      <w:iCs/>
      <w:color w:val="595959" w:themeColor="text1" w:themeTint="A6"/>
    </w:rPr>
  </w:style>
  <w:style w:type="character" w:customStyle="1" w:styleId="70">
    <w:name w:val="标题 7 字符"/>
    <w:basedOn w:val="a0"/>
    <w:link w:val="7"/>
    <w:uiPriority w:val="9"/>
    <w:semiHidden/>
    <w:rsid w:val="00880E73"/>
    <w:rPr>
      <w:rFonts w:eastAsiaTheme="majorEastAsia" w:cstheme="majorBidi"/>
      <w:color w:val="595959" w:themeColor="text1" w:themeTint="A6"/>
    </w:rPr>
  </w:style>
  <w:style w:type="character" w:customStyle="1" w:styleId="80">
    <w:name w:val="标题 8 字符"/>
    <w:basedOn w:val="a0"/>
    <w:link w:val="8"/>
    <w:uiPriority w:val="9"/>
    <w:semiHidden/>
    <w:rsid w:val="00880E73"/>
    <w:rPr>
      <w:rFonts w:eastAsiaTheme="majorEastAsia" w:cstheme="majorBidi"/>
      <w:i/>
      <w:iCs/>
      <w:color w:val="272727" w:themeColor="text1" w:themeTint="D8"/>
    </w:rPr>
  </w:style>
  <w:style w:type="character" w:customStyle="1" w:styleId="90">
    <w:name w:val="标题 9 字符"/>
    <w:basedOn w:val="a0"/>
    <w:link w:val="9"/>
    <w:uiPriority w:val="9"/>
    <w:semiHidden/>
    <w:rsid w:val="00880E73"/>
    <w:rPr>
      <w:rFonts w:eastAsiaTheme="majorEastAsia" w:cstheme="majorBidi"/>
      <w:color w:val="272727" w:themeColor="text1" w:themeTint="D8"/>
    </w:rPr>
  </w:style>
  <w:style w:type="paragraph" w:styleId="a3">
    <w:name w:val="Title"/>
    <w:basedOn w:val="a"/>
    <w:next w:val="a"/>
    <w:link w:val="a4"/>
    <w:uiPriority w:val="10"/>
    <w:qFormat/>
    <w:rsid w:val="00880E73"/>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0E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0E7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80E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80E73"/>
    <w:pPr>
      <w:spacing w:before="160"/>
      <w:jc w:val="center"/>
    </w:pPr>
    <w:rPr>
      <w:i/>
      <w:iCs/>
      <w:color w:val="404040" w:themeColor="text1" w:themeTint="BF"/>
    </w:rPr>
  </w:style>
  <w:style w:type="character" w:customStyle="1" w:styleId="a8">
    <w:name w:val="引用 字符"/>
    <w:basedOn w:val="a0"/>
    <w:link w:val="a7"/>
    <w:uiPriority w:val="29"/>
    <w:rsid w:val="00880E73"/>
    <w:rPr>
      <w:i/>
      <w:iCs/>
      <w:color w:val="404040" w:themeColor="text1" w:themeTint="BF"/>
    </w:rPr>
  </w:style>
  <w:style w:type="paragraph" w:styleId="a9">
    <w:name w:val="List Paragraph"/>
    <w:basedOn w:val="a"/>
    <w:uiPriority w:val="34"/>
    <w:qFormat/>
    <w:rsid w:val="00880E73"/>
    <w:pPr>
      <w:ind w:left="720"/>
      <w:contextualSpacing/>
    </w:pPr>
  </w:style>
  <w:style w:type="character" w:styleId="aa">
    <w:name w:val="Intense Emphasis"/>
    <w:basedOn w:val="a0"/>
    <w:uiPriority w:val="21"/>
    <w:qFormat/>
    <w:rsid w:val="00880E73"/>
    <w:rPr>
      <w:i/>
      <w:iCs/>
      <w:color w:val="2F5496" w:themeColor="accent1" w:themeShade="BF"/>
    </w:rPr>
  </w:style>
  <w:style w:type="paragraph" w:styleId="ab">
    <w:name w:val="Intense Quote"/>
    <w:basedOn w:val="a"/>
    <w:next w:val="a"/>
    <w:link w:val="ac"/>
    <w:uiPriority w:val="30"/>
    <w:qFormat/>
    <w:rsid w:val="00880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0E73"/>
    <w:rPr>
      <w:i/>
      <w:iCs/>
      <w:color w:val="2F5496" w:themeColor="accent1" w:themeShade="BF"/>
    </w:rPr>
  </w:style>
  <w:style w:type="character" w:styleId="ad">
    <w:name w:val="Intense Reference"/>
    <w:basedOn w:val="a0"/>
    <w:uiPriority w:val="32"/>
    <w:qFormat/>
    <w:rsid w:val="00880E73"/>
    <w:rPr>
      <w:b/>
      <w:bCs/>
      <w:smallCaps/>
      <w:color w:val="2F5496" w:themeColor="accent1" w:themeShade="BF"/>
      <w:spacing w:val="5"/>
    </w:rPr>
  </w:style>
  <w:style w:type="table" w:styleId="ae">
    <w:name w:val="Table Grid"/>
    <w:basedOn w:val="a1"/>
    <w:uiPriority w:val="59"/>
    <w:rsid w:val="00C575F7"/>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406A38"/>
    <w:rPr>
      <w:b/>
      <w:bCs/>
    </w:rPr>
  </w:style>
  <w:style w:type="paragraph" w:styleId="af0">
    <w:name w:val="Normal (Web)"/>
    <w:basedOn w:val="a"/>
    <w:uiPriority w:val="99"/>
    <w:unhideWhenUsed/>
    <w:rsid w:val="003158B9"/>
    <w:pPr>
      <w:spacing w:before="100" w:beforeAutospacing="1" w:after="100" w:afterAutospacing="1" w:line="240" w:lineRule="auto"/>
    </w:pPr>
    <w:rPr>
      <w:rFonts w:ascii="宋体" w:eastAsia="宋体" w:hAnsi="宋体" w:cs="宋体"/>
      <w:kern w:val="0"/>
      <w14:ligatures w14:val="none"/>
    </w:rPr>
  </w:style>
  <w:style w:type="character" w:styleId="af1">
    <w:name w:val="Emphasis"/>
    <w:basedOn w:val="a0"/>
    <w:uiPriority w:val="20"/>
    <w:qFormat/>
    <w:rsid w:val="003158B9"/>
    <w:rPr>
      <w:i/>
      <w:iCs/>
    </w:rPr>
  </w:style>
  <w:style w:type="paragraph" w:styleId="af2">
    <w:name w:val="header"/>
    <w:basedOn w:val="a"/>
    <w:link w:val="af3"/>
    <w:uiPriority w:val="99"/>
    <w:unhideWhenUsed/>
    <w:rsid w:val="008E676F"/>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8E676F"/>
    <w:rPr>
      <w:sz w:val="18"/>
      <w:szCs w:val="18"/>
    </w:rPr>
  </w:style>
  <w:style w:type="paragraph" w:styleId="af4">
    <w:name w:val="footer"/>
    <w:basedOn w:val="a"/>
    <w:link w:val="af5"/>
    <w:uiPriority w:val="99"/>
    <w:unhideWhenUsed/>
    <w:rsid w:val="008E676F"/>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8E67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41954">
      <w:bodyDiv w:val="1"/>
      <w:marLeft w:val="0"/>
      <w:marRight w:val="0"/>
      <w:marTop w:val="0"/>
      <w:marBottom w:val="0"/>
      <w:divBdr>
        <w:top w:val="none" w:sz="0" w:space="0" w:color="auto"/>
        <w:left w:val="none" w:sz="0" w:space="0" w:color="auto"/>
        <w:bottom w:val="none" w:sz="0" w:space="0" w:color="auto"/>
        <w:right w:val="none" w:sz="0" w:space="0" w:color="auto"/>
      </w:divBdr>
      <w:divsChild>
        <w:div w:id="1302812369">
          <w:marLeft w:val="547"/>
          <w:marRight w:val="0"/>
          <w:marTop w:val="2"/>
          <w:marBottom w:val="0"/>
          <w:divBdr>
            <w:top w:val="none" w:sz="0" w:space="0" w:color="auto"/>
            <w:left w:val="none" w:sz="0" w:space="0" w:color="auto"/>
            <w:bottom w:val="none" w:sz="0" w:space="0" w:color="auto"/>
            <w:right w:val="none" w:sz="0" w:space="0" w:color="auto"/>
          </w:divBdr>
        </w:div>
        <w:div w:id="1199123330">
          <w:marLeft w:val="547"/>
          <w:marRight w:val="0"/>
          <w:marTop w:val="2"/>
          <w:marBottom w:val="0"/>
          <w:divBdr>
            <w:top w:val="none" w:sz="0" w:space="0" w:color="auto"/>
            <w:left w:val="none" w:sz="0" w:space="0" w:color="auto"/>
            <w:bottom w:val="none" w:sz="0" w:space="0" w:color="auto"/>
            <w:right w:val="none" w:sz="0" w:space="0" w:color="auto"/>
          </w:divBdr>
        </w:div>
        <w:div w:id="1011034188">
          <w:marLeft w:val="547"/>
          <w:marRight w:val="0"/>
          <w:marTop w:val="2"/>
          <w:marBottom w:val="0"/>
          <w:divBdr>
            <w:top w:val="none" w:sz="0" w:space="0" w:color="auto"/>
            <w:left w:val="none" w:sz="0" w:space="0" w:color="auto"/>
            <w:bottom w:val="none" w:sz="0" w:space="0" w:color="auto"/>
            <w:right w:val="none" w:sz="0" w:space="0" w:color="auto"/>
          </w:divBdr>
        </w:div>
        <w:div w:id="1179739064">
          <w:marLeft w:val="547"/>
          <w:marRight w:val="0"/>
          <w:marTop w:val="2"/>
          <w:marBottom w:val="0"/>
          <w:divBdr>
            <w:top w:val="none" w:sz="0" w:space="0" w:color="auto"/>
            <w:left w:val="none" w:sz="0" w:space="0" w:color="auto"/>
            <w:bottom w:val="none" w:sz="0" w:space="0" w:color="auto"/>
            <w:right w:val="none" w:sz="0" w:space="0" w:color="auto"/>
          </w:divBdr>
        </w:div>
        <w:div w:id="411391640">
          <w:marLeft w:val="547"/>
          <w:marRight w:val="0"/>
          <w:marTop w:val="2"/>
          <w:marBottom w:val="0"/>
          <w:divBdr>
            <w:top w:val="none" w:sz="0" w:space="0" w:color="auto"/>
            <w:left w:val="none" w:sz="0" w:space="0" w:color="auto"/>
            <w:bottom w:val="none" w:sz="0" w:space="0" w:color="auto"/>
            <w:right w:val="none" w:sz="0" w:space="0" w:color="auto"/>
          </w:divBdr>
        </w:div>
        <w:div w:id="2119526748">
          <w:marLeft w:val="547"/>
          <w:marRight w:val="0"/>
          <w:marTop w:val="2"/>
          <w:marBottom w:val="0"/>
          <w:divBdr>
            <w:top w:val="none" w:sz="0" w:space="0" w:color="auto"/>
            <w:left w:val="none" w:sz="0" w:space="0" w:color="auto"/>
            <w:bottom w:val="none" w:sz="0" w:space="0" w:color="auto"/>
            <w:right w:val="none" w:sz="0" w:space="0" w:color="auto"/>
          </w:divBdr>
        </w:div>
      </w:divsChild>
    </w:div>
    <w:div w:id="28049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5</Pages>
  <Words>1419</Words>
  <Characters>8984</Characters>
  <Application>Microsoft Office Word</Application>
  <DocSecurity>0</DocSecurity>
  <Lines>179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嘉莉 雷</cp:lastModifiedBy>
  <cp:revision>10</cp:revision>
  <dcterms:created xsi:type="dcterms:W3CDTF">2026-08-22T08:22:00Z</dcterms:created>
  <dcterms:modified xsi:type="dcterms:W3CDTF">2026-09-03T08:40:00Z</dcterms:modified>
</cp:coreProperties>
</file>