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D50AD" w14:textId="61AD259D" w:rsidR="0089155C" w:rsidRPr="0089155C" w:rsidRDefault="00BE2931" w:rsidP="00B7412C">
      <w:pPr>
        <w:jc w:val="center"/>
        <w:rPr>
          <w:rFonts w:cs="Times New Roman"/>
          <w:b/>
          <w:bCs/>
          <w:sz w:val="28"/>
          <w:szCs w:val="28"/>
        </w:rPr>
      </w:pPr>
      <w:r>
        <w:rPr>
          <w:rFonts w:cs="Times New Roman"/>
          <w:b/>
          <w:bCs/>
          <w:sz w:val="28"/>
          <w:szCs w:val="28"/>
        </w:rPr>
        <w:t>Demand Response for Reducing Coincident Peak Loads in Data C</w:t>
      </w:r>
      <w:r w:rsidRPr="00BE2931">
        <w:rPr>
          <w:rFonts w:cs="Times New Roman"/>
          <w:b/>
          <w:bCs/>
          <w:sz w:val="28"/>
          <w:szCs w:val="28"/>
        </w:rPr>
        <w:t>enters</w:t>
      </w:r>
    </w:p>
    <w:p w14:paraId="2D3A3836" w14:textId="77777777" w:rsidR="00B7412C" w:rsidRPr="00D46359" w:rsidRDefault="00B7412C" w:rsidP="00B7412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1858"/>
        <w:gridCol w:w="1995"/>
        <w:gridCol w:w="1799"/>
        <w:gridCol w:w="1856"/>
      </w:tblGrid>
      <w:tr w:rsidR="00163593" w14:paraId="33B1606E" w14:textId="77777777" w:rsidTr="00F01EF2">
        <w:tc>
          <w:tcPr>
            <w:tcW w:w="1852" w:type="dxa"/>
          </w:tcPr>
          <w:p w14:paraId="1ED03BC2" w14:textId="77777777" w:rsidR="00ED1F6D" w:rsidRPr="00752FC5" w:rsidRDefault="00163593" w:rsidP="00752FC5">
            <w:pPr>
              <w:jc w:val="center"/>
              <w:rPr>
                <w:sz w:val="20"/>
                <w:szCs w:val="20"/>
                <w:lang w:val="pl-PL"/>
              </w:rPr>
            </w:pPr>
            <w:r w:rsidRPr="00752FC5">
              <w:rPr>
                <w:sz w:val="20"/>
                <w:szCs w:val="20"/>
                <w:lang w:val="pl-PL"/>
              </w:rPr>
              <w:t xml:space="preserve">Maciej Z. </w:t>
            </w:r>
            <w:proofErr w:type="spellStart"/>
            <w:r w:rsidRPr="00752FC5">
              <w:rPr>
                <w:sz w:val="20"/>
                <w:szCs w:val="20"/>
                <w:lang w:val="pl-PL"/>
              </w:rPr>
              <w:t>Lukawski</w:t>
            </w:r>
            <w:proofErr w:type="spellEnd"/>
          </w:p>
          <w:p w14:paraId="3591467D" w14:textId="45145E8E" w:rsidR="00163593" w:rsidRPr="00752FC5" w:rsidRDefault="00163593" w:rsidP="00752FC5">
            <w:pPr>
              <w:jc w:val="center"/>
              <w:rPr>
                <w:sz w:val="20"/>
                <w:szCs w:val="20"/>
                <w:lang w:val="pl-PL"/>
              </w:rPr>
            </w:pPr>
            <w:proofErr w:type="spellStart"/>
            <w:r w:rsidRPr="00752FC5">
              <w:rPr>
                <w:sz w:val="20"/>
                <w:szCs w:val="20"/>
                <w:lang w:val="pl-PL"/>
              </w:rPr>
              <w:t>Cornell</w:t>
            </w:r>
            <w:proofErr w:type="spellEnd"/>
            <w:r w:rsidRPr="00752FC5">
              <w:rPr>
                <w:sz w:val="20"/>
                <w:szCs w:val="20"/>
                <w:lang w:val="pl-PL"/>
              </w:rPr>
              <w:t xml:space="preserve"> University</w:t>
            </w:r>
          </w:p>
          <w:p w14:paraId="190DC213" w14:textId="06849139" w:rsidR="00163593" w:rsidRPr="00752FC5" w:rsidRDefault="00163593" w:rsidP="00752FC5">
            <w:pPr>
              <w:jc w:val="center"/>
              <w:rPr>
                <w:sz w:val="20"/>
                <w:szCs w:val="20"/>
                <w:u w:val="single"/>
                <w:lang w:val="pl-PL"/>
              </w:rPr>
            </w:pPr>
            <w:r w:rsidRPr="00752FC5">
              <w:rPr>
                <w:sz w:val="20"/>
                <w:szCs w:val="20"/>
                <w:u w:val="single"/>
                <w:lang w:val="pl-PL"/>
              </w:rPr>
              <w:t>mzl8@cornell.edu</w:t>
            </w:r>
          </w:p>
          <w:p w14:paraId="4AD4CB76" w14:textId="2149E80D" w:rsidR="00163593" w:rsidRPr="00752FC5" w:rsidRDefault="00163593" w:rsidP="00752FC5">
            <w:pPr>
              <w:jc w:val="center"/>
              <w:rPr>
                <w:sz w:val="20"/>
                <w:szCs w:val="20"/>
                <w:lang w:val="pl-PL"/>
              </w:rPr>
            </w:pPr>
          </w:p>
        </w:tc>
        <w:tc>
          <w:tcPr>
            <w:tcW w:w="1858" w:type="dxa"/>
          </w:tcPr>
          <w:p w14:paraId="4FB3923F" w14:textId="77777777" w:rsidR="00ED1F6D" w:rsidRDefault="00163593" w:rsidP="00752FC5">
            <w:pPr>
              <w:jc w:val="center"/>
              <w:rPr>
                <w:sz w:val="20"/>
                <w:szCs w:val="20"/>
              </w:rPr>
            </w:pPr>
            <w:r w:rsidRPr="00163593">
              <w:rPr>
                <w:sz w:val="20"/>
                <w:szCs w:val="20"/>
              </w:rPr>
              <w:t>Jefferson W. Tester</w:t>
            </w:r>
          </w:p>
          <w:p w14:paraId="36FE5314" w14:textId="397C373E" w:rsidR="00163593" w:rsidRDefault="00163593" w:rsidP="00752FC5">
            <w:pPr>
              <w:jc w:val="center"/>
              <w:rPr>
                <w:sz w:val="20"/>
                <w:szCs w:val="20"/>
              </w:rPr>
            </w:pPr>
            <w:r>
              <w:rPr>
                <w:sz w:val="20"/>
                <w:szCs w:val="20"/>
              </w:rPr>
              <w:t>Cornell University</w:t>
            </w:r>
          </w:p>
          <w:p w14:paraId="608E5E08" w14:textId="25BD651D" w:rsidR="00163593" w:rsidRPr="00752FC5" w:rsidRDefault="00163593" w:rsidP="00752FC5">
            <w:pPr>
              <w:jc w:val="center"/>
              <w:rPr>
                <w:sz w:val="20"/>
                <w:szCs w:val="20"/>
                <w:u w:val="single"/>
              </w:rPr>
            </w:pPr>
            <w:r w:rsidRPr="00752FC5">
              <w:rPr>
                <w:sz w:val="20"/>
                <w:szCs w:val="20"/>
                <w:u w:val="single"/>
              </w:rPr>
              <w:t>jwt54@cornell.edu</w:t>
            </w:r>
          </w:p>
        </w:tc>
        <w:tc>
          <w:tcPr>
            <w:tcW w:w="1995" w:type="dxa"/>
          </w:tcPr>
          <w:p w14:paraId="55C5F816" w14:textId="77777777" w:rsidR="00ED1F6D" w:rsidRDefault="00163593" w:rsidP="00752FC5">
            <w:pPr>
              <w:jc w:val="center"/>
              <w:rPr>
                <w:sz w:val="20"/>
                <w:szCs w:val="20"/>
              </w:rPr>
            </w:pPr>
            <w:r>
              <w:rPr>
                <w:sz w:val="20"/>
                <w:szCs w:val="20"/>
              </w:rPr>
              <w:t>Michal C. Moore</w:t>
            </w:r>
          </w:p>
          <w:p w14:paraId="26CB4B52" w14:textId="0C99AA5C" w:rsidR="00163593" w:rsidRDefault="00163593" w:rsidP="00752FC5">
            <w:pPr>
              <w:jc w:val="center"/>
              <w:rPr>
                <w:sz w:val="20"/>
                <w:szCs w:val="20"/>
              </w:rPr>
            </w:pPr>
            <w:r>
              <w:rPr>
                <w:sz w:val="20"/>
                <w:szCs w:val="20"/>
              </w:rPr>
              <w:t>Cornell University</w:t>
            </w:r>
          </w:p>
          <w:p w14:paraId="50BA55E3" w14:textId="726F1412" w:rsidR="00163593" w:rsidRPr="00752FC5" w:rsidRDefault="00163593" w:rsidP="00752FC5">
            <w:pPr>
              <w:jc w:val="center"/>
              <w:rPr>
                <w:sz w:val="20"/>
                <w:szCs w:val="20"/>
                <w:u w:val="single"/>
              </w:rPr>
            </w:pPr>
            <w:r w:rsidRPr="00752FC5">
              <w:rPr>
                <w:sz w:val="20"/>
                <w:szCs w:val="20"/>
                <w:u w:val="single"/>
              </w:rPr>
              <w:t>mcm337@cornell.edu</w:t>
            </w:r>
          </w:p>
        </w:tc>
        <w:tc>
          <w:tcPr>
            <w:tcW w:w="1799" w:type="dxa"/>
          </w:tcPr>
          <w:p w14:paraId="0A26453E" w14:textId="77777777" w:rsidR="00ED1F6D" w:rsidRDefault="00163593" w:rsidP="00752FC5">
            <w:pPr>
              <w:jc w:val="center"/>
              <w:rPr>
                <w:sz w:val="20"/>
                <w:szCs w:val="20"/>
              </w:rPr>
            </w:pPr>
            <w:r>
              <w:rPr>
                <w:sz w:val="20"/>
                <w:szCs w:val="20"/>
              </w:rPr>
              <w:t xml:space="preserve">Pawel </w:t>
            </w:r>
            <w:proofErr w:type="spellStart"/>
            <w:r>
              <w:rPr>
                <w:sz w:val="20"/>
                <w:szCs w:val="20"/>
              </w:rPr>
              <w:t>Krol</w:t>
            </w:r>
            <w:proofErr w:type="spellEnd"/>
          </w:p>
          <w:p w14:paraId="07F96EBE" w14:textId="77777777" w:rsidR="00163593" w:rsidRDefault="00163593" w:rsidP="00752FC5">
            <w:pPr>
              <w:jc w:val="center"/>
              <w:rPr>
                <w:sz w:val="20"/>
                <w:szCs w:val="20"/>
              </w:rPr>
            </w:pPr>
            <w:r>
              <w:rPr>
                <w:sz w:val="20"/>
                <w:szCs w:val="20"/>
              </w:rPr>
              <w:t>AGH University of Science and Technology</w:t>
            </w:r>
          </w:p>
          <w:p w14:paraId="41D11C0A" w14:textId="4BDA3C0F" w:rsidR="00162370" w:rsidRPr="00752FC5" w:rsidRDefault="00162370" w:rsidP="00752FC5">
            <w:pPr>
              <w:jc w:val="center"/>
              <w:rPr>
                <w:sz w:val="20"/>
                <w:szCs w:val="20"/>
                <w:u w:val="single"/>
              </w:rPr>
            </w:pPr>
            <w:r w:rsidRPr="00752FC5">
              <w:rPr>
                <w:sz w:val="20"/>
                <w:szCs w:val="20"/>
                <w:u w:val="single"/>
              </w:rPr>
              <w:t>pakrol@agh.edu.pl</w:t>
            </w:r>
          </w:p>
          <w:p w14:paraId="177DBE68" w14:textId="071A1BD6" w:rsidR="00163593" w:rsidRPr="00752FC5" w:rsidRDefault="00163593" w:rsidP="00752FC5">
            <w:pPr>
              <w:jc w:val="center"/>
              <w:rPr>
                <w:sz w:val="20"/>
                <w:szCs w:val="20"/>
              </w:rPr>
            </w:pPr>
          </w:p>
        </w:tc>
        <w:tc>
          <w:tcPr>
            <w:tcW w:w="1856" w:type="dxa"/>
          </w:tcPr>
          <w:p w14:paraId="60154EC5" w14:textId="77777777" w:rsidR="00ED1F6D" w:rsidRDefault="00163593" w:rsidP="00752FC5">
            <w:pPr>
              <w:jc w:val="center"/>
              <w:rPr>
                <w:sz w:val="20"/>
                <w:szCs w:val="20"/>
              </w:rPr>
            </w:pPr>
            <w:r>
              <w:rPr>
                <w:sz w:val="20"/>
                <w:szCs w:val="20"/>
              </w:rPr>
              <w:t>C. Lindsay Anderson</w:t>
            </w:r>
          </w:p>
          <w:p w14:paraId="0FAA85AF" w14:textId="77777777" w:rsidR="00163593" w:rsidRDefault="00163593" w:rsidP="00752FC5">
            <w:pPr>
              <w:jc w:val="center"/>
              <w:rPr>
                <w:sz w:val="20"/>
                <w:szCs w:val="20"/>
              </w:rPr>
            </w:pPr>
            <w:r>
              <w:rPr>
                <w:sz w:val="20"/>
                <w:szCs w:val="20"/>
              </w:rPr>
              <w:t>Cornell University</w:t>
            </w:r>
          </w:p>
          <w:p w14:paraId="4DFE668F" w14:textId="1A117CCB" w:rsidR="00163593" w:rsidRPr="00752FC5" w:rsidRDefault="00163593" w:rsidP="00752FC5">
            <w:pPr>
              <w:jc w:val="center"/>
              <w:rPr>
                <w:sz w:val="20"/>
                <w:szCs w:val="20"/>
                <w:u w:val="single"/>
              </w:rPr>
            </w:pPr>
            <w:r w:rsidRPr="00752FC5">
              <w:rPr>
                <w:sz w:val="20"/>
                <w:szCs w:val="20"/>
                <w:u w:val="single"/>
              </w:rPr>
              <w:t>cla28@cornell.edu</w:t>
            </w:r>
          </w:p>
        </w:tc>
      </w:tr>
    </w:tbl>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t>Abstract</w:t>
      </w:r>
    </w:p>
    <w:p w14:paraId="069E7ECE" w14:textId="77777777" w:rsidR="00B44B2A" w:rsidRDefault="00B44B2A" w:rsidP="00B7412C">
      <w:pPr>
        <w:ind w:firstLine="284"/>
        <w:jc w:val="both"/>
        <w:rPr>
          <w:rFonts w:ascii="Times" w:hAnsi="Times"/>
          <w:i/>
          <w:sz w:val="20"/>
          <w:szCs w:val="20"/>
        </w:rPr>
      </w:pPr>
    </w:p>
    <w:p w14:paraId="2957A381" w14:textId="66E0AF96" w:rsidR="00766130" w:rsidRPr="002741BE" w:rsidRDefault="009935D0" w:rsidP="002741BE">
      <w:pPr>
        <w:ind w:firstLine="284"/>
        <w:jc w:val="both"/>
        <w:rPr>
          <w:rFonts w:ascii="Times" w:hAnsi="Times"/>
          <w:sz w:val="20"/>
          <w:szCs w:val="20"/>
        </w:rPr>
      </w:pPr>
      <w:r>
        <w:rPr>
          <w:rFonts w:ascii="Times" w:hAnsi="Times"/>
          <w:i/>
          <w:sz w:val="20"/>
          <w:szCs w:val="20"/>
        </w:rPr>
        <w:t>Demand response is a key aspect of managing uncertainty and reducing peak loads in electric grids. This paper considers the capability of a datacenter to provide responsiveness to grid signals through cooling system control.  The strategy is based on pre-cooling the center for provision of load reduction during demand response events</w:t>
      </w:r>
      <w:r w:rsidR="00163593">
        <w:rPr>
          <w:rFonts w:ascii="Times" w:hAnsi="Times"/>
          <w:i/>
          <w:sz w:val="20"/>
          <w:szCs w:val="20"/>
        </w:rPr>
        <w:t>,</w:t>
      </w:r>
      <w:r w:rsidR="009D1F10">
        <w:rPr>
          <w:rFonts w:ascii="Times" w:hAnsi="Times"/>
          <w:i/>
          <w:sz w:val="20"/>
          <w:szCs w:val="20"/>
        </w:rPr>
        <w:t xml:space="preserve"> </w:t>
      </w:r>
      <w:r>
        <w:rPr>
          <w:rFonts w:ascii="Times" w:hAnsi="Times"/>
          <w:i/>
          <w:sz w:val="20"/>
          <w:szCs w:val="20"/>
        </w:rPr>
        <w:t xml:space="preserve">and </w:t>
      </w:r>
      <w:r w:rsidR="00163593">
        <w:rPr>
          <w:rFonts w:ascii="Times" w:hAnsi="Times"/>
          <w:i/>
          <w:sz w:val="20"/>
          <w:szCs w:val="20"/>
        </w:rPr>
        <w:t>is</w:t>
      </w:r>
      <w:r w:rsidR="00766130" w:rsidRPr="00766130">
        <w:rPr>
          <w:rFonts w:ascii="Times" w:hAnsi="Times"/>
          <w:i/>
          <w:sz w:val="20"/>
          <w:szCs w:val="20"/>
        </w:rPr>
        <w:t xml:space="preserve"> evaluated using a numerical model of a cooling system</w:t>
      </w:r>
      <w:r w:rsidR="00163593">
        <w:rPr>
          <w:rFonts w:ascii="Times" w:hAnsi="Times"/>
          <w:i/>
          <w:sz w:val="20"/>
          <w:szCs w:val="20"/>
        </w:rPr>
        <w:t>,</w:t>
      </w:r>
      <w:r w:rsidR="00766130" w:rsidRPr="00766130">
        <w:rPr>
          <w:rFonts w:ascii="Times" w:hAnsi="Times"/>
          <w:i/>
          <w:sz w:val="20"/>
          <w:szCs w:val="20"/>
        </w:rPr>
        <w:t xml:space="preserve"> validated against experimental data obtained from a small telecommunication data center. </w:t>
      </w:r>
      <w:r w:rsidR="009D1F10">
        <w:rPr>
          <w:rFonts w:ascii="Times" w:hAnsi="Times"/>
          <w:i/>
          <w:sz w:val="20"/>
          <w:szCs w:val="20"/>
        </w:rPr>
        <w:t xml:space="preserve">The pre-cooling strategy is applicable to a wide-range of demand response programs, but is illustrated on the example of an established critical peak pricing program; specifically </w:t>
      </w:r>
      <w:r w:rsidR="00766130" w:rsidRPr="00766130">
        <w:rPr>
          <w:rFonts w:ascii="Times" w:hAnsi="Times"/>
          <w:i/>
          <w:sz w:val="20"/>
          <w:szCs w:val="20"/>
        </w:rPr>
        <w:t>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00766130" w:rsidRPr="00766130">
        <w:rPr>
          <w:rFonts w:ascii="Times" w:hAnsi="Times"/>
          <w:i/>
          <w:sz w:val="20"/>
          <w:szCs w:val="20"/>
        </w:rPr>
        <w:t>% reduction in the electric bill of the whole data center. The developed demand response strategy is suitable for data centers with power densities below 500 W/m</w:t>
      </w:r>
      <w:r w:rsidR="00766130" w:rsidRPr="00766130">
        <w:rPr>
          <w:rFonts w:ascii="Times" w:hAnsi="Times"/>
          <w:i/>
          <w:sz w:val="20"/>
          <w:szCs w:val="20"/>
          <w:vertAlign w:val="superscript"/>
        </w:rPr>
        <w:t>2</w:t>
      </w:r>
      <w:r w:rsidR="00766130"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7A5283AB" w14:textId="77777777" w:rsidR="00A27B5E" w:rsidRDefault="00A27B5E" w:rsidP="001C6519">
      <w:pPr>
        <w:rPr>
          <w:i/>
          <w:sz w:val="20"/>
          <w:szCs w:val="20"/>
        </w:rPr>
      </w:pP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proofErr w:type="spellStart"/>
      <w:r w:rsidRPr="004220DA">
        <w:rPr>
          <w:i/>
          <w:sz w:val="20"/>
          <w:szCs w:val="20"/>
        </w:rPr>
        <w:t>Q</w:t>
      </w:r>
      <w:r w:rsidRPr="004220DA">
        <w:rPr>
          <w:i/>
          <w:sz w:val="20"/>
          <w:szCs w:val="20"/>
          <w:vertAlign w:val="subscript"/>
        </w:rPr>
        <w:t>C,nom</w:t>
      </w:r>
      <w:r w:rsidRPr="004220DA">
        <w:rPr>
          <w:i/>
          <w:sz w:val="20"/>
          <w:szCs w:val="20"/>
        </w:rPr>
        <w:t>·n</w:t>
      </w:r>
      <w:proofErr w:type="spellEnd"/>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proofErr w:type="spellStart"/>
      <w:r w:rsidRPr="004220DA">
        <w:rPr>
          <w:i/>
          <w:sz w:val="20"/>
          <w:szCs w:val="20"/>
        </w:rPr>
        <w:t>θ</w:t>
      </w:r>
      <w:r w:rsidRPr="004220DA">
        <w:rPr>
          <w:i/>
          <w:sz w:val="20"/>
          <w:szCs w:val="20"/>
          <w:vertAlign w:val="subscript"/>
        </w:rPr>
        <w:t>a</w:t>
      </w:r>
      <w:proofErr w:type="spellEnd"/>
      <w:r w:rsidRPr="001C6519">
        <w:rPr>
          <w:sz w:val="20"/>
          <w:szCs w:val="20"/>
        </w:rPr>
        <w:t xml:space="preserve"> – ambient temperature [ºC]</w:t>
      </w:r>
    </w:p>
    <w:p w14:paraId="1456E4A4" w14:textId="77777777" w:rsidR="001C6519" w:rsidRPr="001C6519" w:rsidRDefault="001C6519" w:rsidP="001C6519">
      <w:pPr>
        <w:rPr>
          <w:sz w:val="20"/>
          <w:szCs w:val="20"/>
        </w:rPr>
      </w:pPr>
      <w:proofErr w:type="spellStart"/>
      <w:r w:rsidRPr="004220DA">
        <w:rPr>
          <w:i/>
          <w:sz w:val="20"/>
          <w:szCs w:val="20"/>
        </w:rPr>
        <w:t>θ</w:t>
      </w:r>
      <w:r w:rsidRPr="004220DA">
        <w:rPr>
          <w:i/>
          <w:sz w:val="20"/>
          <w:szCs w:val="20"/>
          <w:vertAlign w:val="subscript"/>
        </w:rPr>
        <w:t>min</w:t>
      </w:r>
      <w:proofErr w:type="spellEnd"/>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proofErr w:type="spellStart"/>
      <w:r w:rsidRPr="004220DA">
        <w:rPr>
          <w:i/>
          <w:sz w:val="20"/>
          <w:szCs w:val="20"/>
        </w:rPr>
        <w:t>avg</w:t>
      </w:r>
      <w:proofErr w:type="spellEnd"/>
      <w:r w:rsidRPr="001C6519">
        <w:rPr>
          <w:sz w:val="20"/>
          <w:szCs w:val="20"/>
        </w:rPr>
        <w:t xml:space="preserve"> – average</w:t>
      </w:r>
    </w:p>
    <w:p w14:paraId="69E74A9A" w14:textId="77777777" w:rsidR="001C6519" w:rsidRPr="001C6519" w:rsidRDefault="001C6519" w:rsidP="001C6519">
      <w:pPr>
        <w:rPr>
          <w:sz w:val="20"/>
          <w:szCs w:val="20"/>
        </w:rPr>
      </w:pPr>
      <w:proofErr w:type="spellStart"/>
      <w:r w:rsidRPr="004220DA">
        <w:rPr>
          <w:i/>
          <w:sz w:val="20"/>
          <w:szCs w:val="20"/>
        </w:rPr>
        <w:t>dr</w:t>
      </w:r>
      <w:proofErr w:type="spellEnd"/>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11681B6A"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F51E1">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"[1]"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21A05F56"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coincident peak periods </w:t>
      </w:r>
      <w:r w:rsidRPr="00766130">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w:t>
      </w:r>
      <w:r w:rsidRPr="00766130">
        <w:rPr>
          <w:sz w:val="20"/>
          <w:szCs w:val="20"/>
        </w:rPr>
        <w:lastRenderedPageBreak/>
        <w:t xml:space="preserve">may constitute upwards of 20% of the electric bill, providing a strong incentive for customers to reduce their demand during these periods </w:t>
      </w:r>
      <w:r w:rsidRPr="00766130">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customer’s loads during 15-minute system-wide peaks in each of 4 months from June to September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"[3,5]"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5CP program in PJM RTO considers customers’ contributions to the top 5 peak hours occurring on separate weekdays from June to September </w:t>
      </w:r>
      <w:r w:rsidRPr="00766130">
        <w:rPr>
          <w:sz w:val="20"/>
          <w:szCs w:val="20"/>
        </w:rPr>
        <w:fldChar w:fldCharType="begin" w:fldLock="1"/>
      </w:r>
      <w:r w:rsidR="004F51E1">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"[5,6]"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1D356DE4"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F51E1">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"[7]"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F51E1">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"[8]"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4F62319F" w14:textId="4BCAED0E" w:rsidR="001F4B7D" w:rsidRDefault="00766130" w:rsidP="00A714F9">
      <w:pPr>
        <w:ind w:firstLine="270"/>
        <w:jc w:val="both"/>
        <w:rPr>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26495E83" w14:textId="54BD090C" w:rsidR="00317806" w:rsidRDefault="006250F1" w:rsidP="002068AD">
      <w:pPr>
        <w:ind w:firstLine="270"/>
        <w:jc w:val="both"/>
        <w:rPr>
          <w:sz w:val="20"/>
          <w:szCs w:val="20"/>
        </w:rPr>
      </w:pPr>
      <w:r>
        <w:rPr>
          <w:sz w:val="20"/>
          <w:szCs w:val="20"/>
        </w:rPr>
        <w:t>The most common demand response program currently available to data centers in coincident peak pricing</w:t>
      </w:r>
      <w:r w:rsidR="004F51E1">
        <w:rPr>
          <w:sz w:val="20"/>
          <w:szCs w:val="20"/>
        </w:rPr>
        <w:t xml:space="preserve"> </w:t>
      </w:r>
      <w:r w:rsidR="004F51E1">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004F51E1">
        <w:rPr>
          <w:sz w:val="20"/>
          <w:szCs w:val="20"/>
        </w:rPr>
        <w:fldChar w:fldCharType="separate"/>
      </w:r>
      <w:r w:rsidR="004F51E1" w:rsidRPr="004F51E1">
        <w:rPr>
          <w:noProof/>
          <w:sz w:val="20"/>
          <w:szCs w:val="20"/>
        </w:rPr>
        <w:t>[4]</w:t>
      </w:r>
      <w:r w:rsidR="004F51E1">
        <w:rPr>
          <w:sz w:val="20"/>
          <w:szCs w:val="20"/>
        </w:rPr>
        <w:fldChar w:fldCharType="end"/>
      </w:r>
      <w:r w:rsidR="004F51E1">
        <w:rPr>
          <w:sz w:val="20"/>
          <w:szCs w:val="20"/>
        </w:rPr>
        <w:t>.</w:t>
      </w:r>
      <w:r w:rsidR="00D011D8">
        <w:rPr>
          <w:sz w:val="20"/>
          <w:szCs w:val="20"/>
        </w:rPr>
        <w:t xml:space="preserve"> </w:t>
      </w:r>
      <w:r w:rsidR="0037786C">
        <w:rPr>
          <w:sz w:val="20"/>
          <w:szCs w:val="20"/>
        </w:rPr>
        <w:t>D</w:t>
      </w:r>
      <w:r w:rsidR="00402AB1">
        <w:rPr>
          <w:sz w:val="20"/>
          <w:szCs w:val="20"/>
        </w:rPr>
        <w:t>ata center d</w:t>
      </w:r>
      <w:r w:rsidR="0037786C">
        <w:rPr>
          <w:sz w:val="20"/>
          <w:szCs w:val="20"/>
        </w:rPr>
        <w:t xml:space="preserve">emand response </w:t>
      </w:r>
      <w:r w:rsidR="00317806">
        <w:rPr>
          <w:sz w:val="20"/>
          <w:szCs w:val="20"/>
        </w:rPr>
        <w:t>under</w:t>
      </w:r>
      <w:r w:rsidR="0037786C">
        <w:rPr>
          <w:sz w:val="20"/>
          <w:szCs w:val="20"/>
        </w:rPr>
        <w:t xml:space="preserve"> c</w:t>
      </w:r>
      <w:r w:rsidR="00D011D8">
        <w:rPr>
          <w:sz w:val="20"/>
          <w:szCs w:val="20"/>
        </w:rPr>
        <w:t xml:space="preserve">oincident peak </w:t>
      </w:r>
      <w:r w:rsidR="00317806">
        <w:rPr>
          <w:sz w:val="20"/>
          <w:szCs w:val="20"/>
        </w:rPr>
        <w:t>pricing programs</w:t>
      </w:r>
      <w:r w:rsidR="001B65ED">
        <w:rPr>
          <w:sz w:val="20"/>
          <w:szCs w:val="20"/>
        </w:rPr>
        <w:t xml:space="preserve"> </w:t>
      </w:r>
      <w:r w:rsidR="00B13C66">
        <w:rPr>
          <w:sz w:val="20"/>
          <w:szCs w:val="20"/>
        </w:rPr>
        <w:t xml:space="preserve">has been </w:t>
      </w:r>
      <w:r w:rsidR="00975689">
        <w:rPr>
          <w:sz w:val="20"/>
          <w:szCs w:val="20"/>
        </w:rPr>
        <w:t>studied</w:t>
      </w:r>
      <w:r w:rsidR="0037786C">
        <w:rPr>
          <w:sz w:val="20"/>
          <w:szCs w:val="20"/>
        </w:rPr>
        <w:t xml:space="preserve"> </w:t>
      </w:r>
      <w:r w:rsidR="00A15496">
        <w:rPr>
          <w:sz w:val="20"/>
          <w:szCs w:val="20"/>
        </w:rPr>
        <w:t xml:space="preserve">for </w:t>
      </w:r>
      <w:r w:rsidR="001B65ED">
        <w:rPr>
          <w:sz w:val="20"/>
          <w:szCs w:val="20"/>
        </w:rPr>
        <w:t xml:space="preserve">workload shifting and using local power generation </w:t>
      </w:r>
      <w:r w:rsidR="001B65ED">
        <w:rPr>
          <w:sz w:val="20"/>
          <w:szCs w:val="20"/>
        </w:rPr>
        <w:fldChar w:fldCharType="begin" w:fldLock="1"/>
      </w:r>
      <w:r w:rsidR="001B65ED">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001B65ED">
        <w:rPr>
          <w:sz w:val="20"/>
          <w:szCs w:val="20"/>
        </w:rPr>
        <w:fldChar w:fldCharType="separate"/>
      </w:r>
      <w:r w:rsidR="001B65ED" w:rsidRPr="001B65ED">
        <w:rPr>
          <w:noProof/>
          <w:sz w:val="20"/>
          <w:szCs w:val="20"/>
        </w:rPr>
        <w:t>[2]</w:t>
      </w:r>
      <w:r w:rsidR="001B65ED">
        <w:rPr>
          <w:sz w:val="20"/>
          <w:szCs w:val="20"/>
        </w:rPr>
        <w:fldChar w:fldCharType="end"/>
      </w:r>
      <w:r w:rsidR="00A15496">
        <w:rPr>
          <w:sz w:val="20"/>
          <w:szCs w:val="20"/>
        </w:rPr>
        <w:t xml:space="preserve">, but </w:t>
      </w:r>
      <w:r w:rsidR="00402AB1">
        <w:rPr>
          <w:sz w:val="20"/>
          <w:szCs w:val="20"/>
        </w:rPr>
        <w:t>not for</w:t>
      </w:r>
      <w:r w:rsidR="00975689">
        <w:rPr>
          <w:sz w:val="20"/>
          <w:szCs w:val="20"/>
        </w:rPr>
        <w:t xml:space="preserve"> shifting</w:t>
      </w:r>
      <w:r w:rsidR="00402AB1">
        <w:rPr>
          <w:sz w:val="20"/>
          <w:szCs w:val="20"/>
        </w:rPr>
        <w:t xml:space="preserve"> </w:t>
      </w:r>
      <w:r w:rsidR="00975689">
        <w:rPr>
          <w:sz w:val="20"/>
          <w:szCs w:val="20"/>
        </w:rPr>
        <w:t xml:space="preserve">data center cooling </w:t>
      </w:r>
      <w:r w:rsidR="00402AB1">
        <w:rPr>
          <w:sz w:val="20"/>
          <w:szCs w:val="20"/>
        </w:rPr>
        <w:t>loads</w:t>
      </w:r>
      <w:r w:rsidR="00A15496">
        <w:rPr>
          <w:sz w:val="20"/>
          <w:szCs w:val="20"/>
        </w:rPr>
        <w:t xml:space="preserve">. </w:t>
      </w:r>
      <w:r w:rsidR="00402AB1">
        <w:rPr>
          <w:sz w:val="20"/>
          <w:szCs w:val="20"/>
        </w:rPr>
        <w:t>The latter approach is evaluated in this paper.</w:t>
      </w:r>
      <w:r w:rsidR="00B13C66">
        <w:rPr>
          <w:sz w:val="20"/>
          <w:szCs w:val="20"/>
        </w:rPr>
        <w:t xml:space="preserve"> </w:t>
      </w:r>
    </w:p>
    <w:p w14:paraId="27D466CF" w14:textId="77777777" w:rsidR="00766130" w:rsidRDefault="00766130" w:rsidP="00F01EF2">
      <w:pPr>
        <w:ind w:firstLine="270"/>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6E211268"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F51E1">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"[10]"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xml:space="preserve">. The proposed approach relies on precooling the data center prior to </w:t>
      </w:r>
      <w:r w:rsidR="009D1F10">
        <w:rPr>
          <w:sz w:val="20"/>
          <w:szCs w:val="20"/>
        </w:rPr>
        <w:t>demand response</w:t>
      </w:r>
      <w:r w:rsidRPr="00766130">
        <w:rPr>
          <w:sz w:val="20"/>
          <w:szCs w:val="20"/>
        </w:rPr>
        <w:t xml:space="preserve"> event</w:t>
      </w:r>
      <w:r w:rsidR="009128DF">
        <w:rPr>
          <w:sz w:val="20"/>
          <w:szCs w:val="20"/>
        </w:rPr>
        <w:t>s</w:t>
      </w:r>
      <w:r w:rsidRPr="00766130">
        <w:rPr>
          <w:sz w:val="20"/>
          <w:szCs w:val="20"/>
        </w:rPr>
        <w:t xml:space="preserve"> and reducing the cooling load during the peak. </w:t>
      </w:r>
      <w:r w:rsidR="009D1F10">
        <w:rPr>
          <w:sz w:val="20"/>
          <w:szCs w:val="20"/>
        </w:rPr>
        <w:t>In the case of c</w:t>
      </w:r>
      <w:r w:rsidR="009D1F10" w:rsidRPr="00766130">
        <w:rPr>
          <w:sz w:val="20"/>
          <w:szCs w:val="20"/>
        </w:rPr>
        <w:t xml:space="preserve">oincident </w:t>
      </w:r>
      <w:r w:rsidRPr="00766130">
        <w:rPr>
          <w:sz w:val="20"/>
          <w:szCs w:val="20"/>
        </w:rPr>
        <w:t xml:space="preserve">peak </w:t>
      </w:r>
      <w:r w:rsidR="009D1F10">
        <w:rPr>
          <w:sz w:val="20"/>
          <w:szCs w:val="20"/>
        </w:rPr>
        <w:t xml:space="preserve">programs, </w:t>
      </w:r>
      <w:r w:rsidRPr="00766130">
        <w:rPr>
          <w:sz w:val="20"/>
          <w:szCs w:val="20"/>
        </w:rPr>
        <w:t>events are typically forecasted several hours in advance. If a coincident peak event is likely to occur on a given day, the data center operator can lower the indoor temperature</w:t>
      </w:r>
      <w:r w:rsidRPr="00766130">
        <w:rPr>
          <w:i/>
          <w:sz w:val="20"/>
          <w:szCs w:val="20"/>
        </w:rPr>
        <w:t xml:space="preserve"> </w:t>
      </w:r>
      <w:r w:rsidRPr="00766130">
        <w:rPr>
          <w:sz w:val="20"/>
          <w:szCs w:val="20"/>
        </w:rPr>
        <w:t>ahead of the expected peak – a 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2FA0D75"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05CC2396"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F51E1">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"[10,11]"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xml:space="preserve">. </w:t>
      </w:r>
      <w:r w:rsidR="009D1F10">
        <w:rPr>
          <w:sz w:val="20"/>
          <w:szCs w:val="20"/>
        </w:rPr>
        <w:t>Our analysis shows that f</w:t>
      </w:r>
      <w:r w:rsidRPr="00766130">
        <w:rPr>
          <w:sz w:val="20"/>
          <w:szCs w:val="20"/>
        </w:rPr>
        <w:t>acilities with significantly higher power density 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lastRenderedPageBreak/>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t>2.1. Numerical model of telecommunications data center</w:t>
      </w:r>
      <w:r w:rsidR="00B7412C">
        <w:rPr>
          <w:b/>
        </w:rPr>
        <w:br/>
      </w:r>
    </w:p>
    <w:p w14:paraId="1FDC98E9" w14:textId="12BF89BE"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F51E1">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"[8,12,13]"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proofErr w:type="spellStart"/>
      <w:r w:rsidRPr="005A601F">
        <w:rPr>
          <w:i/>
          <w:sz w:val="20"/>
          <w:szCs w:val="20"/>
        </w:rPr>
        <w:t>θ</w:t>
      </w:r>
      <w:r w:rsidRPr="005A601F">
        <w:rPr>
          <w:i/>
          <w:sz w:val="20"/>
          <w:szCs w:val="20"/>
          <w:vertAlign w:val="subscript"/>
        </w:rPr>
        <w:t>a</w:t>
      </w:r>
      <w:proofErr w:type="spellEnd"/>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proofErr w:type="spellStart"/>
      <w:r w:rsidRPr="005A601F">
        <w:rPr>
          <w:i/>
          <w:sz w:val="20"/>
          <w:szCs w:val="20"/>
        </w:rPr>
        <w:t>θ</w:t>
      </w:r>
      <w:r w:rsidRPr="005A601F">
        <w:rPr>
          <w:i/>
          <w:sz w:val="20"/>
          <w:szCs w:val="20"/>
          <w:vertAlign w:val="subscript"/>
        </w:rPr>
        <w:t>min</w:t>
      </w:r>
      <w:proofErr w:type="spellEnd"/>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w:t>
      </w:r>
      <w:proofErr w:type="spellStart"/>
      <w:r w:rsidRPr="005A601F">
        <w:rPr>
          <w:i/>
          <w:sz w:val="20"/>
          <w:szCs w:val="20"/>
        </w:rPr>
        <w:t>θ</w:t>
      </w:r>
      <w:r w:rsidRPr="005A601F">
        <w:rPr>
          <w:i/>
          <w:sz w:val="20"/>
          <w:szCs w:val="20"/>
          <w:vertAlign w:val="subscript"/>
        </w:rPr>
        <w:t>min</w:t>
      </w:r>
      <w:proofErr w:type="spellEnd"/>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5ED30DE"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cooling capacity of the heat pump </w:t>
      </w:r>
      <w:proofErr w:type="spellStart"/>
      <w:r w:rsidRPr="005A601F">
        <w:rPr>
          <w:i/>
          <w:sz w:val="20"/>
          <w:szCs w:val="20"/>
        </w:rPr>
        <w:t>Q</w:t>
      </w:r>
      <w:r w:rsidRPr="005A601F">
        <w:rPr>
          <w:i/>
          <w:sz w:val="20"/>
          <w:szCs w:val="20"/>
          <w:vertAlign w:val="subscript"/>
        </w:rPr>
        <w:t>c,nom</w:t>
      </w:r>
      <w:proofErr w:type="spellEnd"/>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F51E1">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"[14]"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proofErr w:type="spellStart"/>
      <w:r w:rsidRPr="005A601F">
        <w:rPr>
          <w:i/>
          <w:sz w:val="20"/>
          <w:szCs w:val="20"/>
        </w:rPr>
        <w:t>COP</w:t>
      </w:r>
      <w:r w:rsidRPr="005A601F">
        <w:rPr>
          <w:i/>
          <w:sz w:val="20"/>
          <w:szCs w:val="20"/>
          <w:vertAlign w:val="subscript"/>
        </w:rPr>
        <w:t>nom</w:t>
      </w:r>
      <w:proofErr w:type="spellEnd"/>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F51E1">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"[15]"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57CF7A6E"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xml:space="preserve">) telecommunications data center located in Ithaca, NY. The data center had IT power demand of about 14 </w:t>
      </w:r>
      <w:proofErr w:type="spellStart"/>
      <w:r w:rsidR="006D7D20" w:rsidRPr="006D7D20">
        <w:rPr>
          <w:sz w:val="20"/>
          <w:szCs w:val="20"/>
        </w:rPr>
        <w:t>kW</w:t>
      </w:r>
      <w:r w:rsidR="006D7D20" w:rsidRPr="006D7D20">
        <w:rPr>
          <w:sz w:val="20"/>
          <w:szCs w:val="20"/>
          <w:vertAlign w:val="subscript"/>
        </w:rPr>
        <w:t>e</w:t>
      </w:r>
      <w:proofErr w:type="spellEnd"/>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F51E1">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proofErr w:type="spellStart"/>
      <w:r w:rsidR="006D7D20" w:rsidRPr="006D7D20">
        <w:rPr>
          <w:i/>
          <w:sz w:val="20"/>
          <w:szCs w:val="20"/>
        </w:rPr>
        <w:t>θ</w:t>
      </w:r>
      <w:r w:rsidR="006D7D20" w:rsidRPr="006D7D20">
        <w:rPr>
          <w:i/>
          <w:sz w:val="20"/>
          <w:szCs w:val="20"/>
          <w:vertAlign w:val="subscript"/>
        </w:rPr>
        <w:t>min</w:t>
      </w:r>
      <w:proofErr w:type="spellEnd"/>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38E75A59" w:rsidR="006D7D20" w:rsidRPr="006D7D20" w:rsidRDefault="006D7D20" w:rsidP="00DE6F71">
      <w:pPr>
        <w:ind w:firstLine="270"/>
        <w:jc w:val="both"/>
        <w:rPr>
          <w:sz w:val="20"/>
          <w:szCs w:val="20"/>
        </w:rPr>
      </w:pPr>
      <w:r w:rsidRPr="006D7D20">
        <w:rPr>
          <w:sz w:val="20"/>
          <w:szCs w:val="20"/>
        </w:rPr>
        <w:lastRenderedPageBreak/>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fldChar w:fldCharType="separate"/>
      </w:r>
      <w:r w:rsidR="00C34EA9">
        <w:rPr>
          <w:b/>
          <w:bCs/>
          <w:sz w:val="20"/>
          <w:szCs w:val="20"/>
        </w:rPr>
        <w:t>Error! Reference source not found.</w:t>
      </w:r>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centers and its performance is less sensitive to the ambient temperature. The dynamic thermal behavior 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2F68E2EC"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00C34EA9">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49CC77B3"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proofErr w:type="spellStart"/>
      <w:r w:rsidRPr="00B4652E">
        <w:rPr>
          <w:i/>
          <w:sz w:val="20"/>
          <w:szCs w:val="20"/>
        </w:rPr>
        <w:t>Q</w:t>
      </w:r>
      <w:r w:rsidRPr="00B4652E">
        <w:rPr>
          <w:i/>
          <w:sz w:val="20"/>
          <w:szCs w:val="20"/>
          <w:vertAlign w:val="subscript"/>
        </w:rPr>
        <w:t>C,nom</w:t>
      </w:r>
      <w:proofErr w:type="spellEnd"/>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w:t>
      </w:r>
      <w:r w:rsidRPr="00B4652E">
        <w:rPr>
          <w:sz w:val="20"/>
          <w:szCs w:val="20"/>
        </w:rPr>
        <w:t xml:space="preserve">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avior of the heat 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0"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2496B79F"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00C34EA9">
        <w:rPr>
          <w:rFonts w:asciiTheme="minorHAnsi" w:hAnsiTheme="minorHAnsi" w:cs="Arial"/>
          <w:b/>
          <w:iCs/>
          <w:noProof/>
          <w:sz w:val="20"/>
          <w:szCs w:val="20"/>
        </w:rPr>
        <w:t>1</w:t>
      </w:r>
      <w:r w:rsidRPr="007C7D6A">
        <w:rPr>
          <w:rFonts w:asciiTheme="minorHAnsi" w:hAnsiTheme="minorHAnsi" w:cs="Arial"/>
          <w:b/>
          <w:sz w:val="20"/>
          <w:szCs w:val="20"/>
        </w:rPr>
        <w:fldChar w:fldCharType="end"/>
      </w:r>
      <w:bookmarkEnd w:id="0"/>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proofErr w:type="spellStart"/>
            <w:r w:rsidRPr="00B4652E">
              <w:rPr>
                <w:i/>
                <w:sz w:val="20"/>
                <w:szCs w:val="20"/>
              </w:rPr>
              <w:t>Q</w:t>
            </w:r>
            <w:r w:rsidRPr="00B4652E">
              <w:rPr>
                <w:i/>
                <w:sz w:val="20"/>
                <w:szCs w:val="20"/>
                <w:vertAlign w:val="subscript"/>
              </w:rPr>
              <w:t>C,nom</w:t>
            </w:r>
            <w:proofErr w:type="spellEnd"/>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proofErr w:type="spellStart"/>
            <w:r w:rsidRPr="00B4652E">
              <w:rPr>
                <w:i/>
                <w:sz w:val="20"/>
                <w:szCs w:val="20"/>
              </w:rPr>
              <w:t>θ</w:t>
            </w:r>
            <w:r w:rsidRPr="00B4652E">
              <w:rPr>
                <w:i/>
                <w:sz w:val="20"/>
                <w:szCs w:val="20"/>
                <w:vertAlign w:val="subscript"/>
              </w:rPr>
              <w:t>min</w:t>
            </w:r>
            <w:proofErr w:type="spellEnd"/>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proofErr w:type="spellStart"/>
            <w:r w:rsidRPr="00B4652E">
              <w:rPr>
                <w:i/>
                <w:sz w:val="20"/>
                <w:szCs w:val="20"/>
              </w:rPr>
              <w:t>COP</w:t>
            </w:r>
            <w:r w:rsidRPr="00B4652E">
              <w:rPr>
                <w:i/>
                <w:sz w:val="20"/>
                <w:szCs w:val="20"/>
                <w:vertAlign w:val="subscript"/>
              </w:rPr>
              <w:t>nom</w:t>
            </w:r>
            <w:proofErr w:type="spellEnd"/>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1F696995" w:rsidR="00B4652E" w:rsidRPr="00773451" w:rsidRDefault="00B4652E" w:rsidP="00773451">
      <w:pPr>
        <w:jc w:val="both"/>
        <w:rPr>
          <w:b/>
          <w:sz w:val="20"/>
          <w:szCs w:val="20"/>
        </w:rPr>
      </w:pPr>
      <w:r w:rsidRPr="00B4652E">
        <w:rPr>
          <w:b/>
          <w:sz w:val="20"/>
          <w:szCs w:val="20"/>
        </w:rPr>
        <w:lastRenderedPageBreak/>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00C34EA9" w:rsidRPr="00C34EA9">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1A076614" w:rsidR="00B4652E" w:rsidRPr="007C7D6A" w:rsidRDefault="00B4652E" w:rsidP="007C7D6A">
      <w:pPr>
        <w:jc w:val="center"/>
        <w:rPr>
          <w:rFonts w:asciiTheme="minorHAnsi" w:hAnsiTheme="minorHAnsi" w:cs="Tahoma"/>
          <w:b/>
          <w:iCs/>
          <w:sz w:val="20"/>
          <w:szCs w:val="20"/>
        </w:rPr>
      </w:pPr>
      <w:bookmarkStart w:id="1" w:name="_Ref506285733"/>
      <w:bookmarkStart w:id="2"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00C34EA9">
        <w:rPr>
          <w:rFonts w:asciiTheme="minorHAnsi" w:hAnsiTheme="minorHAnsi" w:cs="Tahoma"/>
          <w:b/>
          <w:iCs/>
          <w:noProof/>
          <w:sz w:val="20"/>
          <w:szCs w:val="20"/>
        </w:rPr>
        <w:t>2</w:t>
      </w:r>
      <w:r w:rsidRPr="007C7D6A">
        <w:rPr>
          <w:rFonts w:asciiTheme="minorHAnsi" w:hAnsiTheme="minorHAnsi" w:cs="Tahoma"/>
          <w:b/>
          <w:sz w:val="20"/>
          <w:szCs w:val="20"/>
        </w:rPr>
        <w:fldChar w:fldCharType="end"/>
      </w:r>
      <w:bookmarkEnd w:id="1"/>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2"/>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0CF1705C" w:rsidR="007C7D6A" w:rsidRPr="007C7D6A" w:rsidRDefault="007C7D6A" w:rsidP="007C7D6A">
      <w:pPr>
        <w:ind w:firstLine="284"/>
        <w:jc w:val="both"/>
        <w:rPr>
          <w:sz w:val="20"/>
          <w:szCs w:val="20"/>
        </w:rPr>
      </w:pPr>
      <w:r w:rsidRPr="007C7D6A">
        <w:rPr>
          <w:sz w:val="20"/>
          <w:szCs w:val="20"/>
        </w:rPr>
        <w:t>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w:t>
      </w:r>
      <w:r w:rsidR="009D1F10">
        <w:rPr>
          <w:sz w:val="20"/>
          <w:szCs w:val="20"/>
        </w:rPr>
        <w:t xml:space="preserve">. This program serves as a useful example, given its relative maturity and accessible data. </w:t>
      </w:r>
      <w:r w:rsidRPr="007C7D6A">
        <w:rPr>
          <w:sz w:val="20"/>
          <w:szCs w:val="20"/>
        </w:rPr>
        <w:t xml:space="preserve">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697E76F1"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00C34EA9" w:rsidRPr="00C34EA9">
        <w:rPr>
          <w:sz w:val="20"/>
          <w:szCs w:val="20"/>
        </w:rPr>
        <w:t>Figure 3</w:t>
      </w:r>
      <w:r w:rsidRPr="007C7D6A">
        <w:rPr>
          <w:sz w:val="20"/>
          <w:szCs w:val="20"/>
        </w:rPr>
        <w:fldChar w:fldCharType="end"/>
      </w:r>
      <w:r w:rsidRPr="007C7D6A">
        <w:rPr>
          <w:sz w:val="20"/>
          <w:szCs w:val="20"/>
        </w:rPr>
        <w:t xml:space="preserve">. Both the predicted start time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and the duration of the coincident peak warning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are obtained by the data center using a forecasting service </w:t>
      </w:r>
      <w:r w:rsidRPr="007C7D6A">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the required indoor temperature to which data center needs to be precooled </w:t>
      </w:r>
      <w:proofErr w:type="spellStart"/>
      <w:r w:rsidRPr="007C7D6A">
        <w:rPr>
          <w:i/>
          <w:sz w:val="20"/>
          <w:szCs w:val="20"/>
        </w:rPr>
        <w:t>θ</w:t>
      </w:r>
      <w:r w:rsidRPr="007C7D6A">
        <w:rPr>
          <w:i/>
          <w:sz w:val="20"/>
          <w:szCs w:val="20"/>
          <w:vertAlign w:val="subscript"/>
        </w:rPr>
        <w:t>min,pc</w:t>
      </w:r>
      <w:proofErr w:type="spellEnd"/>
      <w:r w:rsidRPr="007C7D6A">
        <w:rPr>
          <w:sz w:val="20"/>
          <w:szCs w:val="20"/>
        </w:rPr>
        <w:t xml:space="preserve"> is calculated using Equation 7:</w:t>
      </w:r>
    </w:p>
    <w:p w14:paraId="4A8600CD" w14:textId="77777777" w:rsidR="007C7D6A" w:rsidRPr="007C7D6A" w:rsidRDefault="00C34EA9"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2D352E0C"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proofErr w:type="spellStart"/>
      <w:r w:rsidRPr="007C7D6A">
        <w:rPr>
          <w:i/>
          <w:sz w:val="20"/>
          <w:szCs w:val="20"/>
        </w:rPr>
        <w:t>dθ</w:t>
      </w:r>
      <w:proofErr w:type="spellEnd"/>
      <w:r w:rsidRPr="007C7D6A">
        <w:rPr>
          <w:i/>
          <w:sz w:val="20"/>
          <w:szCs w:val="20"/>
        </w:rPr>
        <w:t>/</w:t>
      </w:r>
      <w:proofErr w:type="spellStart"/>
      <w:r w:rsidRPr="007C7D6A">
        <w:rPr>
          <w:i/>
          <w:sz w:val="20"/>
          <w:szCs w:val="20"/>
        </w:rPr>
        <w:t>dt</w:t>
      </w:r>
      <w:proofErr w:type="spellEnd"/>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"[16,17]"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"[16]"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proofErr w:type="spellStart"/>
      <w:r w:rsidRPr="007C7D6A">
        <w:rPr>
          <w:i/>
          <w:sz w:val="20"/>
          <w:szCs w:val="20"/>
        </w:rPr>
        <w:t>dθ</w:t>
      </w:r>
      <w:proofErr w:type="spellEnd"/>
      <w:r w:rsidRPr="007C7D6A">
        <w:rPr>
          <w:i/>
          <w:sz w:val="20"/>
          <w:szCs w:val="20"/>
        </w:rPr>
        <w:t>/</w:t>
      </w:r>
      <w:proofErr w:type="spellStart"/>
      <w:r w:rsidRPr="007C7D6A">
        <w:rPr>
          <w:i/>
          <w:sz w:val="20"/>
          <w:szCs w:val="20"/>
        </w:rPr>
        <w:t>dt</w:t>
      </w:r>
      <w:proofErr w:type="spellEnd"/>
      <w:r w:rsidRPr="007C7D6A">
        <w:rPr>
          <w:sz w:val="20"/>
          <w:szCs w:val="20"/>
        </w:rPr>
        <w:t xml:space="preserve"> below 5.5 ºC/</w:t>
      </w:r>
      <w:proofErr w:type="spellStart"/>
      <w:r w:rsidRPr="007C7D6A">
        <w:rPr>
          <w:sz w:val="20"/>
          <w:szCs w:val="20"/>
        </w:rPr>
        <w:t>hr</w:t>
      </w:r>
      <w:proofErr w:type="spellEnd"/>
      <w:r w:rsidRPr="007C7D6A">
        <w:rPr>
          <w:sz w:val="20"/>
          <w:szCs w:val="20"/>
        </w:rPr>
        <w:t xml:space="preserve"> </w:t>
      </w:r>
      <w:r w:rsidRPr="007C7D6A">
        <w:rPr>
          <w:sz w:val="20"/>
          <w:szCs w:val="20"/>
        </w:rPr>
        <w:fldChar w:fldCharType="begin" w:fldLock="1"/>
      </w:r>
      <w:r w:rsidR="004F51E1">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"[18]"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C34EA9"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proofErr w:type="spellStart"/>
      <w:r w:rsidRPr="00FC1564">
        <w:rPr>
          <w:i/>
          <w:sz w:val="20"/>
          <w:szCs w:val="20"/>
        </w:rPr>
        <w:t>Q</w:t>
      </w:r>
      <w:r w:rsidRPr="00FC1564">
        <w:rPr>
          <w:i/>
          <w:sz w:val="20"/>
          <w:szCs w:val="20"/>
          <w:vertAlign w:val="subscript"/>
        </w:rPr>
        <w:t>C,avg</w:t>
      </w:r>
      <w:proofErr w:type="spellEnd"/>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5635377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00C34EA9" w:rsidRPr="00C34EA9">
        <w:rPr>
          <w:sz w:val="20"/>
          <w:szCs w:val="20"/>
        </w:rPr>
        <w:t>Figure 3</w:t>
      </w:r>
      <w:r w:rsidRPr="007C7D6A">
        <w:rPr>
          <w:sz w:val="20"/>
          <w:szCs w:val="20"/>
        </w:rPr>
        <w:fldChar w:fldCharType="end"/>
      </w:r>
      <w:r w:rsidRPr="007C7D6A">
        <w:rPr>
          <w:sz w:val="20"/>
          <w:szCs w:val="20"/>
        </w:rPr>
        <w:t xml:space="preserve"> illustrates, that the precooling begins at time </w:t>
      </w:r>
      <w:proofErr w:type="spellStart"/>
      <w:r w:rsidRPr="007C7D6A">
        <w:rPr>
          <w:i/>
          <w:iCs/>
          <w:sz w:val="20"/>
          <w:szCs w:val="20"/>
        </w:rPr>
        <w:t>t</w:t>
      </w:r>
      <w:r w:rsidRPr="007C7D6A">
        <w:rPr>
          <w:i/>
          <w:iCs/>
          <w:sz w:val="20"/>
          <w:szCs w:val="20"/>
          <w:vertAlign w:val="subscript"/>
        </w:rPr>
        <w:t>pc</w:t>
      </w:r>
      <w:proofErr w:type="spellEnd"/>
      <w:r w:rsidRPr="007C7D6A">
        <w:rPr>
          <w:i/>
          <w:sz w:val="20"/>
          <w:szCs w:val="20"/>
        </w:rPr>
        <w:t>,</w:t>
      </w:r>
      <w:r w:rsidRPr="007C7D6A">
        <w:rPr>
          <w:sz w:val="20"/>
          <w:szCs w:val="20"/>
        </w:rPr>
        <w:t xml:space="preserve"> which is </w:t>
      </w:r>
      <w:r w:rsidRPr="007C7D6A">
        <w:rPr>
          <w:i/>
          <w:sz w:val="20"/>
          <w:szCs w:val="20"/>
        </w:rPr>
        <w:t>∆</w:t>
      </w:r>
      <w:proofErr w:type="spellStart"/>
      <w:r w:rsidRPr="007C7D6A">
        <w:rPr>
          <w:i/>
          <w:sz w:val="20"/>
          <w:szCs w:val="20"/>
        </w:rPr>
        <w:t>t</w:t>
      </w:r>
      <w:r w:rsidRPr="007C7D6A">
        <w:rPr>
          <w:i/>
          <w:sz w:val="20"/>
          <w:szCs w:val="20"/>
          <w:vertAlign w:val="subscript"/>
        </w:rPr>
        <w:t>pc</w:t>
      </w:r>
      <w:proofErr w:type="spellEnd"/>
      <w:r w:rsidRPr="007C7D6A">
        <w:rPr>
          <w:i/>
          <w:sz w:val="20"/>
          <w:szCs w:val="20"/>
          <w:vertAlign w:val="subscript"/>
        </w:rPr>
        <w:t xml:space="preserve"> </w:t>
      </w:r>
      <w:r w:rsidRPr="007C7D6A">
        <w:rPr>
          <w:sz w:val="20"/>
          <w:szCs w:val="20"/>
        </w:rPr>
        <w:t xml:space="preserve">before the beginning of the coincident peak alert at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proofErr w:type="spellStart"/>
      <w:r w:rsidRPr="007C7D6A">
        <w:rPr>
          <w:i/>
          <w:sz w:val="20"/>
          <w:szCs w:val="20"/>
        </w:rPr>
        <w:t>t</w:t>
      </w:r>
      <w:r w:rsidRPr="007C7D6A">
        <w:rPr>
          <w:i/>
          <w:sz w:val="20"/>
          <w:szCs w:val="20"/>
          <w:vertAlign w:val="subscript"/>
        </w:rPr>
        <w:t>dr</w:t>
      </w:r>
      <w:proofErr w:type="spellEnd"/>
      <w:r w:rsidRPr="007C7D6A">
        <w:rPr>
          <w:i/>
          <w:sz w:val="20"/>
          <w:szCs w:val="20"/>
          <w:vertAlign w:val="subscript"/>
        </w:rPr>
        <w:t xml:space="preserve">,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The cooling system is activated again at the end of the coincident peak alert period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 </w:t>
      </w:r>
      <w:r w:rsidRPr="007C7D6A">
        <w:rPr>
          <w:i/>
          <w:sz w:val="20"/>
          <w:szCs w:val="20"/>
        </w:rPr>
        <w:t>∆</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drawing>
          <wp:inline distT="0" distB="0" distL="0" distR="0" wp14:anchorId="6141BD67" wp14:editId="3271EAF4">
            <wp:extent cx="2628900" cy="4181475"/>
            <wp:effectExtent l="0" t="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F69E96" w14:textId="6FD9A901" w:rsidR="007C7D6A" w:rsidRPr="008D2608" w:rsidRDefault="007C7D6A" w:rsidP="00DE6F71">
      <w:pPr>
        <w:jc w:val="center"/>
        <w:rPr>
          <w:rFonts w:asciiTheme="minorHAnsi" w:hAnsiTheme="minorHAnsi"/>
          <w:b/>
          <w:iCs/>
          <w:sz w:val="20"/>
          <w:szCs w:val="20"/>
        </w:rPr>
      </w:pPr>
      <w:bookmarkStart w:id="3"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00C34EA9">
        <w:rPr>
          <w:rFonts w:asciiTheme="minorHAnsi" w:hAnsiTheme="minorHAnsi"/>
          <w:b/>
          <w:iCs/>
          <w:noProof/>
          <w:sz w:val="20"/>
          <w:szCs w:val="20"/>
        </w:rPr>
        <w:t>3</w:t>
      </w:r>
      <w:r w:rsidRPr="008D2608">
        <w:rPr>
          <w:rFonts w:asciiTheme="minorHAnsi" w:hAnsiTheme="minorHAnsi"/>
          <w:b/>
          <w:sz w:val="20"/>
          <w:szCs w:val="20"/>
        </w:rPr>
        <w:fldChar w:fldCharType="end"/>
      </w:r>
      <w:bookmarkEnd w:id="3"/>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151AD7E4" w:rsidR="00DF4762" w:rsidRPr="007F01B2" w:rsidRDefault="00DF4762" w:rsidP="00DF4762">
      <w:pPr>
        <w:jc w:val="both"/>
        <w:rPr>
          <w:b/>
          <w:sz w:val="22"/>
          <w:szCs w:val="22"/>
        </w:rPr>
      </w:pPr>
      <w:r>
        <w:rPr>
          <w:b/>
          <w:sz w:val="22"/>
          <w:szCs w:val="22"/>
        </w:rPr>
        <w:t>3.2</w:t>
      </w:r>
      <w:r w:rsidRPr="007F01B2">
        <w:rPr>
          <w:b/>
          <w:sz w:val="22"/>
          <w:szCs w:val="22"/>
        </w:rPr>
        <w:t xml:space="preserve">. </w:t>
      </w:r>
      <w:r w:rsidR="009D1F10">
        <w:rPr>
          <w:b/>
          <w:sz w:val="22"/>
          <w:szCs w:val="22"/>
        </w:rPr>
        <w:t xml:space="preserve">Case Study of </w:t>
      </w:r>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257EFE00"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F51E1">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"[3,19]"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25702F26" w:rsidR="00DF4762" w:rsidRDefault="00DF4762" w:rsidP="00DF4762">
      <w:pPr>
        <w:ind w:firstLine="284"/>
        <w:jc w:val="both"/>
        <w:rPr>
          <w:sz w:val="20"/>
          <w:szCs w:val="20"/>
        </w:rPr>
      </w:pPr>
      <w:r w:rsidRPr="00DF4762">
        <w:rPr>
          <w:sz w:val="20"/>
          <w:szCs w:val="20"/>
        </w:rPr>
        <w:t xml:space="preserve">The 4CP program was selected as a case study for this analysis because it is particularly suitable for the proposed demand response scheme. </w:t>
      </w:r>
      <w:r w:rsidR="009A7F8A">
        <w:rPr>
          <w:sz w:val="20"/>
          <w:szCs w:val="20"/>
        </w:rPr>
        <w:t xml:space="preserve">The </w:t>
      </w:r>
      <w:r w:rsidRPr="00DF4762">
        <w:rPr>
          <w:sz w:val="20"/>
          <w:szCs w:val="20"/>
        </w:rPr>
        <w:t xml:space="preserve">4CP alerts are </w:t>
      </w:r>
      <w:r w:rsidRPr="00DF4762">
        <w:rPr>
          <w:sz w:val="20"/>
          <w:szCs w:val="20"/>
        </w:rPr>
        <w:t>infrequent, last a short time and can be accurately predicted due to the strong correlation between the ambient temperature and load. During the recent 6 years (2012 to 2017) all 4CP events in ERCOT occurred on weekdays between 4 PM and 5 PM, indicating that the required demand response time ∆</w:t>
      </w:r>
      <w:proofErr w:type="spellStart"/>
      <w:r w:rsidRPr="00DF4762">
        <w:rPr>
          <w:i/>
          <w:sz w:val="20"/>
          <w:szCs w:val="20"/>
        </w:rPr>
        <w:t>t</w:t>
      </w:r>
      <w:r w:rsidRPr="00DF4762">
        <w:rPr>
          <w:i/>
          <w:sz w:val="20"/>
          <w:szCs w:val="20"/>
          <w:vertAlign w:val="subscript"/>
        </w:rPr>
        <w:t>dr</w:t>
      </w:r>
      <w:proofErr w:type="spellEnd"/>
      <w:r w:rsidRPr="00DF4762">
        <w:rPr>
          <w:sz w:val="20"/>
          <w:szCs w:val="20"/>
        </w:rPr>
        <w:t xml:space="preserve"> should not exceed 1 hour </w:t>
      </w:r>
      <w:r w:rsidRPr="00DF4762">
        <w:rPr>
          <w:sz w:val="20"/>
          <w:szCs w:val="20"/>
        </w:rPr>
        <w:fldChar w:fldCharType="begin" w:fldLock="1"/>
      </w:r>
      <w:r w:rsidR="004F51E1">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"[19]"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"[2,20]"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F51E1">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"[21]"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F51E1">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F51E1">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"[3,23]"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5E9088A1" w14:textId="70A65C85" w:rsidR="009A7F8A" w:rsidRPr="007F01B2" w:rsidRDefault="009A7F8A" w:rsidP="00DF4762">
      <w:pPr>
        <w:ind w:firstLine="284"/>
        <w:jc w:val="both"/>
        <w:rPr>
          <w:sz w:val="20"/>
          <w:szCs w:val="20"/>
        </w:rPr>
      </w:pPr>
      <w:r>
        <w:rPr>
          <w:sz w:val="20"/>
          <w:szCs w:val="20"/>
        </w:rPr>
        <w:t xml:space="preserve">The challenge with </w:t>
      </w:r>
      <w:r w:rsidR="007A3F2A">
        <w:rPr>
          <w:sz w:val="20"/>
          <w:szCs w:val="20"/>
        </w:rPr>
        <w:t>coincident peak</w:t>
      </w:r>
      <w:r w:rsidR="00F01EF2">
        <w:rPr>
          <w:sz w:val="20"/>
          <w:szCs w:val="20"/>
        </w:rPr>
        <w:t xml:space="preserve"> pricing</w:t>
      </w:r>
      <w:r>
        <w:rPr>
          <w:sz w:val="20"/>
          <w:szCs w:val="20"/>
        </w:rPr>
        <w:t xml:space="preserve"> programs, from the perspective of providing grid services, is in the limited number of events that can be called annually, which may become insufficient in particularly hot years, or unnecessary in cooler summer seasons</w:t>
      </w:r>
      <w:r w:rsidR="00163593">
        <w:rPr>
          <w:sz w:val="20"/>
          <w:szCs w:val="20"/>
        </w:rPr>
        <w:t xml:space="preserve">, and does not take full advantage of the flexibility offered by </w:t>
      </w:r>
      <w:r w:rsidR="00163593" w:rsidRPr="007A3F2A">
        <w:rPr>
          <w:sz w:val="20"/>
          <w:szCs w:val="20"/>
        </w:rPr>
        <w:t>data centers</w:t>
      </w:r>
      <w:r w:rsidR="007357CA" w:rsidRPr="007A3F2A">
        <w:rPr>
          <w:sz w:val="20"/>
          <w:szCs w:val="20"/>
        </w:rPr>
        <w:t xml:space="preserve"> </w:t>
      </w:r>
      <w:r w:rsidR="007357CA" w:rsidRPr="00752FC5">
        <w:rPr>
          <w:sz w:val="20"/>
          <w:szCs w:val="20"/>
        </w:rPr>
        <w:fldChar w:fldCharType="begin" w:fldLock="1"/>
      </w:r>
      <w:r w:rsidR="007357CA" w:rsidRPr="007A3F2A">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007357CA" w:rsidRPr="00752FC5">
        <w:rPr>
          <w:sz w:val="20"/>
          <w:szCs w:val="20"/>
        </w:rPr>
        <w:fldChar w:fldCharType="separate"/>
      </w:r>
      <w:r w:rsidR="007357CA" w:rsidRPr="007A3F2A">
        <w:rPr>
          <w:noProof/>
          <w:sz w:val="20"/>
          <w:szCs w:val="20"/>
        </w:rPr>
        <w:t>[4]</w:t>
      </w:r>
      <w:r w:rsidR="007357CA" w:rsidRPr="00752FC5">
        <w:rPr>
          <w:sz w:val="20"/>
          <w:szCs w:val="20"/>
        </w:rPr>
        <w:fldChar w:fldCharType="end"/>
      </w:r>
      <w:r w:rsidRPr="007A3F2A">
        <w:rPr>
          <w:sz w:val="20"/>
          <w:szCs w:val="20"/>
        </w:rPr>
        <w:t xml:space="preserve">. In addition, </w:t>
      </w:r>
      <w:r w:rsidR="007A3F2A" w:rsidRPr="00F01EF2">
        <w:rPr>
          <w:sz w:val="20"/>
          <w:szCs w:val="20"/>
        </w:rPr>
        <w:t>coincident peak</w:t>
      </w:r>
      <w:r w:rsidRPr="007A3F2A">
        <w:rPr>
          <w:sz w:val="20"/>
          <w:szCs w:val="20"/>
        </w:rPr>
        <w:t xml:space="preserve"> programs </w:t>
      </w:r>
      <w:r w:rsidR="007A3F2A" w:rsidRPr="00F01EF2">
        <w:rPr>
          <w:sz w:val="20"/>
          <w:szCs w:val="20"/>
        </w:rPr>
        <w:t xml:space="preserve">may </w:t>
      </w:r>
      <w:r w:rsidRPr="007A3F2A">
        <w:rPr>
          <w:sz w:val="20"/>
          <w:szCs w:val="20"/>
        </w:rPr>
        <w:t>lead to peak-shifting under large scale deployment. However</w:t>
      </w:r>
      <w:r>
        <w:rPr>
          <w:sz w:val="20"/>
          <w:szCs w:val="20"/>
        </w:rPr>
        <w:t>, for the case of large consumers, the 4CP program has been relatively effective for peak reduction, and provides a useful illustrative example for this strategy</w:t>
      </w:r>
      <w:r w:rsidR="00D745D5">
        <w:rPr>
          <w:sz w:val="20"/>
          <w:szCs w:val="20"/>
        </w:rPr>
        <w:t xml:space="preserve"> </w:t>
      </w:r>
      <w:r w:rsidR="00D745D5">
        <w:rPr>
          <w:sz w:val="20"/>
          <w:szCs w:val="20"/>
        </w:rPr>
        <w:fldChar w:fldCharType="begin" w:fldLock="1"/>
      </w:r>
      <w:r w:rsidR="00D745D5">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00D745D5">
        <w:rPr>
          <w:sz w:val="20"/>
          <w:szCs w:val="20"/>
        </w:rPr>
        <w:fldChar w:fldCharType="separate"/>
      </w:r>
      <w:r w:rsidR="00D745D5" w:rsidRPr="00D745D5">
        <w:rPr>
          <w:noProof/>
          <w:sz w:val="20"/>
          <w:szCs w:val="20"/>
        </w:rPr>
        <w:t>[3]</w:t>
      </w:r>
      <w:r w:rsidR="00D745D5">
        <w:rPr>
          <w:sz w:val="20"/>
          <w:szCs w:val="20"/>
        </w:rPr>
        <w:fldChar w:fldCharType="end"/>
      </w:r>
      <w:r>
        <w:rPr>
          <w:sz w:val="20"/>
          <w:szCs w:val="20"/>
        </w:rPr>
        <w:t>.</w:t>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proofErr w:type="spellStart"/>
      <w:r w:rsidRPr="00872541">
        <w:rPr>
          <w:i/>
          <w:sz w:val="20"/>
          <w:szCs w:val="20"/>
        </w:rPr>
        <w:t>COP</w:t>
      </w:r>
      <w:r w:rsidRPr="00872541">
        <w:rPr>
          <w:i/>
          <w:sz w:val="20"/>
          <w:szCs w:val="20"/>
          <w:vertAlign w:val="subscript"/>
        </w:rPr>
        <w:t>nom</w:t>
      </w:r>
      <w:proofErr w:type="spellEnd"/>
      <w:r w:rsidRPr="00872541">
        <w:rPr>
          <w:sz w:val="20"/>
          <w:szCs w:val="20"/>
        </w:rPr>
        <w:t xml:space="preserve"> was set at 2.7 and the nominal cooling capacity per heat pump per stage </w:t>
      </w:r>
      <w:proofErr w:type="spellStart"/>
      <w:r w:rsidRPr="00872541">
        <w:rPr>
          <w:i/>
          <w:sz w:val="20"/>
          <w:szCs w:val="20"/>
        </w:rPr>
        <w:t>Q</w:t>
      </w:r>
      <w:r w:rsidRPr="00872541">
        <w:rPr>
          <w:i/>
          <w:sz w:val="20"/>
          <w:szCs w:val="20"/>
          <w:vertAlign w:val="subscript"/>
        </w:rPr>
        <w:t>C,nom</w:t>
      </w:r>
      <w:proofErr w:type="spellEnd"/>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w:t>
      </w:r>
      <w:r w:rsidRPr="00872541">
        <w:rPr>
          <w:sz w:val="20"/>
          <w:szCs w:val="20"/>
        </w:rPr>
        <w:lastRenderedPageBreak/>
        <w:t xml:space="preserve">part-load. During precooling, only the main heat pump is used. Activating the backup cooling capacity would 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 xml:space="preserve">25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 a base case facility with a maximum combined load of approximately 25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and a constant IT load of 14 </w:t>
      </w:r>
      <w:proofErr w:type="spellStart"/>
      <w:r w:rsidRPr="00872541">
        <w:rPr>
          <w:sz w:val="20"/>
          <w:szCs w:val="20"/>
        </w:rPr>
        <w:t>kW</w:t>
      </w:r>
      <w:r w:rsidRPr="00872541">
        <w:rPr>
          <w:sz w:val="20"/>
          <w:szCs w:val="20"/>
        </w:rPr>
        <w:softHyphen/>
      </w:r>
      <w:r w:rsidRPr="00872541">
        <w:rPr>
          <w:sz w:val="20"/>
          <w:szCs w:val="20"/>
          <w:vertAlign w:val="subscript"/>
        </w:rPr>
        <w:t>e</w:t>
      </w:r>
      <w:proofErr w:type="spellEnd"/>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 xml:space="preserve">250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t>Under the current ERCOT regulations only the latter system would have a sufficient peak load (&gt;100 kW) to qualify for the 4CP program, but this work assumed that both systems w</w:t>
      </w:r>
      <w:bookmarkStart w:id="4" w:name="_GoBack"/>
      <w:bookmarkEnd w:id="4"/>
      <w:r w:rsidRPr="00872541">
        <w:rPr>
          <w:sz w:val="20"/>
          <w:szCs w:val="20"/>
        </w:rPr>
        <w:t>ould be eligible for participation in 4CP.</w:t>
      </w:r>
    </w:p>
    <w:p w14:paraId="2037AAEF" w14:textId="18ACC603"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5DDE2A6A"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00C34EA9" w:rsidRPr="00C34EA9">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F51E1">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F51E1">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F51E1">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"[25]"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0EF4663B" w14:textId="77777777" w:rsidR="00F01EF2" w:rsidRDefault="00F01EF2" w:rsidP="00872541">
      <w:pPr>
        <w:ind w:firstLine="284"/>
        <w:jc w:val="both"/>
        <w:rPr>
          <w:sz w:val="20"/>
          <w:szCs w:val="20"/>
        </w:rPr>
      </w:pPr>
    </w:p>
    <w:p w14:paraId="1DC8B011" w14:textId="77777777" w:rsidR="0089155C" w:rsidRDefault="0089155C" w:rsidP="00872541">
      <w:pPr>
        <w:ind w:firstLine="284"/>
        <w:jc w:val="both"/>
        <w:rPr>
          <w:sz w:val="20"/>
          <w:szCs w:val="20"/>
        </w:rPr>
      </w:pPr>
    </w:p>
    <w:p w14:paraId="68EB1E3B" w14:textId="77777777" w:rsidR="00C34EA9" w:rsidRPr="00D46359" w:rsidRDefault="00C34EA9" w:rsidP="00C34EA9">
      <w:pPr>
        <w:rPr>
          <w:b/>
        </w:rPr>
      </w:pPr>
      <w:r>
        <w:rPr>
          <w:b/>
        </w:rPr>
        <w:t>4</w:t>
      </w:r>
      <w:r w:rsidRPr="00D46359">
        <w:rPr>
          <w:b/>
        </w:rPr>
        <w:t xml:space="preserve">. </w:t>
      </w:r>
      <w:r>
        <w:rPr>
          <w:b/>
        </w:rPr>
        <w:t>Results and discussion</w:t>
      </w:r>
      <w:r w:rsidRPr="00D46359">
        <w:rPr>
          <w:b/>
        </w:rPr>
        <w:t xml:space="preserve"> </w:t>
      </w:r>
      <w:r>
        <w:rPr>
          <w:b/>
        </w:rPr>
        <w:br/>
      </w:r>
    </w:p>
    <w:p w14:paraId="37172E9A" w14:textId="1EF3B685" w:rsidR="0089155C" w:rsidRDefault="00C34EA9" w:rsidP="00C34EA9">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C34EA9">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Pr>
          <w:sz w:val="20"/>
          <w:szCs w:val="20"/>
        </w:rPr>
        <w:t>16</w:t>
      </w:r>
      <w:r w:rsidRPr="00B3290E">
        <w:rPr>
          <w:sz w:val="20"/>
          <w:szCs w:val="20"/>
        </w:rPr>
        <w:t xml:space="preserve">:45 to </w:t>
      </w:r>
      <w:r>
        <w:rPr>
          <w:sz w:val="20"/>
          <w:szCs w:val="20"/>
        </w:rPr>
        <w:t>17:00</w:t>
      </w:r>
      <w:r w:rsidRPr="00B3290E">
        <w:rPr>
          <w:sz w:val="20"/>
          <w:szCs w:val="20"/>
        </w:rPr>
        <w:t>. The simulated response to a 4CP warning issued for the period from 4 to 5 pm (red dashed lines) was compared to the operation with no demand response (blue continuous lines).</w:t>
      </w:r>
    </w:p>
    <w:p w14:paraId="73543F05" w14:textId="77777777" w:rsidR="0089155C" w:rsidRDefault="0089155C" w:rsidP="00872541">
      <w:pPr>
        <w:ind w:firstLine="284"/>
        <w:jc w:val="both"/>
        <w:rPr>
          <w:sz w:val="20"/>
          <w:szCs w:val="20"/>
        </w:rPr>
      </w:pPr>
    </w:p>
    <w:p w14:paraId="0202A007" w14:textId="77777777" w:rsidR="0089155C" w:rsidRDefault="0089155C" w:rsidP="00872541">
      <w:pPr>
        <w:ind w:firstLine="284"/>
        <w:jc w:val="both"/>
        <w:rPr>
          <w:sz w:val="20"/>
          <w:szCs w:val="20"/>
        </w:rPr>
      </w:pPr>
    </w:p>
    <w:p w14:paraId="39C1CDBD" w14:textId="77777777" w:rsidR="0089155C" w:rsidRDefault="0089155C" w:rsidP="00872541">
      <w:pPr>
        <w:ind w:firstLine="284"/>
        <w:jc w:val="both"/>
        <w:rPr>
          <w:sz w:val="20"/>
          <w:szCs w:val="20"/>
        </w:rPr>
      </w:pPr>
    </w:p>
    <w:p w14:paraId="5AFE910B" w14:textId="77777777" w:rsidR="0089155C" w:rsidRDefault="0089155C" w:rsidP="00872541">
      <w:pPr>
        <w:ind w:firstLine="284"/>
        <w:jc w:val="both"/>
        <w:rPr>
          <w:sz w:val="20"/>
          <w:szCs w:val="20"/>
        </w:rPr>
      </w:pPr>
    </w:p>
    <w:p w14:paraId="730F4B7A" w14:textId="77777777" w:rsidR="0089155C" w:rsidRDefault="0089155C" w:rsidP="00872541">
      <w:pPr>
        <w:ind w:firstLine="284"/>
        <w:jc w:val="both"/>
        <w:rPr>
          <w:sz w:val="20"/>
          <w:szCs w:val="20"/>
        </w:rPr>
      </w:pPr>
    </w:p>
    <w:p w14:paraId="2CCF8A85" w14:textId="77777777" w:rsidR="0089155C" w:rsidRDefault="0089155C" w:rsidP="00872541">
      <w:pPr>
        <w:ind w:firstLine="284"/>
        <w:jc w:val="both"/>
        <w:rPr>
          <w:sz w:val="20"/>
          <w:szCs w:val="20"/>
        </w:rPr>
      </w:pPr>
    </w:p>
    <w:p w14:paraId="3101EC41" w14:textId="77777777" w:rsidR="0089155C" w:rsidRDefault="0089155C" w:rsidP="00872541">
      <w:pPr>
        <w:ind w:firstLine="284"/>
        <w:jc w:val="both"/>
        <w:rPr>
          <w:sz w:val="20"/>
          <w:szCs w:val="20"/>
        </w:rPr>
      </w:pPr>
    </w:p>
    <w:p w14:paraId="31D14E95" w14:textId="77777777" w:rsidR="0089155C" w:rsidRDefault="0089155C" w:rsidP="00872541">
      <w:pPr>
        <w:ind w:firstLine="284"/>
        <w:jc w:val="both"/>
        <w:rPr>
          <w:sz w:val="20"/>
          <w:szCs w:val="20"/>
        </w:rPr>
      </w:pPr>
    </w:p>
    <w:p w14:paraId="45C08338" w14:textId="77777777" w:rsidR="0089155C" w:rsidRDefault="0089155C" w:rsidP="00872541">
      <w:pPr>
        <w:ind w:firstLine="284"/>
        <w:jc w:val="both"/>
        <w:rPr>
          <w:sz w:val="20"/>
          <w:szCs w:val="20"/>
        </w:rPr>
      </w:pPr>
    </w:p>
    <w:p w14:paraId="0576D410" w14:textId="77777777" w:rsidR="0089155C" w:rsidRDefault="0089155C" w:rsidP="00872541">
      <w:pPr>
        <w:ind w:firstLine="284"/>
        <w:jc w:val="both"/>
        <w:rPr>
          <w:sz w:val="20"/>
          <w:szCs w:val="20"/>
        </w:rPr>
      </w:pPr>
    </w:p>
    <w:p w14:paraId="3AB21FB0" w14:textId="77777777" w:rsidR="0089155C" w:rsidRDefault="0089155C" w:rsidP="00872541">
      <w:pPr>
        <w:ind w:firstLine="284"/>
        <w:jc w:val="both"/>
        <w:rPr>
          <w:sz w:val="20"/>
          <w:szCs w:val="20"/>
        </w:rPr>
      </w:pPr>
    </w:p>
    <w:p w14:paraId="5E766D6A" w14:textId="77777777" w:rsidR="0089155C" w:rsidRDefault="0089155C" w:rsidP="00872541">
      <w:pPr>
        <w:ind w:firstLine="284"/>
        <w:jc w:val="both"/>
        <w:rPr>
          <w:sz w:val="20"/>
          <w:szCs w:val="20"/>
        </w:rPr>
      </w:pPr>
    </w:p>
    <w:p w14:paraId="00506A7B" w14:textId="77777777" w:rsidR="0089155C" w:rsidRDefault="0089155C" w:rsidP="00872541">
      <w:pPr>
        <w:ind w:firstLine="284"/>
        <w:jc w:val="both"/>
        <w:rPr>
          <w:sz w:val="20"/>
          <w:szCs w:val="20"/>
        </w:rPr>
      </w:pPr>
    </w:p>
    <w:p w14:paraId="2811A489" w14:textId="77777777" w:rsidR="0089155C" w:rsidRDefault="0089155C" w:rsidP="00872541">
      <w:pPr>
        <w:ind w:firstLine="284"/>
        <w:jc w:val="both"/>
        <w:rPr>
          <w:sz w:val="20"/>
          <w:szCs w:val="20"/>
        </w:rPr>
      </w:pPr>
    </w:p>
    <w:p w14:paraId="47E1E9EC" w14:textId="77777777" w:rsidR="0089155C" w:rsidRDefault="0089155C" w:rsidP="00872541">
      <w:pPr>
        <w:ind w:firstLine="284"/>
        <w:jc w:val="both"/>
        <w:rPr>
          <w:sz w:val="20"/>
          <w:szCs w:val="20"/>
        </w:rPr>
      </w:pPr>
    </w:p>
    <w:p w14:paraId="40D7D5E8" w14:textId="77777777" w:rsidR="0089155C" w:rsidRPr="00872541" w:rsidRDefault="0089155C" w:rsidP="00872541">
      <w:pPr>
        <w:ind w:firstLine="284"/>
        <w:jc w:val="both"/>
        <w:rPr>
          <w:sz w:val="20"/>
          <w:szCs w:val="20"/>
        </w:rPr>
      </w:pPr>
    </w:p>
    <w:p w14:paraId="0DF0688D" w14:textId="63373D4E" w:rsidR="00872541" w:rsidRPr="00DE6F71" w:rsidRDefault="00872541" w:rsidP="00872541">
      <w:pPr>
        <w:ind w:firstLine="284"/>
        <w:jc w:val="center"/>
        <w:rPr>
          <w:rFonts w:asciiTheme="minorHAnsi" w:hAnsiTheme="minorHAnsi"/>
          <w:b/>
          <w:iCs/>
          <w:sz w:val="20"/>
          <w:szCs w:val="20"/>
        </w:rPr>
      </w:pPr>
      <w:bookmarkStart w:id="5"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00C34EA9">
        <w:rPr>
          <w:rFonts w:asciiTheme="minorHAnsi" w:hAnsiTheme="minorHAnsi"/>
          <w:b/>
          <w:iCs/>
          <w:noProof/>
          <w:sz w:val="20"/>
          <w:szCs w:val="20"/>
        </w:rPr>
        <w:t>2</w:t>
      </w:r>
      <w:r w:rsidRPr="00DE6F71">
        <w:rPr>
          <w:rFonts w:asciiTheme="minorHAnsi" w:hAnsiTheme="minorHAnsi"/>
          <w:b/>
          <w:sz w:val="20"/>
          <w:szCs w:val="20"/>
        </w:rPr>
        <w:fldChar w:fldCharType="end"/>
      </w:r>
      <w:bookmarkEnd w:id="5"/>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F51E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F51E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7E2DCF51" w14:textId="2ED2D2BB" w:rsidR="00B3290E" w:rsidRDefault="00B3290E" w:rsidP="00B3290E">
      <w:pPr>
        <w:ind w:firstLine="284"/>
        <w:jc w:val="both"/>
        <w:rPr>
          <w:sz w:val="20"/>
          <w:szCs w:val="20"/>
        </w:rPr>
      </w:pPr>
      <w:r w:rsidRPr="00B3290E">
        <w:rPr>
          <w:sz w:val="20"/>
          <w:szCs w:val="20"/>
        </w:rPr>
        <w:t xml:space="preserve">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proofErr w:type="spellStart"/>
      <w:r w:rsidRPr="00B3290E">
        <w:rPr>
          <w:i/>
          <w:sz w:val="20"/>
          <w:szCs w:val="20"/>
        </w:rPr>
        <w:t>t</w:t>
      </w:r>
      <w:r w:rsidRPr="00B3290E">
        <w:rPr>
          <w:i/>
          <w:sz w:val="20"/>
          <w:szCs w:val="20"/>
          <w:vertAlign w:val="subscript"/>
        </w:rPr>
        <w:t>pc</w:t>
      </w:r>
      <w:proofErr w:type="spellEnd"/>
      <w:r w:rsidRPr="00B3290E">
        <w:rPr>
          <w:sz w:val="20"/>
          <w:szCs w:val="20"/>
        </w:rPr>
        <w:t xml:space="preserve"> of </w:t>
      </w:r>
      <w:r w:rsidR="007326B3">
        <w:rPr>
          <w:sz w:val="20"/>
          <w:szCs w:val="20"/>
        </w:rPr>
        <w:t>14</w:t>
      </w:r>
      <w:r w:rsidRPr="00B3290E">
        <w:rPr>
          <w:sz w:val="20"/>
          <w:szCs w:val="20"/>
        </w:rPr>
        <w:t>:26, about 1.5 hour ahead of the 4CP warning period. During precooling, the indoor temperature was lowered to 22.5 ºC (72.5 ºF) at a rate of 2.8 ºC/</w:t>
      </w:r>
      <w:proofErr w:type="spellStart"/>
      <w:r w:rsidRPr="00B3290E">
        <w:rPr>
          <w:sz w:val="20"/>
          <w:szCs w:val="20"/>
        </w:rPr>
        <w:t>hr</w:t>
      </w:r>
      <w:proofErr w:type="spellEnd"/>
      <w:r w:rsidRPr="00B3290E">
        <w:rPr>
          <w:sz w:val="20"/>
          <w:szCs w:val="20"/>
        </w:rPr>
        <w:t>, after which it increased at a rate of 3.9 ºC/</w:t>
      </w:r>
      <w:proofErr w:type="spellStart"/>
      <w:r w:rsidRPr="00B3290E">
        <w:rPr>
          <w:sz w:val="20"/>
          <w:szCs w:val="20"/>
        </w:rPr>
        <w:t>hr</w:t>
      </w:r>
      <w:proofErr w:type="spellEnd"/>
      <w:r w:rsidRPr="00B3290E">
        <w:rPr>
          <w:sz w:val="20"/>
          <w:szCs w:val="20"/>
        </w:rPr>
        <w:t xml:space="preserve"> during the 4CP warning period. Both  the indoor temperature and its rate of change were well within industry safety standards </w:t>
      </w:r>
      <w:r w:rsidRPr="00B3290E">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"[16\u201318]"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lastRenderedPageBreak/>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3">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0CFEC2BC" w:rsidR="00B3290E" w:rsidRPr="00B3290E" w:rsidRDefault="00B3290E" w:rsidP="00B3290E">
      <w:pPr>
        <w:jc w:val="center"/>
        <w:rPr>
          <w:rFonts w:asciiTheme="minorHAnsi" w:hAnsiTheme="minorHAnsi"/>
          <w:b/>
          <w:iCs/>
          <w:sz w:val="20"/>
          <w:szCs w:val="20"/>
        </w:rPr>
      </w:pPr>
      <w:bookmarkStart w:id="6" w:name="_Ref507751360"/>
      <w:bookmarkStart w:id="7"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00C34EA9">
        <w:rPr>
          <w:rFonts w:asciiTheme="minorHAnsi" w:hAnsiTheme="minorHAnsi"/>
          <w:b/>
          <w:iCs/>
          <w:noProof/>
          <w:sz w:val="20"/>
          <w:szCs w:val="20"/>
        </w:rPr>
        <w:t>4</w:t>
      </w:r>
      <w:r w:rsidRPr="00B3290E">
        <w:rPr>
          <w:rFonts w:asciiTheme="minorHAnsi" w:hAnsiTheme="minorHAnsi"/>
          <w:b/>
          <w:sz w:val="20"/>
          <w:szCs w:val="20"/>
        </w:rPr>
        <w:fldChar w:fldCharType="end"/>
      </w:r>
      <w:bookmarkEnd w:id="6"/>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7"/>
      <w:r w:rsidRPr="00B3290E">
        <w:rPr>
          <w:rFonts w:asciiTheme="minorHAnsi" w:hAnsiTheme="minorHAnsi"/>
          <w:b/>
          <w:iCs/>
          <w:sz w:val="20"/>
          <w:szCs w:val="20"/>
        </w:rPr>
        <w:t xml:space="preserve">Figures (from the top): (1) ambient temperature </w:t>
      </w:r>
      <w:proofErr w:type="spellStart"/>
      <w:r w:rsidRPr="00A030CC">
        <w:rPr>
          <w:rFonts w:asciiTheme="minorHAnsi" w:hAnsiTheme="minorHAnsi"/>
          <w:b/>
          <w:iCs/>
          <w:sz w:val="20"/>
          <w:szCs w:val="20"/>
        </w:rPr>
        <w:t>θ</w:t>
      </w:r>
      <w:r w:rsidRPr="00A030CC">
        <w:rPr>
          <w:rFonts w:asciiTheme="minorHAnsi" w:hAnsiTheme="minorHAnsi"/>
          <w:b/>
          <w:iCs/>
          <w:sz w:val="20"/>
          <w:szCs w:val="20"/>
          <w:vertAlign w:val="subscript"/>
        </w:rPr>
        <w:t>a,t</w:t>
      </w:r>
      <w:proofErr w:type="spellEnd"/>
      <w:r w:rsidRPr="00B3290E">
        <w:rPr>
          <w:rFonts w:asciiTheme="minorHAnsi" w:hAnsiTheme="minorHAnsi"/>
          <w:b/>
          <w:iCs/>
          <w:sz w:val="20"/>
          <w:szCs w:val="20"/>
        </w:rPr>
        <w:t xml:space="preserve">; (2) indoor temperature </w:t>
      </w:r>
      <w:proofErr w:type="spellStart"/>
      <w:r w:rsidRPr="00B3290E">
        <w:rPr>
          <w:rFonts w:asciiTheme="minorHAnsi" w:hAnsiTheme="minorHAnsi"/>
          <w:b/>
          <w:iCs/>
          <w:sz w:val="20"/>
          <w:szCs w:val="20"/>
        </w:rPr>
        <w:t>θ</w:t>
      </w:r>
      <w:r w:rsidRPr="00B3290E">
        <w:rPr>
          <w:rFonts w:asciiTheme="minorHAnsi" w:hAnsiTheme="minorHAnsi"/>
          <w:b/>
          <w:iCs/>
          <w:sz w:val="20"/>
          <w:szCs w:val="20"/>
          <w:vertAlign w:val="subscript"/>
        </w:rPr>
        <w:t>t</w:t>
      </w:r>
      <w:proofErr w:type="spellEnd"/>
      <w:r w:rsidRPr="00B3290E">
        <w:rPr>
          <w:rFonts w:asciiTheme="minorHAnsi" w:hAnsiTheme="minorHAnsi"/>
          <w:b/>
          <w:iCs/>
          <w:sz w:val="20"/>
          <w:szCs w:val="20"/>
        </w:rPr>
        <w:t xml:space="preserve">; (3) cooling output </w:t>
      </w:r>
      <w:proofErr w:type="spellStart"/>
      <w:r w:rsidRPr="00B3290E">
        <w:rPr>
          <w:rFonts w:asciiTheme="minorHAnsi" w:hAnsiTheme="minorHAnsi"/>
          <w:b/>
          <w:iCs/>
          <w:sz w:val="20"/>
          <w:szCs w:val="20"/>
        </w:rPr>
        <w:t>Q</w:t>
      </w:r>
      <w:r w:rsidRPr="00B3290E">
        <w:rPr>
          <w:rFonts w:asciiTheme="minorHAnsi" w:hAnsiTheme="minorHAnsi"/>
          <w:b/>
          <w:iCs/>
          <w:sz w:val="20"/>
          <w:szCs w:val="20"/>
          <w:vertAlign w:val="subscript"/>
        </w:rPr>
        <w:t>C,t</w:t>
      </w:r>
      <w:proofErr w:type="spellEnd"/>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72C4C384"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00C34EA9" w:rsidRPr="007A790E">
        <w:rPr>
          <w:rFonts w:asciiTheme="minorHAnsi" w:hAnsiTheme="minorHAnsi"/>
          <w:b/>
          <w:iCs/>
          <w:sz w:val="20"/>
          <w:szCs w:val="20"/>
        </w:rPr>
        <w:t xml:space="preserve">Figure </w:t>
      </w:r>
      <w:r w:rsidR="00C34EA9">
        <w:rPr>
          <w:rFonts w:asciiTheme="minorHAnsi" w:hAnsiTheme="minorHAnsi"/>
          <w:b/>
          <w:iCs/>
          <w:noProof/>
          <w:sz w:val="20"/>
          <w:szCs w:val="20"/>
        </w:rPr>
        <w:t>5</w:t>
      </w:r>
      <w:r w:rsidRPr="00B3290E">
        <w:rPr>
          <w:sz w:val="20"/>
          <w:szCs w:val="20"/>
        </w:rPr>
        <w:fldChar w:fldCharType="end"/>
      </w:r>
      <w:r w:rsidRPr="00B3290E">
        <w:rPr>
          <w:sz w:val="20"/>
          <w:szCs w:val="20"/>
        </w:rPr>
        <w:t xml:space="preserve"> was much more significant. In the 25 </w:t>
      </w:r>
      <w:proofErr w:type="spellStart"/>
      <w:r w:rsidRPr="00B3290E">
        <w:rPr>
          <w:sz w:val="20"/>
          <w:szCs w:val="20"/>
        </w:rPr>
        <w:t>kW</w:t>
      </w:r>
      <w:r w:rsidRPr="00B3290E">
        <w:rPr>
          <w:sz w:val="20"/>
          <w:szCs w:val="20"/>
        </w:rPr>
        <w:softHyphen/>
      </w:r>
      <w:r w:rsidRPr="00B3290E">
        <w:rPr>
          <w:sz w:val="20"/>
          <w:szCs w:val="20"/>
          <w:vertAlign w:val="subscript"/>
        </w:rPr>
        <w:t>e</w:t>
      </w:r>
      <w:proofErr w:type="spellEnd"/>
      <w:r w:rsidRPr="00B3290E">
        <w:rPr>
          <w:sz w:val="20"/>
          <w:szCs w:val="20"/>
        </w:rPr>
        <w:t xml:space="preserve"> data center, electric bills were reduced by approximately 2 %, which corresponds to $125 to $155 per year. In a 250 </w:t>
      </w:r>
      <w:proofErr w:type="spellStart"/>
      <w:r w:rsidRPr="00B3290E">
        <w:rPr>
          <w:sz w:val="20"/>
          <w:szCs w:val="20"/>
        </w:rPr>
        <w:t>kW</w:t>
      </w:r>
      <w:r w:rsidRPr="00B3290E">
        <w:rPr>
          <w:sz w:val="20"/>
          <w:szCs w:val="20"/>
          <w:vertAlign w:val="subscript"/>
        </w:rPr>
        <w:t>e</w:t>
      </w:r>
      <w:proofErr w:type="spellEnd"/>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xml:space="preserve">% reduction in the electric bill of a whole data center may not seem high, the approach may be profitable, particularly if automated and integrated with other demand response mechanisms. In addition, </w:t>
      </w:r>
      <w:r w:rsidRPr="00B3290E">
        <w:rPr>
          <w:sz w:val="20"/>
          <w:szCs w:val="20"/>
        </w:rPr>
        <w:t>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F51E1">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"[15]"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4409F1E7" w:rsidR="00B3290E" w:rsidRPr="007A790E" w:rsidRDefault="00B3290E" w:rsidP="00B3290E">
      <w:pPr>
        <w:jc w:val="center"/>
        <w:rPr>
          <w:rFonts w:asciiTheme="minorHAnsi" w:hAnsiTheme="minorHAnsi"/>
          <w:b/>
          <w:iCs/>
          <w:sz w:val="20"/>
          <w:szCs w:val="20"/>
        </w:rPr>
      </w:pPr>
      <w:bookmarkStart w:id="8"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00C34EA9">
        <w:rPr>
          <w:rFonts w:asciiTheme="minorHAnsi" w:hAnsiTheme="minorHAnsi"/>
          <w:b/>
          <w:iCs/>
          <w:noProof/>
          <w:sz w:val="20"/>
          <w:szCs w:val="20"/>
        </w:rPr>
        <w:t>5</w:t>
      </w:r>
      <w:r w:rsidRPr="007A790E">
        <w:rPr>
          <w:rFonts w:asciiTheme="minorHAnsi" w:hAnsiTheme="minorHAnsi"/>
          <w:b/>
          <w:sz w:val="20"/>
          <w:szCs w:val="20"/>
        </w:rPr>
        <w:fldChar w:fldCharType="end"/>
      </w:r>
      <w:bookmarkEnd w:id="8"/>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According to the 2011 survey of data centers, this 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precooling time </w:t>
      </w:r>
      <w:r w:rsidRPr="0061372F">
        <w:rPr>
          <w:i/>
          <w:sz w:val="20"/>
          <w:szCs w:val="20"/>
        </w:rPr>
        <w:t>∆</w:t>
      </w:r>
      <w:proofErr w:type="spellStart"/>
      <w:r w:rsidRPr="0061372F">
        <w:rPr>
          <w:i/>
          <w:sz w:val="20"/>
          <w:szCs w:val="20"/>
        </w:rPr>
        <w:t>t</w:t>
      </w:r>
      <w:r w:rsidRPr="0061372F">
        <w:rPr>
          <w:i/>
          <w:sz w:val="20"/>
          <w:szCs w:val="20"/>
          <w:vertAlign w:val="subscript"/>
        </w:rPr>
        <w:t>pc</w:t>
      </w:r>
      <w:proofErr w:type="spellEnd"/>
      <w:r w:rsidRPr="0061372F">
        <w:rPr>
          <w:sz w:val="20"/>
          <w:szCs w:val="20"/>
        </w:rPr>
        <w:t xml:space="preserve">, and 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sz w:val="20"/>
          <w:szCs w:val="20"/>
        </w:rPr>
        <w:t xml:space="preserve"> were calculated by varying the IT load and cooling capacity and by assuming indoor temperature of 26 ºC at the beginning of precooling. </w:t>
      </w:r>
    </w:p>
    <w:p w14:paraId="5FBAAA97" w14:textId="41B406EF"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r w:rsidR="00C34EA9" w:rsidRPr="00C34EA9">
        <w:rPr>
          <w:sz w:val="20"/>
          <w:szCs w:val="20"/>
        </w:rPr>
        <w:t>Figure 6</w:t>
      </w:r>
      <w:r w:rsidRPr="0061372F">
        <w:rPr>
          <w:sz w:val="20"/>
          <w:szCs w:val="20"/>
        </w:rPr>
        <w:fldChar w:fldCharType="end"/>
      </w:r>
      <w:r w:rsidRPr="0061372F">
        <w:rPr>
          <w:sz w:val="20"/>
          <w:szCs w:val="20"/>
        </w:rPr>
        <w:t xml:space="preserve"> shows the precooling temperature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and 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i/>
          <w:sz w:val="20"/>
          <w:szCs w:val="20"/>
        </w:rPr>
        <w:t xml:space="preserve"> </w:t>
      </w:r>
      <w:r w:rsidRPr="0061372F">
        <w:rPr>
          <w:sz w:val="20"/>
          <w:szCs w:val="20"/>
        </w:rPr>
        <w:t xml:space="preserve">as a function of the power density, calculated as the ratio of IT load to the computer room floor area. The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i/>
          <w:sz w:val="20"/>
          <w:szCs w:val="20"/>
        </w:rPr>
        <w:t xml:space="preserve"> </w:t>
      </w:r>
      <w:r w:rsidRPr="0061372F">
        <w:rPr>
          <w:sz w:val="20"/>
          <w:szCs w:val="20"/>
        </w:rPr>
        <w:t>exceeds 5.5 ºC/</w:t>
      </w:r>
      <w:proofErr w:type="spellStart"/>
      <w:r w:rsidRPr="0061372F">
        <w:rPr>
          <w:sz w:val="20"/>
          <w:szCs w:val="20"/>
        </w:rPr>
        <w:t>hr</w:t>
      </w:r>
      <w:proofErr w:type="spellEnd"/>
      <w:r w:rsidRPr="0061372F">
        <w:rPr>
          <w:sz w:val="20"/>
          <w:szCs w:val="20"/>
        </w:rPr>
        <w:t xml:space="preserve"> recommended by some IT equipment vendors </w:t>
      </w:r>
      <w:r w:rsidRPr="0061372F">
        <w:rPr>
          <w:sz w:val="20"/>
          <w:szCs w:val="20"/>
        </w:rPr>
        <w:fldChar w:fldCharType="begin" w:fldLock="1"/>
      </w:r>
      <w:r w:rsidR="004F51E1">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"[18]"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w:t>
      </w:r>
      <w:r w:rsidR="005F0109">
        <w:rPr>
          <w:sz w:val="20"/>
          <w:szCs w:val="20"/>
        </w:rPr>
        <w:lastRenderedPageBreak/>
        <w:t xml:space="preserve">Figure 6) </w:t>
      </w:r>
      <w:r w:rsidR="00A030CC">
        <w:rPr>
          <w:sz w:val="20"/>
          <w:szCs w:val="20"/>
        </w:rPr>
        <w:t>b</w:t>
      </w:r>
      <w:r w:rsidRPr="0061372F">
        <w:rPr>
          <w:sz w:val="20"/>
          <w:szCs w:val="20"/>
        </w:rPr>
        <w:t>ut does not reach 20 ºC/</w:t>
      </w:r>
      <w:proofErr w:type="spellStart"/>
      <w:r w:rsidRPr="0061372F">
        <w:rPr>
          <w:sz w:val="20"/>
          <w:szCs w:val="20"/>
        </w:rPr>
        <w:t>hr</w:t>
      </w:r>
      <w:proofErr w:type="spellEnd"/>
      <w:r w:rsidRPr="0061372F">
        <w:rPr>
          <w:sz w:val="20"/>
          <w:szCs w:val="20"/>
        </w:rPr>
        <w:t xml:space="preserve">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55DE1330" w:rsidR="0061372F" w:rsidRPr="007A790E" w:rsidRDefault="0061372F" w:rsidP="007A790E">
      <w:pPr>
        <w:jc w:val="center"/>
        <w:rPr>
          <w:rFonts w:asciiTheme="minorHAnsi" w:hAnsiTheme="minorHAnsi"/>
          <w:b/>
          <w:iCs/>
          <w:sz w:val="20"/>
          <w:szCs w:val="20"/>
        </w:rPr>
      </w:pPr>
      <w:bookmarkStart w:id="9" w:name="_Ref508284097"/>
      <w:bookmarkStart w:id="10"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00C34EA9">
        <w:rPr>
          <w:rFonts w:asciiTheme="minorHAnsi" w:hAnsiTheme="minorHAnsi"/>
          <w:b/>
          <w:iCs/>
          <w:noProof/>
          <w:sz w:val="20"/>
          <w:szCs w:val="20"/>
        </w:rPr>
        <w:t>6</w:t>
      </w:r>
      <w:r w:rsidRPr="007A790E">
        <w:rPr>
          <w:rFonts w:asciiTheme="minorHAnsi" w:hAnsiTheme="minorHAnsi"/>
          <w:b/>
          <w:sz w:val="20"/>
          <w:szCs w:val="20"/>
        </w:rPr>
        <w:fldChar w:fldCharType="end"/>
      </w:r>
      <w:bookmarkEnd w:id="9"/>
      <w:r w:rsidRPr="007A790E">
        <w:rPr>
          <w:rFonts w:asciiTheme="minorHAnsi" w:hAnsiTheme="minorHAnsi"/>
          <w:b/>
          <w:iCs/>
          <w:sz w:val="20"/>
          <w:szCs w:val="20"/>
        </w:rPr>
        <w:t xml:space="preserve">: Sensitivity of the precooling temperature </w:t>
      </w:r>
      <w:proofErr w:type="spellStart"/>
      <w:r w:rsidRPr="007A790E">
        <w:rPr>
          <w:rFonts w:asciiTheme="minorHAnsi" w:hAnsiTheme="minorHAnsi"/>
          <w:b/>
          <w:iCs/>
          <w:sz w:val="20"/>
          <w:szCs w:val="20"/>
        </w:rPr>
        <w:t>θ</w:t>
      </w:r>
      <w:r w:rsidRPr="007A790E">
        <w:rPr>
          <w:rFonts w:asciiTheme="minorHAnsi" w:hAnsiTheme="minorHAnsi"/>
          <w:b/>
          <w:iCs/>
          <w:sz w:val="20"/>
          <w:szCs w:val="20"/>
          <w:vertAlign w:val="subscript"/>
        </w:rPr>
        <w:t>min,pc</w:t>
      </w:r>
      <w:proofErr w:type="spellEnd"/>
      <w:r w:rsidRPr="007A790E">
        <w:rPr>
          <w:rFonts w:asciiTheme="minorHAnsi" w:hAnsiTheme="minorHAnsi"/>
          <w:b/>
          <w:iCs/>
          <w:sz w:val="20"/>
          <w:szCs w:val="20"/>
        </w:rPr>
        <w:t xml:space="preserve"> and the maximum rate of change in indoor temperature </w:t>
      </w:r>
      <w:proofErr w:type="spellStart"/>
      <w:r w:rsidRPr="007A790E">
        <w:rPr>
          <w:rFonts w:asciiTheme="minorHAnsi" w:hAnsiTheme="minorHAnsi"/>
          <w:b/>
          <w:iCs/>
          <w:sz w:val="20"/>
          <w:szCs w:val="20"/>
        </w:rPr>
        <w:t>dθ</w:t>
      </w:r>
      <w:proofErr w:type="spellEnd"/>
      <w:r w:rsidRPr="007A790E">
        <w:rPr>
          <w:rFonts w:asciiTheme="minorHAnsi" w:hAnsiTheme="minorHAnsi"/>
          <w:b/>
          <w:iCs/>
          <w:sz w:val="20"/>
          <w:szCs w:val="20"/>
        </w:rPr>
        <w:t>/</w:t>
      </w:r>
      <w:proofErr w:type="spellStart"/>
      <w:r w:rsidRPr="007A790E">
        <w:rPr>
          <w:rFonts w:asciiTheme="minorHAnsi" w:hAnsiTheme="minorHAnsi"/>
          <w:b/>
          <w:iCs/>
          <w:sz w:val="20"/>
          <w:szCs w:val="20"/>
        </w:rPr>
        <w:t>dt</w:t>
      </w:r>
      <w:proofErr w:type="spellEnd"/>
      <w:r w:rsidRPr="007A790E">
        <w:rPr>
          <w:rFonts w:asciiTheme="minorHAnsi" w:hAnsiTheme="minorHAnsi"/>
          <w:b/>
          <w:iCs/>
          <w:sz w:val="20"/>
          <w:szCs w:val="20"/>
        </w:rPr>
        <w:t xml:space="preserve"> to the power density of the computer room.</w:t>
      </w:r>
      <w:bookmarkEnd w:id="10"/>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3738FC2E"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00C34EA9" w:rsidRPr="00C34EA9">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w:t>
      </w:r>
      <w:proofErr w:type="spellStart"/>
      <w:r w:rsidRPr="0061372F">
        <w:rPr>
          <w:i/>
          <w:sz w:val="20"/>
          <w:szCs w:val="20"/>
        </w:rPr>
        <w:t>t</w:t>
      </w:r>
      <w:r w:rsidRPr="0061372F">
        <w:rPr>
          <w:i/>
          <w:sz w:val="20"/>
          <w:szCs w:val="20"/>
          <w:vertAlign w:val="subscript"/>
        </w:rPr>
        <w:t>pc</w:t>
      </w:r>
      <w:proofErr w:type="spellEnd"/>
      <w:r w:rsidRPr="0061372F">
        <w:rPr>
          <w:i/>
          <w:sz w:val="20"/>
          <w:szCs w:val="20"/>
          <w:vertAlign w:val="subscript"/>
        </w:rPr>
        <w:t xml:space="preserve">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0E6A00CC">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r="11020"/>
                    <a:stretch/>
                  </pic:blipFill>
                  <pic:spPr bwMode="auto">
                    <a:xfrm>
                      <a:off x="0" y="0"/>
                      <a:ext cx="2867025" cy="2149762"/>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2D416CF3" w:rsidR="0061372F" w:rsidRPr="007A790E" w:rsidRDefault="0061372F" w:rsidP="007A790E">
      <w:pPr>
        <w:jc w:val="center"/>
        <w:rPr>
          <w:rFonts w:asciiTheme="minorHAnsi" w:hAnsiTheme="minorHAnsi"/>
          <w:b/>
          <w:iCs/>
          <w:sz w:val="20"/>
          <w:szCs w:val="20"/>
        </w:rPr>
      </w:pPr>
      <w:bookmarkStart w:id="11" w:name="_Ref508289847"/>
      <w:bookmarkStart w:id="12"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00C34EA9">
        <w:rPr>
          <w:rFonts w:asciiTheme="minorHAnsi" w:hAnsiTheme="minorHAnsi"/>
          <w:b/>
          <w:iCs/>
          <w:noProof/>
          <w:sz w:val="20"/>
          <w:szCs w:val="20"/>
        </w:rPr>
        <w:t>7</w:t>
      </w:r>
      <w:r w:rsidRPr="007A790E">
        <w:rPr>
          <w:rFonts w:asciiTheme="minorHAnsi" w:hAnsiTheme="minorHAnsi"/>
          <w:b/>
          <w:sz w:val="20"/>
          <w:szCs w:val="20"/>
        </w:rPr>
        <w:fldChar w:fldCharType="end"/>
      </w:r>
      <w:bookmarkEnd w:id="11"/>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proofErr w:type="spellStart"/>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proofErr w:type="spellEnd"/>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12"/>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1CE5C444"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F51E1">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"[26,27]"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F51E1">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"[27]"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6395397E"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hours for which the electricity 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F51E1">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lastRenderedPageBreak/>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30C6DF09"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r w:rsidR="00163593">
        <w:rPr>
          <w:sz w:val="20"/>
          <w:szCs w:val="20"/>
        </w:rPr>
        <w:t xml:space="preserve"> The use of a pre-cooling control strategy provides a promising approach to load flexibility for data centers, wherein operators maintain control of the center loads. This strategy is also applicable to other types of demand response programs, and may provide increased cost savings, and grid benefits, under </w:t>
      </w:r>
      <w:r w:rsidR="00A46D65">
        <w:rPr>
          <w:sz w:val="20"/>
          <w:szCs w:val="20"/>
        </w:rPr>
        <w:t xml:space="preserve">program structures. </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41E152E5"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w:t>
      </w:r>
      <w:proofErr w:type="spellStart"/>
      <w:r w:rsidRPr="00B638E0">
        <w:rPr>
          <w:sz w:val="20"/>
          <w:szCs w:val="20"/>
        </w:rPr>
        <w:t>Zurmuhl</w:t>
      </w:r>
      <w:proofErr w:type="spellEnd"/>
      <w:r w:rsidRPr="00B638E0">
        <w:rPr>
          <w:sz w:val="20"/>
          <w:szCs w:val="20"/>
        </w:rPr>
        <w:t xml:space="preserve"> and Luke </w:t>
      </w:r>
      <w:proofErr w:type="spellStart"/>
      <w:r w:rsidRPr="00B638E0">
        <w:rPr>
          <w:sz w:val="20"/>
          <w:szCs w:val="20"/>
        </w:rPr>
        <w:t>Sendelbach</w:t>
      </w:r>
      <w:proofErr w:type="spellEnd"/>
      <w:r w:rsidRPr="00B638E0">
        <w:rPr>
          <w:sz w:val="20"/>
          <w:szCs w:val="20"/>
        </w:rPr>
        <w:t xml:space="preserve"> (Cornell University), Charles Kellum and David Hampton (Verizon Communications), Arian </w:t>
      </w:r>
      <w:proofErr w:type="spellStart"/>
      <w:r w:rsidRPr="00B638E0">
        <w:rPr>
          <w:sz w:val="20"/>
          <w:szCs w:val="20"/>
        </w:rPr>
        <w:t>Aghajanzadeh</w:t>
      </w:r>
      <w:proofErr w:type="spellEnd"/>
      <w:r w:rsidRPr="00B638E0">
        <w:rPr>
          <w:sz w:val="20"/>
          <w:szCs w:val="20"/>
        </w:rPr>
        <w:t>, Dale Sartor, and Steve Greenberg (LBNL)</w:t>
      </w:r>
      <w:r w:rsidR="00E94BF3">
        <w:rPr>
          <w:sz w:val="20"/>
          <w:szCs w:val="20"/>
        </w:rPr>
        <w:t>.</w:t>
      </w:r>
    </w:p>
    <w:p w14:paraId="5E2BF760" w14:textId="77777777" w:rsidR="00B3290E" w:rsidRDefault="00B3290E" w:rsidP="00B3290E">
      <w:pPr>
        <w:jc w:val="both"/>
      </w:pPr>
    </w:p>
    <w:p w14:paraId="27FB96A9" w14:textId="043D2AC5" w:rsidR="00B7412C" w:rsidRDefault="00B638E0" w:rsidP="00B638E0">
      <w:pPr>
        <w:rPr>
          <w:b/>
        </w:rPr>
      </w:pPr>
      <w:r>
        <w:rPr>
          <w:b/>
        </w:rPr>
        <w:t>7. References</w:t>
      </w:r>
    </w:p>
    <w:p w14:paraId="5942FA4C" w14:textId="77777777" w:rsidR="00B638E0" w:rsidRDefault="00B638E0" w:rsidP="00B638E0">
      <w:pPr>
        <w:rPr>
          <w:b/>
        </w:rPr>
      </w:pPr>
    </w:p>
    <w:p w14:paraId="2D96B7C7" w14:textId="2D91E93F" w:rsidR="002068AD" w:rsidRPr="002068AD" w:rsidRDefault="00B638E0" w:rsidP="002068AD">
      <w:pPr>
        <w:widowControl w:val="0"/>
        <w:autoSpaceDE w:val="0"/>
        <w:autoSpaceDN w:val="0"/>
        <w:adjustRightInd w:val="0"/>
        <w:ind w:left="640" w:hanging="64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2068AD" w:rsidRPr="002068AD">
        <w:rPr>
          <w:rFonts w:cs="Times New Roman"/>
          <w:noProof/>
          <w:sz w:val="18"/>
        </w:rPr>
        <w:t>[1]</w:t>
      </w:r>
      <w:r w:rsidR="002068AD" w:rsidRPr="002068AD">
        <w:rPr>
          <w:rFonts w:cs="Times New Roman"/>
          <w:noProof/>
          <w:sz w:val="18"/>
        </w:rPr>
        <w:tab/>
        <w:t xml:space="preserve">U.S. EPA. Emissions &amp; Generation Resource </w:t>
      </w:r>
      <w:r w:rsidR="002068AD" w:rsidRPr="002068AD">
        <w:rPr>
          <w:rFonts w:cs="Times New Roman"/>
          <w:noProof/>
          <w:sz w:val="18"/>
        </w:rPr>
        <w:t>Integrated Database (eGRID) 2018. https://www.epa.gov/energy/emissions-generation-resource-integrated-database-egrid (accessed March 3, 2018).</w:t>
      </w:r>
    </w:p>
    <w:p w14:paraId="0A151694"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w:t>
      </w:r>
      <w:r w:rsidRPr="002068AD">
        <w:rPr>
          <w:rFonts w:cs="Times New Roman"/>
          <w:noProof/>
          <w:sz w:val="18"/>
        </w:rPr>
        <w:tab/>
        <w:t>Liu Z, Wierman A, Chen Y, Razon B, Chen N. Data center demand response: Avoiding the coincident peak via workload shifting and local generation. Perform Eval 2013;70:770–91. doi:10.1016/j.peva.2013.08.014.</w:t>
      </w:r>
    </w:p>
    <w:p w14:paraId="660FD19A"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[3]</w:t>
      </w:r>
      <w:r w:rsidRPr="002068AD">
        <w:rPr>
          <w:rFonts w:cs="Times New Roman"/>
          <w:noProof/>
          <w:sz w:val="18"/>
        </w:rPr>
        <w:tab/>
        <w:t>Zarnikau J, Thal D. The response of large industrial energy consumers to four coincident peak (4CP) transmission charges in the Texas (ERCOT) market. Util Policy 2013;26:1–6. doi:10.1016/j.jup.2013.04.004.</w:t>
      </w:r>
    </w:p>
    <w:p w14:paraId="07E8F6BD"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[4]</w:t>
      </w:r>
      <w:r w:rsidRPr="002068AD">
        <w:rPr>
          <w:rFonts w:cs="Times New Roman"/>
          <w:noProof/>
          <w:sz w:val="18"/>
        </w:rPr>
        <w:tab/>
        <w:t>Liu Z, Liu I, Low S, Wierman A. Pricing Data Center Demand Response. Acm Sigmetrics 2014:111–23. doi:10.1145/2591971.2592004.</w:t>
      </w:r>
    </w:p>
    <w:p w14:paraId="0F4E5275"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[5]</w:t>
      </w:r>
      <w:r w:rsidRPr="002068AD">
        <w:rPr>
          <w:rFonts w:cs="Times New Roman"/>
          <w:noProof/>
          <w:sz w:val="18"/>
        </w:rPr>
        <w:tab/>
        <w:t>Genscape. Managing Capacity Charges with Genscape PowerBuyer 2015. https://www.genscape.com/blog/managing-capacity-charges-genscape-powerbuyer</w:t>
      </w:r>
      <w:r w:rsidRPr="002068AD">
        <w:rPr>
          <w:rFonts w:cs="Times New Roman"/>
          <w:noProof/>
          <w:sz w:val="18"/>
          <w:vertAlign w:val="superscript"/>
        </w:rPr>
        <w:t>TM</w:t>
      </w:r>
      <w:r w:rsidRPr="002068AD">
        <w:rPr>
          <w:rFonts w:cs="Times New Roman"/>
          <w:noProof/>
          <w:sz w:val="18"/>
        </w:rPr>
        <w:t xml:space="preserve"> (accessed February 23, 2018).</w:t>
      </w:r>
    </w:p>
    <w:p w14:paraId="4ABE02E8"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[6]</w:t>
      </w:r>
      <w:r w:rsidRPr="002068AD">
        <w:rPr>
          <w:rFonts w:cs="Times New Roman"/>
          <w:noProof/>
          <w:sz w:val="18"/>
        </w:rPr>
        <w:tab/>
        <w:t>PJM. PJM Manual 19: Load Forecasting and Analysis. 2017.</w:t>
      </w:r>
    </w:p>
    <w:p w14:paraId="76826528"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[7]</w:t>
      </w:r>
      <w:r w:rsidRPr="002068AD">
        <w:rPr>
          <w:rFonts w:cs="Times New Roman"/>
          <w:noProof/>
          <w:sz w:val="18"/>
        </w:rPr>
        <w:tab/>
        <w:t>Shehabi A, Smith S, Sartor D, Brown R, Herrlin M, Koomey J, et al. United States Data Center Energy Usage Report. Berkeley, CA, USA. LBNL-1005775: 2016.</w:t>
      </w:r>
    </w:p>
    <w:p w14:paraId="036F986F"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[8]</w:t>
      </w:r>
      <w:r w:rsidRPr="002068AD">
        <w:rPr>
          <w:rFonts w:cs="Times New Roman"/>
          <w:noProof/>
          <w:sz w:val="18"/>
        </w:rPr>
        <w:tab/>
        <w:t>Koch S, Mathieu JL, Callaway DS. Modeling and Control of Aggregated Heterogeneous Thermostatically Controlled Loads for Ancillary Services. Proc 17th Power Syst Comput Conf 2011:1–8. doi:10.1109/DICTA.2007.79.</w:t>
      </w:r>
    </w:p>
    <w:p w14:paraId="6B379930"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[9]</w:t>
      </w:r>
      <w:r w:rsidRPr="002068AD">
        <w:rPr>
          <w:rFonts w:cs="Times New Roman"/>
          <w:noProof/>
          <w:sz w:val="18"/>
        </w:rPr>
        <w:tab/>
        <w:t>Mathieu JL, Dyson M, Callaway DS. Using Residential Electric Loads for Fast Demand Response : The Potential Resource and Revenues, the Costs, and Policy Recommendations. Proc ACEEE Summer Study Build 2012:189–203.</w:t>
      </w:r>
    </w:p>
    <w:p w14:paraId="4EFCAF7D"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[10]</w:t>
      </w:r>
      <w:r w:rsidRPr="002068AD">
        <w:rPr>
          <w:rFonts w:cs="Times New Roman"/>
          <w:noProof/>
          <w:sz w:val="18"/>
        </w:rPr>
        <w:tab/>
        <w:t>Cheung I, Greenberg S, Mahdavi R, Brown R, Tschudi W. Energy Efficiency in Small Server Rooms : Field Surveys and Findings. 2014.</w:t>
      </w:r>
    </w:p>
    <w:p w14:paraId="4EE51B5C"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[11]</w:t>
      </w:r>
      <w:r w:rsidRPr="002068AD">
        <w:rPr>
          <w:rFonts w:cs="Times New Roman"/>
          <w:noProof/>
          <w:sz w:val="18"/>
        </w:rPr>
        <w:tab/>
        <w:t>Uptime Institute. Uptime Institute Annual Report : Data Center Density. 2011.</w:t>
      </w:r>
    </w:p>
    <w:p w14:paraId="4657872A"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[12]</w:t>
      </w:r>
      <w:r w:rsidRPr="002068AD">
        <w:rPr>
          <w:rFonts w:cs="Times New Roman"/>
          <w:noProof/>
          <w:sz w:val="18"/>
        </w:rPr>
        <w:tab/>
        <w:t>Callaway DS. Tapping the energy storage potential in electric loads to deliver load following and regulation, with application to wind energy. Energy Convers Manag 2009;50:1389–400. doi:10.1016/j.enconman.2008.12.012.</w:t>
      </w:r>
    </w:p>
    <w:p w14:paraId="26E941EE"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[13]</w:t>
      </w:r>
      <w:r w:rsidRPr="002068AD">
        <w:rPr>
          <w:rFonts w:cs="Times New Roman"/>
          <w:noProof/>
          <w:sz w:val="18"/>
        </w:rPr>
        <w:tab/>
        <w:t>Mortensen RE. A stochastic computer model for heating and cooling loads. IEEE Trans Power Syst 1988;3:1213–9.</w:t>
      </w:r>
    </w:p>
    <w:p w14:paraId="5D9321F9"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[14]</w:t>
      </w:r>
      <w:r w:rsidRPr="002068AD">
        <w:rPr>
          <w:rFonts w:cs="Times New Roman"/>
          <w:noProof/>
          <w:sz w:val="18"/>
        </w:rPr>
        <w:tab/>
        <w:t>ClimateMaster. Tranquility Compact Belt Drive (TC) Series Submittal Data. 2017.</w:t>
      </w:r>
    </w:p>
    <w:p w14:paraId="708B377A"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[15]</w:t>
      </w:r>
      <w:r w:rsidRPr="002068AD">
        <w:rPr>
          <w:rFonts w:cs="Times New Roman"/>
          <w:noProof/>
          <w:sz w:val="18"/>
        </w:rPr>
        <w:tab/>
        <w:t>Zurmuhl DP, Lukawski MZ, Aguirre GA, Schnaars GP, Beckers KF, Anderson CL, et al. Hybrid Geothermal Heat Pumps for Cooling Telecommunications Data Centers. Proc. 43rd Work. Geotherm. Reserv. Eng. Stanford Univ., Stanford, CA, USA: 2018, p. 1–11.</w:t>
      </w:r>
    </w:p>
    <w:p w14:paraId="27DC4459"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[16]</w:t>
      </w:r>
      <w:r w:rsidRPr="002068AD">
        <w:rPr>
          <w:rFonts w:cs="Times New Roman"/>
          <w:noProof/>
          <w:sz w:val="18"/>
        </w:rPr>
        <w:tab/>
        <w:t xml:space="preserve">ASHRAE. Data Center Power Equipment Thermal </w:t>
      </w:r>
      <w:r w:rsidRPr="002068AD">
        <w:rPr>
          <w:rFonts w:cs="Times New Roman"/>
          <w:noProof/>
          <w:sz w:val="18"/>
        </w:rPr>
        <w:lastRenderedPageBreak/>
        <w:t>Guidelines and Best Practices. 2016.</w:t>
      </w:r>
    </w:p>
    <w:p w14:paraId="4836DC14"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[17]</w:t>
      </w:r>
      <w:r w:rsidRPr="002068AD">
        <w:rPr>
          <w:rFonts w:cs="Times New Roman"/>
          <w:noProof/>
          <w:sz w:val="18"/>
        </w:rPr>
        <w:tab/>
        <w:t>ASHRAE. ANSI/ASHRAE Standard 90.4-2016: Energy Standard for Data Centers. 2016.</w:t>
      </w:r>
    </w:p>
    <w:p w14:paraId="7BA5CB9F"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[18]</w:t>
      </w:r>
      <w:r w:rsidRPr="002068AD">
        <w:rPr>
          <w:rFonts w:cs="Times New Roman"/>
          <w:noProof/>
          <w:sz w:val="18"/>
        </w:rPr>
        <w:tab/>
        <w:t>Oracle. Chapter 2: Environmental Requirements. Site Plan. Guid. Sun Servers, 2006.</w:t>
      </w:r>
    </w:p>
    <w:p w14:paraId="2281833B"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[19]</w:t>
      </w:r>
      <w:r w:rsidRPr="002068AD">
        <w:rPr>
          <w:rFonts w:cs="Times New Roman"/>
          <w:noProof/>
          <w:sz w:val="18"/>
        </w:rPr>
        <w:tab/>
        <w:t>ERCOT. ERCOT Four Coincident Peak Calculations 2018. http://www.ercot.com/mktinfo/data_agg/4cp (accessed February 22, 2018).</w:t>
      </w:r>
    </w:p>
    <w:p w14:paraId="5D943AA2"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[20]</w:t>
      </w:r>
      <w:r w:rsidRPr="002068AD">
        <w:rPr>
          <w:rFonts w:cs="Times New Roman"/>
          <w:noProof/>
          <w:sz w:val="18"/>
        </w:rPr>
        <w:tab/>
        <w:t>Northern Electric Cooperative. Understanding Demand &amp; the Monthly Coincident Billing Peak 2018. https://www.northernelectric.coop/demand (accessed March 8, 2018).</w:t>
      </w:r>
    </w:p>
    <w:p w14:paraId="1A9A4EA4"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[21]</w:t>
      </w:r>
      <w:r w:rsidRPr="002068AD">
        <w:rPr>
          <w:rFonts w:cs="Times New Roman"/>
          <w:noProof/>
          <w:sz w:val="18"/>
        </w:rPr>
        <w:tab/>
        <w:t>Raish C. Analysis of Load Reductions Associated with 4-CP Transmission Charges in ERCOT. Demand Side Work Gr Present 2016. http://www.ercot.com/content/wcm/key_documents_lists/87090/DSWG_4CP_Analysis_Raish.pptx (accessed February 23, 2017).</w:t>
      </w:r>
    </w:p>
    <w:p w14:paraId="2CC7B1BC"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[22]</w:t>
      </w:r>
      <w:r w:rsidRPr="002068AD">
        <w:rPr>
          <w:rFonts w:cs="Times New Roman"/>
          <w:noProof/>
          <w:sz w:val="18"/>
        </w:rPr>
        <w:tab/>
        <w:t>Public Utility Commission of Texas. Comparison of Utilities’ Generic Generic Transmission and Distribution Rates. Updated: September 1, 2017 2017. http://www.puc.texas.gov/industry/electric/rates/Trans/TDGeneric%0ARateSummary.pdf, (accessed February 15, 2018).</w:t>
      </w:r>
    </w:p>
    <w:p w14:paraId="03FA5011"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[23]</w:t>
      </w:r>
      <w:r w:rsidRPr="002068AD">
        <w:rPr>
          <w:rFonts w:cs="Times New Roman"/>
          <w:noProof/>
          <w:sz w:val="18"/>
        </w:rPr>
        <w:tab/>
        <w:t>Raish C, Turns L. ERCOT Impact Analysis of IDR Threshold Requirements. 2004.</w:t>
      </w:r>
    </w:p>
    <w:p w14:paraId="34DE5CB1"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[24]</w:t>
      </w:r>
      <w:r w:rsidRPr="002068AD">
        <w:rPr>
          <w:rFonts w:cs="Times New Roman"/>
          <w:noProof/>
          <w:sz w:val="18"/>
        </w:rPr>
        <w:tab/>
        <w:t>ERCOT. Historical real time marginal load zone and hub prices 2018. http://www.ercot.com/mktinfo/prices (accessed March 1, 2018).</w:t>
      </w:r>
    </w:p>
    <w:p w14:paraId="5196B4D6"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[25]</w:t>
      </w:r>
      <w:r w:rsidRPr="002068AD">
        <w:rPr>
          <w:rFonts w:cs="Times New Roman"/>
          <w:noProof/>
          <w:sz w:val="18"/>
        </w:rPr>
        <w:tab/>
        <w:t>NOAA. Local Climatological Data, National Oceanic and Atmospheric Administration 2017. https://www.ncdc.noaa.gov/cdo-web/datatools/lcd (accessed February 15, 2018).</w:t>
      </w:r>
    </w:p>
    <w:p w14:paraId="1DA45AF9"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[26]</w:t>
      </w:r>
      <w:r w:rsidRPr="002068AD">
        <w:rPr>
          <w:rFonts w:cs="Times New Roman"/>
          <w:noProof/>
          <w:sz w:val="18"/>
        </w:rPr>
        <w:tab/>
        <w:t>Rasmussen N. The Different Types of Air Distribution for IT Environments. 2017.</w:t>
      </w:r>
    </w:p>
    <w:p w14:paraId="4542C525" w14:textId="77777777" w:rsidR="002068AD" w:rsidRPr="002068AD" w:rsidRDefault="002068AD" w:rsidP="002068AD">
      <w:pPr>
        <w:widowControl w:val="0"/>
        <w:autoSpaceDE w:val="0"/>
        <w:autoSpaceDN w:val="0"/>
        <w:adjustRightInd w:val="0"/>
        <w:ind w:left="640" w:hanging="640"/>
        <w:rPr>
          <w:rFonts w:cs="Times New Roman"/>
          <w:noProof/>
          <w:sz w:val="18"/>
        </w:rPr>
      </w:pPr>
      <w:r w:rsidRPr="002068AD">
        <w:rPr>
          <w:rFonts w:cs="Times New Roman"/>
          <w:noProof/>
          <w:sz w:val="18"/>
        </w:rPr>
        <w:t>[27]</w:t>
      </w:r>
      <w:r w:rsidRPr="002068AD">
        <w:rPr>
          <w:rFonts w:cs="Times New Roman"/>
          <w:noProof/>
          <w:sz w:val="18"/>
        </w:rPr>
        <w:tab/>
        <w:t>Lin P, Zhang S, VanGilder J. Data Center Temperature Rise During a Cooling System Outage. 2014.</w:t>
      </w:r>
    </w:p>
    <w:p w14:paraId="6BE8350E" w14:textId="784CFB8A" w:rsidR="00B7412C" w:rsidRPr="00C72D19" w:rsidRDefault="00B638E0" w:rsidP="004F51E1">
      <w:pPr>
        <w:widowControl w:val="0"/>
        <w:autoSpaceDE w:val="0"/>
        <w:autoSpaceDN w:val="0"/>
        <w:adjustRightInd w:val="0"/>
      </w:pPr>
      <w:r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1776E"/>
    <w:rsid w:val="00033811"/>
    <w:rsid w:val="000B5DAF"/>
    <w:rsid w:val="000B6B22"/>
    <w:rsid w:val="000F3743"/>
    <w:rsid w:val="00162370"/>
    <w:rsid w:val="00163593"/>
    <w:rsid w:val="00173067"/>
    <w:rsid w:val="001B1D04"/>
    <w:rsid w:val="001B65ED"/>
    <w:rsid w:val="001C4394"/>
    <w:rsid w:val="001C6519"/>
    <w:rsid w:val="001F4B7D"/>
    <w:rsid w:val="002068AD"/>
    <w:rsid w:val="0023211D"/>
    <w:rsid w:val="0026238A"/>
    <w:rsid w:val="002714AC"/>
    <w:rsid w:val="002741BE"/>
    <w:rsid w:val="00292D65"/>
    <w:rsid w:val="002B36EF"/>
    <w:rsid w:val="002B385A"/>
    <w:rsid w:val="00317806"/>
    <w:rsid w:val="0037786C"/>
    <w:rsid w:val="003F226E"/>
    <w:rsid w:val="00402AB1"/>
    <w:rsid w:val="004220DA"/>
    <w:rsid w:val="00446994"/>
    <w:rsid w:val="004805D2"/>
    <w:rsid w:val="00492822"/>
    <w:rsid w:val="004B42DC"/>
    <w:rsid w:val="004C0420"/>
    <w:rsid w:val="004F51E1"/>
    <w:rsid w:val="00506F53"/>
    <w:rsid w:val="005228F8"/>
    <w:rsid w:val="005506DD"/>
    <w:rsid w:val="005631C2"/>
    <w:rsid w:val="005A5833"/>
    <w:rsid w:val="005A601F"/>
    <w:rsid w:val="005E7CB5"/>
    <w:rsid w:val="005F0109"/>
    <w:rsid w:val="005F1D3D"/>
    <w:rsid w:val="00613019"/>
    <w:rsid w:val="0061372F"/>
    <w:rsid w:val="006250F1"/>
    <w:rsid w:val="006D7D20"/>
    <w:rsid w:val="006E2962"/>
    <w:rsid w:val="00707ED7"/>
    <w:rsid w:val="00725334"/>
    <w:rsid w:val="007326B3"/>
    <w:rsid w:val="007357CA"/>
    <w:rsid w:val="00750E5B"/>
    <w:rsid w:val="00752FC5"/>
    <w:rsid w:val="00766130"/>
    <w:rsid w:val="00773451"/>
    <w:rsid w:val="007A3F2A"/>
    <w:rsid w:val="007A790E"/>
    <w:rsid w:val="007B6651"/>
    <w:rsid w:val="007C7D6A"/>
    <w:rsid w:val="007E3F11"/>
    <w:rsid w:val="00810B2C"/>
    <w:rsid w:val="008408F3"/>
    <w:rsid w:val="00844E16"/>
    <w:rsid w:val="00872541"/>
    <w:rsid w:val="00884ABD"/>
    <w:rsid w:val="0089155C"/>
    <w:rsid w:val="008B5CF0"/>
    <w:rsid w:val="008D2608"/>
    <w:rsid w:val="0091217F"/>
    <w:rsid w:val="009128DF"/>
    <w:rsid w:val="00963739"/>
    <w:rsid w:val="00975689"/>
    <w:rsid w:val="00983D47"/>
    <w:rsid w:val="009935D0"/>
    <w:rsid w:val="009A008D"/>
    <w:rsid w:val="009A7F8A"/>
    <w:rsid w:val="009D1F10"/>
    <w:rsid w:val="009D5A6B"/>
    <w:rsid w:val="00A030CC"/>
    <w:rsid w:val="00A15496"/>
    <w:rsid w:val="00A16409"/>
    <w:rsid w:val="00A27B5E"/>
    <w:rsid w:val="00A46D65"/>
    <w:rsid w:val="00A51987"/>
    <w:rsid w:val="00A65280"/>
    <w:rsid w:val="00A714F9"/>
    <w:rsid w:val="00A74570"/>
    <w:rsid w:val="00AB1B6C"/>
    <w:rsid w:val="00B13C66"/>
    <w:rsid w:val="00B24B23"/>
    <w:rsid w:val="00B3290E"/>
    <w:rsid w:val="00B44B2A"/>
    <w:rsid w:val="00B4652E"/>
    <w:rsid w:val="00B638E0"/>
    <w:rsid w:val="00B70835"/>
    <w:rsid w:val="00B7412C"/>
    <w:rsid w:val="00BE2931"/>
    <w:rsid w:val="00BF5574"/>
    <w:rsid w:val="00C27B36"/>
    <w:rsid w:val="00C34EA9"/>
    <w:rsid w:val="00C4788C"/>
    <w:rsid w:val="00CC16A7"/>
    <w:rsid w:val="00D011D8"/>
    <w:rsid w:val="00D25E6F"/>
    <w:rsid w:val="00D745D5"/>
    <w:rsid w:val="00D9504E"/>
    <w:rsid w:val="00DE6F71"/>
    <w:rsid w:val="00DF3089"/>
    <w:rsid w:val="00DF4762"/>
    <w:rsid w:val="00E0547F"/>
    <w:rsid w:val="00E1268F"/>
    <w:rsid w:val="00E915D5"/>
    <w:rsid w:val="00E94BF3"/>
    <w:rsid w:val="00ED1F6D"/>
    <w:rsid w:val="00F01EF2"/>
    <w:rsid w:val="00F02238"/>
    <w:rsid w:val="00F04167"/>
    <w:rsid w:val="00F05879"/>
    <w:rsid w:val="00F1773A"/>
    <w:rsid w:val="00F8763D"/>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pt>
    <dgm:pt modelId="{F392D8CD-0A52-488E-85BB-DE148B83A17F}" type="pres">
      <dgm:prSet presAssocID="{D66ECEF9-2C8E-47D2-B140-248E24817E81}" presName="sibTrans" presStyleLbl="sibTrans2D1" presStyleIdx="0" presStyleCnt="5" custScaleX="110447"/>
      <dgm:spPr/>
    </dgm:pt>
    <dgm:pt modelId="{DF3E6AAB-BFF7-4C61-B9E0-F9CD60388893}" type="pres">
      <dgm:prSet presAssocID="{D66ECEF9-2C8E-47D2-B140-248E24817E81}" presName="connectorText" presStyleLbl="sibTrans2D1" presStyleIdx="0" presStyleCnt="5"/>
      <dgm:spPr/>
    </dgm:pt>
    <dgm:pt modelId="{512708C9-1107-4132-98A7-4EBB3C4A8E24}" type="pres">
      <dgm:prSet presAssocID="{4100C01E-53E6-42AD-8C7F-D519A700E127}" presName="node" presStyleLbl="node1" presStyleIdx="1" presStyleCnt="6" custScaleX="110447">
        <dgm:presLayoutVars>
          <dgm:bulletEnabled val="1"/>
        </dgm:presLayoutVars>
      </dgm:prSet>
      <dgm:spPr/>
    </dgm:pt>
    <dgm:pt modelId="{B0610C4B-3036-42A6-9EC3-03CE7A4BD422}" type="pres">
      <dgm:prSet presAssocID="{1DB1F19A-118E-4E1C-BC31-22CCC03DC506}" presName="sibTrans" presStyleLbl="sibTrans2D1" presStyleIdx="1" presStyleCnt="5" custScaleX="110447"/>
      <dgm:spPr/>
    </dgm:pt>
    <dgm:pt modelId="{288FB219-151E-4191-8F0B-97D4B1923ED4}" type="pres">
      <dgm:prSet presAssocID="{1DB1F19A-118E-4E1C-BC31-22CCC03DC506}" presName="connectorText" presStyleLbl="sibTrans2D1" presStyleIdx="1" presStyleCnt="5"/>
      <dgm:spPr/>
    </dgm:pt>
    <dgm:pt modelId="{877B7CB4-246D-4DD4-9AAA-D4C2C8DEC9C3}" type="pres">
      <dgm:prSet presAssocID="{7902E79B-7A3A-455B-9703-5767D7BDEA28}" presName="node" presStyleLbl="node1" presStyleIdx="2" presStyleCnt="6" custScaleX="110447">
        <dgm:presLayoutVars>
          <dgm:bulletEnabled val="1"/>
        </dgm:presLayoutVars>
      </dgm:prSet>
      <dgm:spPr/>
    </dgm:pt>
    <dgm:pt modelId="{A0B110F9-C025-4D5D-B2EA-893E46309400}" type="pres">
      <dgm:prSet presAssocID="{3188473B-1E03-4995-8433-024CB97D2390}" presName="sibTrans" presStyleLbl="sibTrans2D1" presStyleIdx="2" presStyleCnt="5" custScaleX="110447"/>
      <dgm:spPr/>
    </dgm:pt>
    <dgm:pt modelId="{D30CF5CC-5F9E-4FDB-B317-26177ACB03C1}" type="pres">
      <dgm:prSet presAssocID="{3188473B-1E03-4995-8433-024CB97D2390}" presName="connectorText" presStyleLbl="sibTrans2D1" presStyleIdx="2" presStyleCnt="5"/>
      <dgm:spPr/>
    </dgm:pt>
    <dgm:pt modelId="{B50FBCCE-A64C-4543-A079-58F5A18BFC4B}" type="pres">
      <dgm:prSet presAssocID="{62FF7668-7920-4BCC-997C-7D6044A33C68}" presName="node" presStyleLbl="node1" presStyleIdx="3" presStyleCnt="6" custScaleX="110447">
        <dgm:presLayoutVars>
          <dgm:bulletEnabled val="1"/>
        </dgm:presLayoutVars>
      </dgm:prSet>
      <dgm:spPr/>
    </dgm:pt>
    <dgm:pt modelId="{352924A8-9CF2-413C-BFF0-A1E7A96FCB1B}" type="pres">
      <dgm:prSet presAssocID="{22A26498-0819-40A5-B8EE-7F3DCE12CDED}" presName="sibTrans" presStyleLbl="sibTrans2D1" presStyleIdx="3" presStyleCnt="5" custScaleX="110447"/>
      <dgm:spPr/>
    </dgm:pt>
    <dgm:pt modelId="{D95FD9A1-3EE8-4127-A9D9-D12B77435646}" type="pres">
      <dgm:prSet presAssocID="{22A26498-0819-40A5-B8EE-7F3DCE12CDED}" presName="connectorText" presStyleLbl="sibTrans2D1" presStyleIdx="3" presStyleCnt="5"/>
      <dgm:spPr/>
    </dgm:pt>
    <dgm:pt modelId="{573591A0-018C-44CC-937D-273DC7EACCB9}" type="pres">
      <dgm:prSet presAssocID="{C2F2B08E-EB5C-4655-B327-A933BE36FB63}" presName="node" presStyleLbl="node1" presStyleIdx="4" presStyleCnt="6" custScaleX="110447">
        <dgm:presLayoutVars>
          <dgm:bulletEnabled val="1"/>
        </dgm:presLayoutVars>
      </dgm:prSet>
      <dgm:spPr/>
    </dgm:pt>
    <dgm:pt modelId="{5C1D3419-A143-4B84-82A1-FAFB4A339D18}" type="pres">
      <dgm:prSet presAssocID="{546F0B3C-1054-4AD3-BC06-9B55E8D56E6E}" presName="sibTrans" presStyleLbl="sibTrans2D1" presStyleIdx="4" presStyleCnt="5" custScaleX="110447"/>
      <dgm:spPr/>
    </dgm:pt>
    <dgm:pt modelId="{CEEFF0C7-81F6-4CB0-8591-3D3D1F1B2E6B}" type="pres">
      <dgm:prSet presAssocID="{546F0B3C-1054-4AD3-BC06-9B55E8D56E6E}" presName="connectorText" presStyleLbl="sibTrans2D1" presStyleIdx="4" presStyleCnt="5"/>
      <dgm:spPr/>
    </dgm:pt>
    <dgm:pt modelId="{4E00ADCD-7DF7-4759-A64F-1964CA8E6820}" type="pres">
      <dgm:prSet presAssocID="{14D31487-6496-441B-AF04-29966D47363F}" presName="node" presStyleLbl="node1" presStyleIdx="5" presStyleCnt="6" custScaleX="110447">
        <dgm:presLayoutVars>
          <dgm:bulletEnabled val="1"/>
        </dgm:presLayoutVars>
      </dgm:prSet>
      <dgm:spPr/>
    </dgm:pt>
  </dgm:ptLst>
  <dgm:cxnLst>
    <dgm:cxn modelId="{61462607-A026-4F7D-AC01-F20917C952A3}" type="presOf" srcId="{62FF7668-7920-4BCC-997C-7D6044A33C68}" destId="{B50FBCCE-A64C-4543-A079-58F5A18BFC4B}" srcOrd="0" destOrd="0" presId="urn:microsoft.com/office/officeart/2005/8/layout/process2"/>
    <dgm:cxn modelId="{899DAF08-B818-4DA5-8AD1-9349B5D1A00B}" type="presOf" srcId="{D66ECEF9-2C8E-47D2-B140-248E24817E81}" destId="{DF3E6AAB-BFF7-4C61-B9E0-F9CD60388893}" srcOrd="1" destOrd="0" presId="urn:microsoft.com/office/officeart/2005/8/layout/process2"/>
    <dgm:cxn modelId="{2DC69914-9EE4-46E4-B7D1-F8E3146D6EBF}" srcId="{B8269897-B6DD-49BB-97AB-4F8176A6255C}" destId="{62FF7668-7920-4BCC-997C-7D6044A33C68}" srcOrd="3" destOrd="0" parTransId="{94537E21-A678-4D1C-B836-8059584BB0B9}" sibTransId="{22A26498-0819-40A5-B8EE-7F3DCE12CDED}"/>
    <dgm:cxn modelId="{1D611718-E86A-4086-A03C-F6AA0C6EE3C0}" srcId="{B8269897-B6DD-49BB-97AB-4F8176A6255C}" destId="{790FB179-FF95-4FFD-A612-73A9A04D48E2}" srcOrd="0" destOrd="0" parTransId="{E53C74E9-B56D-4156-A608-51CA82DE1BBD}" sibTransId="{D66ECEF9-2C8E-47D2-B140-248E24817E81}"/>
    <dgm:cxn modelId="{178A5B1B-03D8-4D3C-A769-FDAD9C0968E2}" type="presOf" srcId="{1DB1F19A-118E-4E1C-BC31-22CCC03DC506}" destId="{B0610C4B-3036-42A6-9EC3-03CE7A4BD422}" srcOrd="0" destOrd="0" presId="urn:microsoft.com/office/officeart/2005/8/layout/process2"/>
    <dgm:cxn modelId="{D993242D-33D1-42AB-9DC9-318561D35789}" type="presOf" srcId="{790FB179-FF95-4FFD-A612-73A9A04D48E2}" destId="{24CB1D0F-7AB1-4EC8-9AD1-531B46B2E25F}" srcOrd="0" destOrd="0" presId="urn:microsoft.com/office/officeart/2005/8/layout/process2"/>
    <dgm:cxn modelId="{6F690938-3FD1-4AC5-B6B5-ABA48AE9E278}" type="presOf" srcId="{1DB1F19A-118E-4E1C-BC31-22CCC03DC506}" destId="{288FB219-151E-4191-8F0B-97D4B1923ED4}" srcOrd="1" destOrd="0" presId="urn:microsoft.com/office/officeart/2005/8/layout/process2"/>
    <dgm:cxn modelId="{1509D847-F191-490D-9A80-FB300B676489}" type="presOf" srcId="{3188473B-1E03-4995-8433-024CB97D2390}" destId="{D30CF5CC-5F9E-4FDB-B317-26177ACB03C1}" srcOrd="1" destOrd="0" presId="urn:microsoft.com/office/officeart/2005/8/layout/process2"/>
    <dgm:cxn modelId="{E84F5E5B-90E9-4CFA-BF6F-CEFB9573D882}" type="presOf" srcId="{22A26498-0819-40A5-B8EE-7F3DCE12CDED}" destId="{D95FD9A1-3EE8-4127-A9D9-D12B77435646}" srcOrd="1"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E8AD9F74-A61E-495A-959D-A7C574FBDF14}" type="presOf" srcId="{B8269897-B6DD-49BB-97AB-4F8176A6255C}" destId="{74D4FD08-2E45-42BE-9514-CA09BB66A0EE}" srcOrd="0" destOrd="0" presId="urn:microsoft.com/office/officeart/2005/8/layout/process2"/>
    <dgm:cxn modelId="{56BE8C7A-27A2-4B27-973C-C9AF60D36F9E}" type="presOf" srcId="{546F0B3C-1054-4AD3-BC06-9B55E8D56E6E}" destId="{CEEFF0C7-81F6-4CB0-8591-3D3D1F1B2E6B}" srcOrd="1" destOrd="0" presId="urn:microsoft.com/office/officeart/2005/8/layout/process2"/>
    <dgm:cxn modelId="{722D4181-3CF2-4907-B135-9FBC54F9EFF1}" type="presOf" srcId="{22A26498-0819-40A5-B8EE-7F3DCE12CDED}" destId="{352924A8-9CF2-413C-BFF0-A1E7A96FCB1B}" srcOrd="0" destOrd="0" presId="urn:microsoft.com/office/officeart/2005/8/layout/process2"/>
    <dgm:cxn modelId="{A19D7497-EEBC-435F-92AD-ED2F7316CDCF}" type="presOf" srcId="{4100C01E-53E6-42AD-8C7F-D519A700E127}" destId="{512708C9-1107-4132-98A7-4EBB3C4A8E24}" srcOrd="0" destOrd="0" presId="urn:microsoft.com/office/officeart/2005/8/layout/process2"/>
    <dgm:cxn modelId="{9E2A7CBF-7F25-465E-9A41-155060EA009A}" type="presOf" srcId="{7902E79B-7A3A-455B-9703-5767D7BDEA28}" destId="{877B7CB4-246D-4DD4-9AAA-D4C2C8DEC9C3}" srcOrd="0" destOrd="0" presId="urn:microsoft.com/office/officeart/2005/8/layout/process2"/>
    <dgm:cxn modelId="{CABF41C6-77D3-48E0-BF2A-BDB3B3E08A50}" type="presOf" srcId="{14D31487-6496-441B-AF04-29966D47363F}" destId="{4E00ADCD-7DF7-4759-A64F-1964CA8E6820}" srcOrd="0" destOrd="0" presId="urn:microsoft.com/office/officeart/2005/8/layout/process2"/>
    <dgm:cxn modelId="{A07B6CC8-D9C0-4D41-B21C-FB01F4982AD6}" type="presOf" srcId="{546F0B3C-1054-4AD3-BC06-9B55E8D56E6E}" destId="{5C1D3419-A143-4B84-82A1-FAFB4A339D18}" srcOrd="0"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BD0DD5E5-020C-4DEB-ABDA-C7396745E4C5}" type="presOf" srcId="{C2F2B08E-EB5C-4655-B327-A933BE36FB63}" destId="{573591A0-018C-44CC-937D-273DC7EACCB9}" srcOrd="0" destOrd="0" presId="urn:microsoft.com/office/officeart/2005/8/layout/process2"/>
    <dgm:cxn modelId="{1925E6EE-2FB8-43CD-9C6B-D1A1CF538203}" srcId="{B8269897-B6DD-49BB-97AB-4F8176A6255C}" destId="{14D31487-6496-441B-AF04-29966D47363F}" srcOrd="5" destOrd="0" parTransId="{4AFC6732-233F-4D5B-9749-A78509C0C3E6}" sibTransId="{D95A5C68-3183-41BB-A3BD-927137617C26}"/>
    <dgm:cxn modelId="{BE3D26F0-B4AF-442F-BA37-A01CFAE504BA}" type="presOf" srcId="{3188473B-1E03-4995-8433-024CB97D2390}" destId="{A0B110F9-C025-4D5D-B2EA-893E46309400}" srcOrd="0" destOrd="0" presId="urn:microsoft.com/office/officeart/2005/8/layout/process2"/>
    <dgm:cxn modelId="{924371F8-9ECC-4F40-8B50-E391069871CE}" srcId="{B8269897-B6DD-49BB-97AB-4F8176A6255C}" destId="{4100C01E-53E6-42AD-8C7F-D519A700E127}" srcOrd="1" destOrd="0" parTransId="{18CDC141-8F3C-449F-8137-7C2F1C852D9B}" sibTransId="{1DB1F19A-118E-4E1C-BC31-22CCC03DC506}"/>
    <dgm:cxn modelId="{2DB16BFC-D5EA-4688-99AF-BE24B7DA8A48}" type="presOf" srcId="{D66ECEF9-2C8E-47D2-B140-248E24817E81}" destId="{F392D8CD-0A52-488E-85BB-DE148B83A17F}" srcOrd="0" destOrd="0" presId="urn:microsoft.com/office/officeart/2005/8/layout/process2"/>
    <dgm:cxn modelId="{2CC4C263-97BF-4F82-AA78-577F4E8B9012}" type="presParOf" srcId="{74D4FD08-2E45-42BE-9514-CA09BB66A0EE}" destId="{24CB1D0F-7AB1-4EC8-9AD1-531B46B2E25F}" srcOrd="0" destOrd="0" presId="urn:microsoft.com/office/officeart/2005/8/layout/process2"/>
    <dgm:cxn modelId="{388F33AD-CEA5-45A4-B85A-144F38A3F38E}" type="presParOf" srcId="{74D4FD08-2E45-42BE-9514-CA09BB66A0EE}" destId="{F392D8CD-0A52-488E-85BB-DE148B83A17F}" srcOrd="1" destOrd="0" presId="urn:microsoft.com/office/officeart/2005/8/layout/process2"/>
    <dgm:cxn modelId="{90AC75BD-7EE0-4CCF-99A9-3F661370467F}" type="presParOf" srcId="{F392D8CD-0A52-488E-85BB-DE148B83A17F}" destId="{DF3E6AAB-BFF7-4C61-B9E0-F9CD60388893}" srcOrd="0" destOrd="0" presId="urn:microsoft.com/office/officeart/2005/8/layout/process2"/>
    <dgm:cxn modelId="{ABA84C33-922A-471A-BC0B-F86B9A41DFDB}" type="presParOf" srcId="{74D4FD08-2E45-42BE-9514-CA09BB66A0EE}" destId="{512708C9-1107-4132-98A7-4EBB3C4A8E24}" srcOrd="2" destOrd="0" presId="urn:microsoft.com/office/officeart/2005/8/layout/process2"/>
    <dgm:cxn modelId="{4ED3F764-ECDD-432C-95FC-F93C14F3C6A9}" type="presParOf" srcId="{74D4FD08-2E45-42BE-9514-CA09BB66A0EE}" destId="{B0610C4B-3036-42A6-9EC3-03CE7A4BD422}" srcOrd="3" destOrd="0" presId="urn:microsoft.com/office/officeart/2005/8/layout/process2"/>
    <dgm:cxn modelId="{026EC5B1-06C0-435C-9334-00832722D6B1}" type="presParOf" srcId="{B0610C4B-3036-42A6-9EC3-03CE7A4BD422}" destId="{288FB219-151E-4191-8F0B-97D4B1923ED4}" srcOrd="0" destOrd="0" presId="urn:microsoft.com/office/officeart/2005/8/layout/process2"/>
    <dgm:cxn modelId="{A6C75AEB-E2C1-4CDF-B798-51CAFE328511}" type="presParOf" srcId="{74D4FD08-2E45-42BE-9514-CA09BB66A0EE}" destId="{877B7CB4-246D-4DD4-9AAA-D4C2C8DEC9C3}" srcOrd="4" destOrd="0" presId="urn:microsoft.com/office/officeart/2005/8/layout/process2"/>
    <dgm:cxn modelId="{882B60FB-5442-4211-86C6-5A0FF96F8E44}" type="presParOf" srcId="{74D4FD08-2E45-42BE-9514-CA09BB66A0EE}" destId="{A0B110F9-C025-4D5D-B2EA-893E46309400}" srcOrd="5" destOrd="0" presId="urn:microsoft.com/office/officeart/2005/8/layout/process2"/>
    <dgm:cxn modelId="{8261B4EB-94B1-40F3-8306-2C0D12792AF2}" type="presParOf" srcId="{A0B110F9-C025-4D5D-B2EA-893E46309400}" destId="{D30CF5CC-5F9E-4FDB-B317-26177ACB03C1}" srcOrd="0" destOrd="0" presId="urn:microsoft.com/office/officeart/2005/8/layout/process2"/>
    <dgm:cxn modelId="{9133FC00-68DC-4185-A1A0-F8A87CD6EB7E}" type="presParOf" srcId="{74D4FD08-2E45-42BE-9514-CA09BB66A0EE}" destId="{B50FBCCE-A64C-4543-A079-58F5A18BFC4B}" srcOrd="6" destOrd="0" presId="urn:microsoft.com/office/officeart/2005/8/layout/process2"/>
    <dgm:cxn modelId="{204985B3-4281-48BC-A6A1-9AA97226A494}" type="presParOf" srcId="{74D4FD08-2E45-42BE-9514-CA09BB66A0EE}" destId="{352924A8-9CF2-413C-BFF0-A1E7A96FCB1B}" srcOrd="7" destOrd="0" presId="urn:microsoft.com/office/officeart/2005/8/layout/process2"/>
    <dgm:cxn modelId="{819C54F5-09D9-4ACD-B37D-A0D3B5A48569}" type="presParOf" srcId="{352924A8-9CF2-413C-BFF0-A1E7A96FCB1B}" destId="{D95FD9A1-3EE8-4127-A9D9-D12B77435646}" srcOrd="0" destOrd="0" presId="urn:microsoft.com/office/officeart/2005/8/layout/process2"/>
    <dgm:cxn modelId="{B9750C23-B526-4DF6-A406-D9D5DCD7A847}" type="presParOf" srcId="{74D4FD08-2E45-42BE-9514-CA09BB66A0EE}" destId="{573591A0-018C-44CC-937D-273DC7EACCB9}" srcOrd="8" destOrd="0" presId="urn:microsoft.com/office/officeart/2005/8/layout/process2"/>
    <dgm:cxn modelId="{577F64CD-26DF-4790-A656-58262DD559AF}" type="presParOf" srcId="{74D4FD08-2E45-42BE-9514-CA09BB66A0EE}" destId="{5C1D3419-A143-4B84-82A1-FAFB4A339D18}" srcOrd="9" destOrd="0" presId="urn:microsoft.com/office/officeart/2005/8/layout/process2"/>
    <dgm:cxn modelId="{38F37A74-857C-45B2-B085-4573C239DFE8}" type="presParOf" srcId="{5C1D3419-A143-4B84-82A1-FAFB4A339D18}" destId="{CEEFF0C7-81F6-4CB0-8591-3D3D1F1B2E6B}" srcOrd="0" destOrd="0" presId="urn:microsoft.com/office/officeart/2005/8/layout/process2"/>
    <dgm:cxn modelId="{264F33A9-99DE-45A3-8647-4059AAB9CA3B}"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D33F4A9-4DE3-C24D-B8D3-F84F6BFF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19010</Words>
  <Characters>108363</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5</cp:revision>
  <cp:lastPrinted>2018-09-22T16:52:00Z</cp:lastPrinted>
  <dcterms:created xsi:type="dcterms:W3CDTF">2018-09-22T16:44:00Z</dcterms:created>
  <dcterms:modified xsi:type="dcterms:W3CDTF">2018-09-23T11:46:00Z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