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746CC" w14:textId="77777777" w:rsidR="00E008A8" w:rsidRDefault="00E008A8" w:rsidP="00E008A8">
      <w:pPr>
        <w:pStyle w:val="Title"/>
      </w:pPr>
      <w:bookmarkStart w:id="0" w:name="_GoBack"/>
      <w:bookmarkEnd w:id="0"/>
      <w:r>
        <w:t>Hybrid Geothermal Heat Pumps for Cooling Telecommunications Data Centers</w:t>
      </w:r>
    </w:p>
    <w:p w14:paraId="3FBDA6FB" w14:textId="77777777" w:rsidR="00C53D00" w:rsidRDefault="00E008A8" w:rsidP="00C53D00">
      <w:pPr>
        <w:spacing w:before="240" w:after="0"/>
        <w:jc w:val="center"/>
        <w:rPr>
          <w:sz w:val="20"/>
        </w:rPr>
      </w:pPr>
      <w:r>
        <w:rPr>
          <w:sz w:val="20"/>
        </w:rPr>
        <w:t>David P. Zurmuhl, Maciej Z. Lukawski, Gloria A. Aguirre, George P. Schnaars,</w:t>
      </w:r>
      <w:r w:rsidR="00A308AC">
        <w:rPr>
          <w:sz w:val="20"/>
        </w:rPr>
        <w:t xml:space="preserve"> </w:t>
      </w:r>
      <w:r w:rsidR="009C2045">
        <w:rPr>
          <w:sz w:val="20"/>
        </w:rPr>
        <w:t xml:space="preserve">Koenraad F. Beckers, </w:t>
      </w:r>
    </w:p>
    <w:p w14:paraId="79C3E6D5" w14:textId="69BBC638" w:rsidR="00E008A8" w:rsidRDefault="00C53D00" w:rsidP="00C53D00">
      <w:pPr>
        <w:spacing w:after="120"/>
        <w:jc w:val="center"/>
        <w:rPr>
          <w:sz w:val="20"/>
        </w:rPr>
      </w:pPr>
      <w:r w:rsidRPr="00C53D00">
        <w:rPr>
          <w:sz w:val="20"/>
        </w:rPr>
        <w:t>C. Lindsay Anderson</w:t>
      </w:r>
      <w:r>
        <w:rPr>
          <w:sz w:val="20"/>
        </w:rPr>
        <w:t xml:space="preserve">, </w:t>
      </w:r>
      <w:r w:rsidR="00A308AC">
        <w:rPr>
          <w:sz w:val="20"/>
        </w:rPr>
        <w:t>and</w:t>
      </w:r>
      <w:r w:rsidR="00E008A8">
        <w:rPr>
          <w:sz w:val="20"/>
        </w:rPr>
        <w:t xml:space="preserve"> Jefferson W. Tester</w:t>
      </w:r>
      <w:r w:rsidR="00D63875">
        <w:rPr>
          <w:sz w:val="20"/>
        </w:rPr>
        <w:t>*</w:t>
      </w:r>
    </w:p>
    <w:p w14:paraId="6B7B7AB4" w14:textId="21E8B795" w:rsidR="00D63875" w:rsidRPr="00D63875" w:rsidRDefault="008335CC" w:rsidP="00D63875">
      <w:pPr>
        <w:spacing w:after="120"/>
        <w:jc w:val="center"/>
        <w:rPr>
          <w:szCs w:val="18"/>
        </w:rPr>
      </w:pPr>
      <w:r>
        <w:rPr>
          <w:szCs w:val="18"/>
        </w:rPr>
        <w:t xml:space="preserve">Cornell University: </w:t>
      </w:r>
      <w:r w:rsidR="00D63875" w:rsidRPr="00157A71">
        <w:rPr>
          <w:szCs w:val="18"/>
        </w:rPr>
        <w:t>Cornell Energy Institute</w:t>
      </w:r>
      <w:r w:rsidR="00D63875" w:rsidRPr="00D63875">
        <w:rPr>
          <w:szCs w:val="18"/>
        </w:rPr>
        <w:t>,</w:t>
      </w:r>
      <w:r>
        <w:rPr>
          <w:szCs w:val="18"/>
        </w:rPr>
        <w:t xml:space="preserve"> </w:t>
      </w:r>
      <w:r w:rsidR="00EF339B">
        <w:rPr>
          <w:szCs w:val="18"/>
        </w:rPr>
        <w:t xml:space="preserve">Sibley </w:t>
      </w:r>
      <w:r>
        <w:rPr>
          <w:szCs w:val="18"/>
        </w:rPr>
        <w:t xml:space="preserve">School of Mechanical and Aerospace Engineering, </w:t>
      </w:r>
      <w:r w:rsidR="00EF339B">
        <w:rPr>
          <w:szCs w:val="18"/>
        </w:rPr>
        <w:t xml:space="preserve">Smith </w:t>
      </w:r>
      <w:r>
        <w:rPr>
          <w:szCs w:val="18"/>
        </w:rPr>
        <w:t>School of Chemical and Biomolecular Engineering, Earth &amp; Atmospheric Sciences,</w:t>
      </w:r>
      <w:r w:rsidR="00D63875" w:rsidRPr="00D63875">
        <w:rPr>
          <w:szCs w:val="18"/>
        </w:rPr>
        <w:t xml:space="preserve"> </w:t>
      </w:r>
      <w:r w:rsidR="00C53D00">
        <w:rPr>
          <w:szCs w:val="18"/>
        </w:rPr>
        <w:t xml:space="preserve">Biological and Environmental Engineering, </w:t>
      </w:r>
      <w:r w:rsidR="00D63875" w:rsidRPr="00D63875">
        <w:rPr>
          <w:szCs w:val="18"/>
        </w:rPr>
        <w:t>Ithaca NY 14853, USA</w:t>
      </w:r>
    </w:p>
    <w:p w14:paraId="7B1F3902" w14:textId="77777777" w:rsidR="00D63875" w:rsidRDefault="00D63875" w:rsidP="00D63875">
      <w:pPr>
        <w:spacing w:after="120"/>
        <w:jc w:val="center"/>
        <w:rPr>
          <w:szCs w:val="18"/>
        </w:rPr>
      </w:pPr>
      <w:r>
        <w:rPr>
          <w:szCs w:val="18"/>
        </w:rPr>
        <w:t>*c</w:t>
      </w:r>
      <w:r w:rsidRPr="00D63875">
        <w:rPr>
          <w:szCs w:val="18"/>
        </w:rPr>
        <w:t>orresponding author: jwt54@cornell.edu</w:t>
      </w:r>
    </w:p>
    <w:p w14:paraId="77DAF809" w14:textId="77777777" w:rsidR="00D63875" w:rsidRDefault="00D63875" w:rsidP="00D63875"/>
    <w:p w14:paraId="266A6A48" w14:textId="6877F73C" w:rsidR="00D63875" w:rsidRPr="00D41C15" w:rsidRDefault="00D63875" w:rsidP="00D63875">
      <w:r w:rsidRPr="00D63875">
        <w:rPr>
          <w:b/>
        </w:rPr>
        <w:t xml:space="preserve">Keywords: </w:t>
      </w:r>
      <w:r w:rsidR="009C0F65">
        <w:t>geothermal heat pump (GHP)</w:t>
      </w:r>
      <w:r w:rsidR="00D41C15">
        <w:t>,</w:t>
      </w:r>
      <w:r w:rsidR="009C0F65">
        <w:t xml:space="preserve"> ground-source heat pump (GSHP),</w:t>
      </w:r>
      <w:r w:rsidR="00D41C15">
        <w:t xml:space="preserve"> data center cooling, </w:t>
      </w:r>
      <w:r w:rsidR="009C0F65">
        <w:t xml:space="preserve">computer room air conditioning (CRAC), </w:t>
      </w:r>
      <w:r w:rsidR="001769BB">
        <w:t>air-source heat pump (ASHP)</w:t>
      </w:r>
      <w:r w:rsidR="00D41C15">
        <w:t>,</w:t>
      </w:r>
      <w:r w:rsidR="009277F8">
        <w:t xml:space="preserve"> techno-economic simulation, TRNSYS</w:t>
      </w:r>
    </w:p>
    <w:p w14:paraId="5B7C0D1E" w14:textId="77777777" w:rsidR="00D63875" w:rsidRDefault="00D63875" w:rsidP="00074B4A">
      <w:pPr>
        <w:pStyle w:val="Heading1"/>
      </w:pPr>
      <w:r>
        <w:t>Abstract</w:t>
      </w:r>
    </w:p>
    <w:p w14:paraId="4110243F" w14:textId="4E557CE7" w:rsidR="00D63875" w:rsidRDefault="007E14AE" w:rsidP="00D63875">
      <w:r>
        <w:t xml:space="preserve">The performance and economics </w:t>
      </w:r>
      <w:r w:rsidR="001F5CAF">
        <w:t>of geothermal heat pump</w:t>
      </w:r>
      <w:r w:rsidR="008335CC">
        <w:t xml:space="preserve"> (GHP)</w:t>
      </w:r>
      <w:r w:rsidR="001F5CAF">
        <w:t xml:space="preserve"> </w:t>
      </w:r>
      <w:r>
        <w:t xml:space="preserve">systems </w:t>
      </w:r>
      <w:r w:rsidR="008335CC">
        <w:t xml:space="preserve">used for year-round cooling </w:t>
      </w:r>
      <w:r w:rsidR="001769BB">
        <w:t xml:space="preserve">of </w:t>
      </w:r>
      <w:r w:rsidR="00EF339B">
        <w:t xml:space="preserve">representative small </w:t>
      </w:r>
      <w:r w:rsidR="001769BB">
        <w:t xml:space="preserve">data centers </w:t>
      </w:r>
      <w:r>
        <w:t>were analyzed and compared to</w:t>
      </w:r>
      <w:r w:rsidR="008335CC">
        <w:t xml:space="preserve"> </w:t>
      </w:r>
      <w:r w:rsidR="001F5CAF">
        <w:t>air-source heat pump</w:t>
      </w:r>
      <w:r w:rsidR="008335CC">
        <w:t>s (ASHPs)</w:t>
      </w:r>
      <w:r w:rsidR="001F5CAF">
        <w:t>. A numerical model</w:t>
      </w:r>
      <w:r w:rsidR="008335CC">
        <w:t xml:space="preserve"> was</w:t>
      </w:r>
      <w:r>
        <w:t xml:space="preserve"> developed </w:t>
      </w:r>
      <w:r w:rsidR="008335CC">
        <w:t xml:space="preserve">in TRNSYS software </w:t>
      </w:r>
      <w:r>
        <w:t xml:space="preserve">to simulate </w:t>
      </w:r>
      <w:r w:rsidR="001F5CAF">
        <w:t xml:space="preserve">the operation of </w:t>
      </w:r>
      <w:r w:rsidR="008335CC">
        <w:t xml:space="preserve">air-source and geothermal heat pumps with and without </w:t>
      </w:r>
      <w:r w:rsidR="00EF339B">
        <w:t xml:space="preserve">supplementary air cooled heat exchangers – dry coolers (DCs). The model was </w:t>
      </w:r>
      <w:r w:rsidR="008335CC">
        <w:t>validated using dat</w:t>
      </w:r>
      <w:r w:rsidR="00154461">
        <w:t xml:space="preserve">a from </w:t>
      </w:r>
      <w:r w:rsidR="001F5CAF">
        <w:t xml:space="preserve">an </w:t>
      </w:r>
      <w:r w:rsidR="00154461">
        <w:t>e</w:t>
      </w:r>
      <w:r w:rsidR="001769BB">
        <w:t xml:space="preserve">xperimental geothermal </w:t>
      </w:r>
      <w:r w:rsidR="00154461">
        <w:t>system</w:t>
      </w:r>
      <w:r w:rsidR="00B317A8">
        <w:t xml:space="preserve"> in</w:t>
      </w:r>
      <w:r w:rsidR="00154461">
        <w:t>stalled in</w:t>
      </w:r>
      <w:r w:rsidR="00B317A8">
        <w:t xml:space="preserve"> Ithaca</w:t>
      </w:r>
      <w:r w:rsidR="00154461">
        <w:t>, NY, USA</w:t>
      </w:r>
      <w:r w:rsidR="001F5CAF">
        <w:t>. The coefficient of performance</w:t>
      </w:r>
      <w:r w:rsidR="00154461">
        <w:t xml:space="preserve"> (COP)</w:t>
      </w:r>
      <w:r w:rsidR="001F5CAF">
        <w:t xml:space="preserve"> </w:t>
      </w:r>
      <w:r w:rsidR="00154461">
        <w:t>and cooling capacity of the GHPs were calculated over a 20 year lifetime and compared to the performance of ASHPs</w:t>
      </w:r>
      <w:r w:rsidR="001F5CAF">
        <w:t xml:space="preserve">. The </w:t>
      </w:r>
      <w:r w:rsidR="001769BB">
        <w:t>total cost of ownership (TCO) of each of the cooling systems was</w:t>
      </w:r>
      <w:r w:rsidR="00154461">
        <w:t xml:space="preserve"> calcul</w:t>
      </w:r>
      <w:r w:rsidR="001769BB">
        <w:t>ated to assess its</w:t>
      </w:r>
      <w:r w:rsidR="00154461">
        <w:t xml:space="preserve"> economic performance. Both the length of the geothermal </w:t>
      </w:r>
      <w:r w:rsidR="001F5CAF">
        <w:t>borehole</w:t>
      </w:r>
      <w:r w:rsidR="00154461">
        <w:t xml:space="preserve"> heat exchangers (BHEs)</w:t>
      </w:r>
      <w:r w:rsidR="001F5CAF">
        <w:t xml:space="preserve"> and the dry cooler </w:t>
      </w:r>
      <w:r w:rsidR="00154461">
        <w:t>temperature</w:t>
      </w:r>
      <w:r w:rsidR="003D5215">
        <w:t xml:space="preserve"> set point </w:t>
      </w:r>
      <w:r w:rsidR="00154461">
        <w:t>we</w:t>
      </w:r>
      <w:r w:rsidR="001769BB">
        <w:t>re optimized to minimize the TCO</w:t>
      </w:r>
      <w:r w:rsidR="00154461">
        <w:t xml:space="preserve"> of the geothermal systems.</w:t>
      </w:r>
      <w:r w:rsidR="003D5215">
        <w:t xml:space="preserve"> </w:t>
      </w:r>
      <w:r w:rsidR="00154461">
        <w:t>Lastly, a p</w:t>
      </w:r>
      <w:r w:rsidR="001F5CAF">
        <w:t>reliminary ana</w:t>
      </w:r>
      <w:r w:rsidR="00B317A8">
        <w:t>lysis of the performance of geothermal heat pump</w:t>
      </w:r>
      <w:r w:rsidR="00154461">
        <w:t xml:space="preserve"> cooling systems was performed</w:t>
      </w:r>
      <w:r w:rsidR="00B317A8">
        <w:t xml:space="preserve"> for</w:t>
      </w:r>
      <w:r w:rsidR="00154461">
        <w:t xml:space="preserve"> other locations including</w:t>
      </w:r>
      <w:r w:rsidR="00B317A8">
        <w:t xml:space="preserve"> Dallas, TX, Sacramento, CA, and Minneapolis, MN.</w:t>
      </w:r>
    </w:p>
    <w:p w14:paraId="234B5164" w14:textId="77777777" w:rsidR="00D63875" w:rsidRDefault="00D63875" w:rsidP="00D63875">
      <w:pPr>
        <w:pStyle w:val="Heading1"/>
      </w:pPr>
      <w:r>
        <w:t>1. introduction</w:t>
      </w:r>
    </w:p>
    <w:p w14:paraId="1B7E2E44" w14:textId="26D0F144" w:rsidR="00596618" w:rsidRDefault="0013291C" w:rsidP="00596618">
      <w:r>
        <w:t>Geothermal or ground-</w:t>
      </w:r>
      <w:r w:rsidR="00596618">
        <w:t>source heat pumps</w:t>
      </w:r>
      <w:r w:rsidR="001755E6">
        <w:t xml:space="preserve"> (GHPs)</w:t>
      </w:r>
      <w:r w:rsidR="008346F5">
        <w:t xml:space="preserve"> utilize the relatively shallow ground as a heat source or heat sink to provide space or water heating and/or</w:t>
      </w:r>
      <w:r w:rsidR="00A42B1D">
        <w:t xml:space="preserve"> cooling. Depending on factors such as climate</w:t>
      </w:r>
      <w:r w:rsidR="00EF339B">
        <w:t>, particularly ambient air temperature and humidity,</w:t>
      </w:r>
      <w:r w:rsidR="00A42B1D">
        <w:t xml:space="preserve"> and price of electricity, GHPs are often the most energy efficient and cost effective systems for space cooling.</w:t>
      </w:r>
    </w:p>
    <w:p w14:paraId="52C19E60" w14:textId="615E6C87" w:rsidR="00B1097B" w:rsidRDefault="0013291C" w:rsidP="00596618">
      <w:r>
        <w:t>The IT equipment in data centers produces large amounts of heat and typical</w:t>
      </w:r>
      <w:r w:rsidR="00B1097B">
        <w:t xml:space="preserve">ly requires </w:t>
      </w:r>
      <w:r>
        <w:t>year-round</w:t>
      </w:r>
      <w:r w:rsidR="00B1097B">
        <w:t xml:space="preserve"> cooling</w:t>
      </w:r>
      <w:r>
        <w:t>. About 40% of the energy</w:t>
      </w:r>
      <w:r w:rsidR="0022631E">
        <w:t xml:space="preserve"> consumed by a data center is</w:t>
      </w:r>
      <w:r w:rsidR="00154461">
        <w:t xml:space="preserve"> typically</w:t>
      </w:r>
      <w:r w:rsidR="0022631E">
        <w:t xml:space="preserve"> used for c</w:t>
      </w:r>
      <w:r>
        <w:t xml:space="preserve">ooling the IT equipment, </w:t>
      </w:r>
      <w:r w:rsidR="00154461">
        <w:t>which corresponds to</w:t>
      </w:r>
      <w:r w:rsidR="0022631E">
        <w:t xml:space="preserve"> </w:t>
      </w:r>
      <w:r w:rsidR="00154461">
        <w:t>0.5</w:t>
      </w:r>
      <w:r>
        <w:t xml:space="preserve">% of the world’s electricity </w:t>
      </w:r>
      <w:r w:rsidR="00154461">
        <w:t>demand</w:t>
      </w:r>
      <w:r w:rsidR="005E5941">
        <w:t xml:space="preserve"> </w:t>
      </w:r>
      <w:r w:rsidR="005E5941">
        <w:rPr>
          <w:noProof/>
        </w:rPr>
        <w:t xml:space="preserve"> (Song, et al., 2015)</w:t>
      </w:r>
      <w:r w:rsidR="005A658C">
        <w:t>.</w:t>
      </w:r>
      <w:r>
        <w:t xml:space="preserve"> </w:t>
      </w:r>
      <w:r w:rsidR="00154461">
        <w:t xml:space="preserve">The most commonly used data center cooling technologies rely on </w:t>
      </w:r>
      <w:r w:rsidR="00A42B1D">
        <w:t xml:space="preserve">air-source heat pumps (ASHPs), which </w:t>
      </w:r>
      <w:r w:rsidR="00154461">
        <w:t>use</w:t>
      </w:r>
      <w:r w:rsidR="00771AB2">
        <w:t xml:space="preserve"> the atmosphere as a heat sink. </w:t>
      </w:r>
      <w:r w:rsidR="0091214C">
        <w:t>An alternative solution is to use geothermal heat pumps</w:t>
      </w:r>
      <w:r w:rsidR="003B098D">
        <w:t xml:space="preserve"> utilizing a set of vertical boreholes</w:t>
      </w:r>
      <w:r w:rsidR="0091214C">
        <w:t xml:space="preserve"> which</w:t>
      </w:r>
      <w:r w:rsidR="00A42B1D">
        <w:t xml:space="preserve"> are</w:t>
      </w:r>
      <w:r w:rsidR="009C0F65">
        <w:t xml:space="preserve"> typically</w:t>
      </w:r>
      <w:r w:rsidR="00A42B1D">
        <w:t xml:space="preserve"> more efficient because the ground remains at a moderate temperature year-round, whereas the </w:t>
      </w:r>
      <w:r w:rsidR="009C0F65">
        <w:t>ambient</w:t>
      </w:r>
      <w:r w:rsidR="003B098D">
        <w:t xml:space="preserve"> air</w:t>
      </w:r>
      <w:r w:rsidR="009C0F65">
        <w:t xml:space="preserve"> temperature</w:t>
      </w:r>
      <w:r w:rsidR="00A42B1D">
        <w:t xml:space="preserve"> fluctuates throughout the year. </w:t>
      </w:r>
      <w:r w:rsidR="0010268F">
        <w:t>Although the initial cost of</w:t>
      </w:r>
      <w:r w:rsidR="00B1097B">
        <w:t xml:space="preserve"> GHP system</w:t>
      </w:r>
      <w:r w:rsidR="0010268F">
        <w:t>s</w:t>
      </w:r>
      <w:r w:rsidR="00B1097B">
        <w:t xml:space="preserve"> can be significantly hi</w:t>
      </w:r>
      <w:r w:rsidR="005621E4">
        <w:t xml:space="preserve">gher than </w:t>
      </w:r>
      <w:r w:rsidR="0091214C">
        <w:t xml:space="preserve">the cost of </w:t>
      </w:r>
      <w:r w:rsidR="005621E4">
        <w:t>ASHPs</w:t>
      </w:r>
      <w:r w:rsidR="00B1097B">
        <w:t xml:space="preserve">, </w:t>
      </w:r>
      <w:r w:rsidR="00A42B1D">
        <w:t>the red</w:t>
      </w:r>
      <w:r w:rsidR="0010268F">
        <w:t>uced electricity consumption of</w:t>
      </w:r>
      <w:r w:rsidR="0091214C">
        <w:t xml:space="preserve"> geothermal system</w:t>
      </w:r>
      <w:r w:rsidR="0010268F">
        <w:t>s over the course of their lifetimes</w:t>
      </w:r>
      <w:r w:rsidR="00A42B1D">
        <w:t xml:space="preserve"> can allow</w:t>
      </w:r>
      <w:r w:rsidR="0010268F">
        <w:t xml:space="preserve"> the initial</w:t>
      </w:r>
      <w:r w:rsidR="00B1097B">
        <w:t xml:space="preserve"> cost to be recovered </w:t>
      </w:r>
      <w:r w:rsidR="00A42B1D">
        <w:t>while reducing the</w:t>
      </w:r>
      <w:r>
        <w:t xml:space="preserve"> carbon footprint of data centers.</w:t>
      </w:r>
    </w:p>
    <w:p w14:paraId="68E5A123" w14:textId="6E108B59" w:rsidR="00125B18" w:rsidRDefault="0091214C" w:rsidP="00596618">
      <w:r>
        <w:t xml:space="preserve">Unlike </w:t>
      </w:r>
      <w:r w:rsidR="001769BB">
        <w:t>geothermal heat pump</w:t>
      </w:r>
      <w:r>
        <w:t>s used in</w:t>
      </w:r>
      <w:r w:rsidR="00B1097B">
        <w:t xml:space="preserve"> </w:t>
      </w:r>
      <w:r>
        <w:t>residential buildings</w:t>
      </w:r>
      <w:r w:rsidR="00B1097B">
        <w:t xml:space="preserve"> </w:t>
      </w:r>
      <w:r>
        <w:t>for both</w:t>
      </w:r>
      <w:r w:rsidR="0010268F">
        <w:t xml:space="preserve"> space</w:t>
      </w:r>
      <w:r>
        <w:t xml:space="preserve"> heating and cooling, a</w:t>
      </w:r>
      <w:r w:rsidR="00B1097B">
        <w:t xml:space="preserve"> system </w:t>
      </w:r>
      <w:r>
        <w:t xml:space="preserve">used </w:t>
      </w:r>
      <w:r w:rsidR="00B1097B">
        <w:t xml:space="preserve">for data center cooling needs to transfer heat </w:t>
      </w:r>
      <w:r w:rsidR="006439CD">
        <w:t>to the subsurface</w:t>
      </w:r>
      <w:r w:rsidR="00B1097B">
        <w:t xml:space="preserve"> year-round. </w:t>
      </w:r>
      <w:r>
        <w:t xml:space="preserve">One of the main concerns of such systems </w:t>
      </w:r>
      <w:r w:rsidR="0013291C">
        <w:t>is the</w:t>
      </w:r>
      <w:r w:rsidR="006439CD">
        <w:t xml:space="preserve"> potential</w:t>
      </w:r>
      <w:r w:rsidR="0013291C">
        <w:t xml:space="preserve"> </w:t>
      </w:r>
      <w:r w:rsidR="00B1097B">
        <w:t>increase in temperature of the geothermal well field</w:t>
      </w:r>
      <w:r w:rsidR="006439CD">
        <w:t xml:space="preserve"> over the lifetime of the system, resulting in diminished efficiency and cooling</w:t>
      </w:r>
      <w:r>
        <w:t xml:space="preserve"> capacity of the heat </w:t>
      </w:r>
      <w:r w:rsidR="0010268F">
        <w:t>pumps. In order to mitigate the expected</w:t>
      </w:r>
      <w:r>
        <w:t xml:space="preserve"> temperature increase</w:t>
      </w:r>
      <w:r w:rsidR="006439CD">
        <w:t>,</w:t>
      </w:r>
      <w:r>
        <w:t xml:space="preserve"> an air-cooled heat exchanger – dry cooler (DC</w:t>
      </w:r>
      <w:r w:rsidR="009C0F65">
        <w:t>)</w:t>
      </w:r>
      <w:r w:rsidR="006439CD">
        <w:t xml:space="preserve"> can be </w:t>
      </w:r>
      <w:r>
        <w:t>added to the system</w:t>
      </w:r>
      <w:r w:rsidR="006439CD">
        <w:t xml:space="preserve"> to transfer heat generated by the IT equipment and stored in the subsurface to the atmosphere</w:t>
      </w:r>
      <w:r w:rsidR="003B098D">
        <w:t xml:space="preserve"> when</w:t>
      </w:r>
      <w:r w:rsidR="001769BB">
        <w:t xml:space="preserve"> ambient temperatures are</w:t>
      </w:r>
      <w:r w:rsidR="006439CD">
        <w:t xml:space="preserve"> low.</w:t>
      </w:r>
    </w:p>
    <w:p w14:paraId="4C63BADE" w14:textId="2658C2F0" w:rsidR="00715163" w:rsidRDefault="000D34FC" w:rsidP="00596618">
      <w:r w:rsidRPr="00715163">
        <w:t>A</w:t>
      </w:r>
      <w:r w:rsidR="0091214C">
        <w:t>n earlier</w:t>
      </w:r>
      <w:r w:rsidRPr="00715163">
        <w:t xml:space="preserve"> study </w:t>
      </w:r>
      <w:r w:rsidR="004A7756">
        <w:t>comparing the performance and economics of differe</w:t>
      </w:r>
      <w:r w:rsidR="005A2FFF">
        <w:t xml:space="preserve">nt </w:t>
      </w:r>
      <w:r w:rsidR="0091214C">
        <w:t>cooling systems for cellular tower shelters (including ASHPs and GHPs equipped with</w:t>
      </w:r>
      <w:r w:rsidR="004A7756">
        <w:t xml:space="preserve"> dry coolers</w:t>
      </w:r>
      <w:r w:rsidR="0091214C">
        <w:t xml:space="preserve"> and/or</w:t>
      </w:r>
      <w:r w:rsidR="004A7756">
        <w:t xml:space="preserve"> air economizers</w:t>
      </w:r>
      <w:r w:rsidR="0091214C">
        <w:t>)</w:t>
      </w:r>
      <w:r w:rsidR="004A7756">
        <w:t xml:space="preserve"> </w:t>
      </w:r>
      <w:r w:rsidR="0091214C">
        <w:t>was conducted in our</w:t>
      </w:r>
      <w:r w:rsidR="004A7756">
        <w:t xml:space="preserve"> group </w:t>
      </w:r>
      <w:r w:rsidRPr="00715163">
        <w:t>and is documented in</w:t>
      </w:r>
      <w:r w:rsidR="00FB437D">
        <w:t xml:space="preserve"> </w:t>
      </w:r>
      <w:r w:rsidR="005E5941">
        <w:t>Beckers et al. (2014),</w:t>
      </w:r>
      <w:r w:rsidRPr="00715163">
        <w:t xml:space="preserve"> </w:t>
      </w:r>
      <w:r w:rsidR="005E5941">
        <w:t xml:space="preserve">Beckers </w:t>
      </w:r>
      <w:r w:rsidR="004A7756">
        <w:t xml:space="preserve">(2016), </w:t>
      </w:r>
      <w:r w:rsidRPr="00715163">
        <w:t>and Aguirre et al. (2017).</w:t>
      </w:r>
      <w:r w:rsidR="005A2FFF">
        <w:t xml:space="preserve"> </w:t>
      </w:r>
      <w:r w:rsidR="007C39DD">
        <w:t xml:space="preserve">The study utilized computer models validated against data from </w:t>
      </w:r>
      <w:r w:rsidR="009C0F65">
        <w:t>a cellular tower demonstration site</w:t>
      </w:r>
      <w:r w:rsidR="007C39DD">
        <w:t xml:space="preserve"> in Varna, NY and concluded</w:t>
      </w:r>
      <w:r w:rsidR="005A2FFF">
        <w:t xml:space="preserve"> that</w:t>
      </w:r>
      <w:r w:rsidR="0091214C">
        <w:t xml:space="preserve"> a geothermal heat pump equipped with an air economizer provided</w:t>
      </w:r>
      <w:r w:rsidR="005A2FFF">
        <w:t xml:space="preserve"> the lowest life cycle</w:t>
      </w:r>
      <w:r w:rsidR="0091214C">
        <w:t xml:space="preserve"> cost</w:t>
      </w:r>
      <w:r w:rsidR="003B098D">
        <w:t xml:space="preserve"> at $39,800 compared to an ASHP with an air economizer at $41,000</w:t>
      </w:r>
      <w:r w:rsidR="0091214C">
        <w:t>. A nationwide analysis of the cooling</w:t>
      </w:r>
      <w:r w:rsidR="005A2FFF">
        <w:t xml:space="preserve"> systems was </w:t>
      </w:r>
      <w:r w:rsidR="0091214C">
        <w:t xml:space="preserve">then </w:t>
      </w:r>
      <w:r w:rsidR="005A2FFF">
        <w:t>conducted using cl</w:t>
      </w:r>
      <w:r w:rsidR="00D37B39">
        <w:t>imate and hydrogeo</w:t>
      </w:r>
      <w:r w:rsidR="0010268F">
        <w:t>log</w:t>
      </w:r>
      <w:r w:rsidR="00D37B39">
        <w:t>ical data to produce</w:t>
      </w:r>
      <w:r w:rsidR="0042335D">
        <w:t xml:space="preserve"> maps of the</w:t>
      </w:r>
      <w:r w:rsidR="005A2FFF">
        <w:t xml:space="preserve"> </w:t>
      </w:r>
      <w:r w:rsidR="0042335D">
        <w:t xml:space="preserve">total cost of ownership of the </w:t>
      </w:r>
      <w:r w:rsidR="009C0F65">
        <w:t xml:space="preserve">GHP </w:t>
      </w:r>
      <w:r w:rsidR="00D37B39">
        <w:t>and ASHP</w:t>
      </w:r>
      <w:r w:rsidR="009C0F65">
        <w:t xml:space="preserve"> systems</w:t>
      </w:r>
      <w:r w:rsidR="0042335D">
        <w:t>.</w:t>
      </w:r>
      <w:r w:rsidR="009C0F65">
        <w:t xml:space="preserve"> An</w:t>
      </w:r>
      <w:r w:rsidR="00D11F3B">
        <w:t xml:space="preserve"> experimental</w:t>
      </w:r>
      <w:r w:rsidR="004E2BD8">
        <w:t xml:space="preserve"> study comparing</w:t>
      </w:r>
      <w:r w:rsidR="00910A66">
        <w:t xml:space="preserve"> the performance of GHPs and ASHPs over a one year period was conducted</w:t>
      </w:r>
      <w:r w:rsidR="004E2BD8">
        <w:t xml:space="preserve"> by Urchueguía et al. </w:t>
      </w:r>
      <w:r w:rsidR="00D11F3B">
        <w:t xml:space="preserve">(2008). </w:t>
      </w:r>
      <w:r w:rsidR="004E2BD8">
        <w:t xml:space="preserve">Although the studied </w:t>
      </w:r>
      <w:r w:rsidR="0091214C">
        <w:t xml:space="preserve">systems </w:t>
      </w:r>
      <w:r w:rsidR="004E2BD8">
        <w:t>were used for both he</w:t>
      </w:r>
      <w:r w:rsidR="00D11F3B">
        <w:t>ating and cooling, the experimental site was located in the warm climate of Valencia, Spain, makin</w:t>
      </w:r>
      <w:r w:rsidR="0010268F">
        <w:t>g for a cooling-dominated application</w:t>
      </w:r>
      <w:r w:rsidR="00D11F3B">
        <w:t>. The study concluded that GHPs</w:t>
      </w:r>
      <w:r w:rsidR="007C39DD">
        <w:t xml:space="preserve"> compared to ASHPs</w:t>
      </w:r>
      <w:r w:rsidR="00D11F3B">
        <w:t xml:space="preserve"> save </w:t>
      </w:r>
      <w:r w:rsidR="00241C6B">
        <w:t>43±</w:t>
      </w:r>
      <w:r w:rsidR="00D11F3B">
        <w:t xml:space="preserve">17% of energy in heating mode and </w:t>
      </w:r>
      <w:r w:rsidR="00241C6B">
        <w:t>37±</w:t>
      </w:r>
      <w:r w:rsidR="009C0F65">
        <w:t>18% of energy in cooling mode.</w:t>
      </w:r>
    </w:p>
    <w:p w14:paraId="355ACCEB" w14:textId="2516022D" w:rsidR="006167FA" w:rsidRDefault="00694C11" w:rsidP="00D37B39">
      <w:r w:rsidRPr="008575D3">
        <w:t>This paper</w:t>
      </w:r>
      <w:r w:rsidR="007C39DD" w:rsidRPr="008575D3">
        <w:t xml:space="preserve"> provides a comparison of the </w:t>
      </w:r>
      <w:r w:rsidR="0010268F">
        <w:t>technical and economic performance</w:t>
      </w:r>
      <w:r w:rsidR="007C39DD" w:rsidRPr="008575D3">
        <w:t xml:space="preserve"> of GHP</w:t>
      </w:r>
      <w:r w:rsidRPr="008575D3">
        <w:t>, GHP with dry cooler</w:t>
      </w:r>
      <w:r w:rsidR="008534D7" w:rsidRPr="008575D3">
        <w:t xml:space="preserve"> (GHP+DC)</w:t>
      </w:r>
      <w:r w:rsidRPr="008575D3">
        <w:t>,</w:t>
      </w:r>
      <w:r w:rsidR="007C39DD" w:rsidRPr="008575D3">
        <w:t xml:space="preserve"> and ASHP systems</w:t>
      </w:r>
      <w:r w:rsidR="00731D63" w:rsidRPr="008575D3">
        <w:t xml:space="preserve"> </w:t>
      </w:r>
      <w:r w:rsidR="0091214C">
        <w:t>used</w:t>
      </w:r>
      <w:r w:rsidR="007C39DD" w:rsidRPr="008575D3">
        <w:t xml:space="preserve"> for </w:t>
      </w:r>
      <w:r w:rsidR="00731D63" w:rsidRPr="008575D3">
        <w:t>year-round</w:t>
      </w:r>
      <w:r w:rsidR="009C0F65">
        <w:t xml:space="preserve"> cooling of a</w:t>
      </w:r>
      <w:r w:rsidR="00731D63" w:rsidRPr="008575D3">
        <w:t xml:space="preserve"> </w:t>
      </w:r>
      <w:r w:rsidR="009C0F65">
        <w:t xml:space="preserve">data center located </w:t>
      </w:r>
      <w:r w:rsidR="007C39DD" w:rsidRPr="008575D3">
        <w:t>in Ithaca, NY</w:t>
      </w:r>
      <w:r w:rsidR="009C0F65">
        <w:t>, USA</w:t>
      </w:r>
      <w:r w:rsidR="007C39DD" w:rsidRPr="008575D3">
        <w:t>. The analy</w:t>
      </w:r>
      <w:r w:rsidR="00184D0F">
        <w:t>sis was conducted using TRNSYS</w:t>
      </w:r>
      <w:r w:rsidR="007C39DD" w:rsidRPr="008575D3">
        <w:t xml:space="preserve"> model</w:t>
      </w:r>
      <w:r w:rsidR="00731D63" w:rsidRPr="008575D3">
        <w:t>s of</w:t>
      </w:r>
      <w:r w:rsidR="007C39DD" w:rsidRPr="008575D3">
        <w:t xml:space="preserve"> GHP</w:t>
      </w:r>
      <w:r w:rsidR="00731D63" w:rsidRPr="008575D3">
        <w:t xml:space="preserve"> and ASHP</w:t>
      </w:r>
      <w:r w:rsidR="007C39DD" w:rsidRPr="008575D3">
        <w:t xml:space="preserve"> system</w:t>
      </w:r>
      <w:r w:rsidR="00731D63" w:rsidRPr="008575D3">
        <w:t>s</w:t>
      </w:r>
      <w:r w:rsidR="00184D0F">
        <w:t xml:space="preserve"> for a lifetime period of 20 years. The numerical models were calibrated using</w:t>
      </w:r>
      <w:r w:rsidR="00731D63" w:rsidRPr="008575D3">
        <w:t xml:space="preserve"> data from a hybrid GHP system</w:t>
      </w:r>
      <w:r w:rsidR="007C39DD" w:rsidRPr="008575D3">
        <w:t xml:space="preserve"> installed at a</w:t>
      </w:r>
      <w:r w:rsidR="00184D0F">
        <w:t xml:space="preserve"> small</w:t>
      </w:r>
      <w:r w:rsidR="007C39DD" w:rsidRPr="008575D3">
        <w:t xml:space="preserve"> telecommu</w:t>
      </w:r>
      <w:r w:rsidR="00731D63" w:rsidRPr="008575D3">
        <w:t>nications data center in Ithaca</w:t>
      </w:r>
      <w:r w:rsidR="00D37B39">
        <w:t>, NY</w:t>
      </w:r>
      <w:r w:rsidR="009C0F65">
        <w:t xml:space="preserve">. </w:t>
      </w:r>
      <w:r w:rsidR="00184D0F">
        <w:t>Section 2 of this paper discusses t</w:t>
      </w:r>
      <w:r w:rsidRPr="008575D3">
        <w:t xml:space="preserve">he methods of experimental data collection, computer simulation of the heat pump systems, </w:t>
      </w:r>
      <w:r w:rsidR="006E26FA" w:rsidRPr="008575D3">
        <w:t xml:space="preserve">and </w:t>
      </w:r>
      <w:r w:rsidRPr="008575D3">
        <w:t>v</w:t>
      </w:r>
      <w:r w:rsidR="00184D0F">
        <w:t>alidation of these simulations</w:t>
      </w:r>
      <w:r w:rsidRPr="008575D3">
        <w:t xml:space="preserve">. </w:t>
      </w:r>
      <w:r w:rsidR="00D37B39">
        <w:t>In Section 3,</w:t>
      </w:r>
      <w:r w:rsidRPr="008575D3">
        <w:t xml:space="preserve"> technical</w:t>
      </w:r>
      <w:r w:rsidR="00184D0F">
        <w:t xml:space="preserve"> and economic</w:t>
      </w:r>
      <w:r w:rsidRPr="008575D3">
        <w:t xml:space="preserve"> </w:t>
      </w:r>
      <w:r w:rsidRPr="008575D3">
        <w:lastRenderedPageBreak/>
        <w:t>performance of the</w:t>
      </w:r>
      <w:r w:rsidR="00184D0F">
        <w:t xml:space="preserve"> three cooling</w:t>
      </w:r>
      <w:r w:rsidRPr="008575D3">
        <w:t xml:space="preserve"> systems</w:t>
      </w:r>
      <w:r w:rsidR="00184D0F">
        <w:t xml:space="preserve"> is evaluated based on</w:t>
      </w:r>
      <w:r w:rsidRPr="008575D3">
        <w:t xml:space="preserve"> the simulations for the Ithaca </w:t>
      </w:r>
      <w:r w:rsidR="00184D0F">
        <w:t>data center</w:t>
      </w:r>
      <w:r w:rsidR="00B862D6">
        <w:t xml:space="preserve">. </w:t>
      </w:r>
      <w:r w:rsidR="00184D0F">
        <w:t>T</w:t>
      </w:r>
      <w:r w:rsidR="00CF5F75">
        <w:t>h</w:t>
      </w:r>
      <w:r w:rsidR="008575D3" w:rsidRPr="008575D3">
        <w:t>e results of</w:t>
      </w:r>
      <w:r w:rsidR="00B862D6">
        <w:t xml:space="preserve"> the optimization of the </w:t>
      </w:r>
      <w:r w:rsidR="006E26FA" w:rsidRPr="008575D3">
        <w:t>borehole length</w:t>
      </w:r>
      <w:r w:rsidR="00007EE0">
        <w:t xml:space="preserve"> and dry cooler control set point</w:t>
      </w:r>
      <w:r w:rsidR="006E26FA" w:rsidRPr="008575D3">
        <w:t xml:space="preserve"> </w:t>
      </w:r>
      <w:r w:rsidR="00184D0F">
        <w:t>are also presented in Section 3</w:t>
      </w:r>
      <w:r w:rsidR="008575D3" w:rsidRPr="008575D3">
        <w:t>.</w:t>
      </w:r>
      <w:r w:rsidR="00184D0F">
        <w:t xml:space="preserve"> The sensi</w:t>
      </w:r>
      <w:r w:rsidR="00D37B39">
        <w:t>tivity of the results to climate</w:t>
      </w:r>
      <w:r w:rsidR="00184D0F">
        <w:t>, cost of electricity, and hydro</w:t>
      </w:r>
      <w:r w:rsidR="00D37B39">
        <w:t>geo</w:t>
      </w:r>
      <w:r w:rsidR="00184D0F">
        <w:t>logy are illustrated based on the results for</w:t>
      </w:r>
      <w:r w:rsidRPr="008575D3">
        <w:t xml:space="preserve"> Sacramento, CA, Minneapolis, MN, and Dallas, TX</w:t>
      </w:r>
      <w:r w:rsidR="00D37B39">
        <w:t>.</w:t>
      </w:r>
    </w:p>
    <w:p w14:paraId="08E52DC6" w14:textId="4B252A00" w:rsidR="003B098D" w:rsidRDefault="003B098D" w:rsidP="003B098D">
      <w:pPr>
        <w:pStyle w:val="Heading1"/>
      </w:pPr>
      <w:r>
        <w:t>2 Methodology</w:t>
      </w:r>
    </w:p>
    <w:p w14:paraId="77741C59" w14:textId="77777777" w:rsidR="00074B4A" w:rsidRDefault="00074B4A" w:rsidP="00074B4A">
      <w:pPr>
        <w:pStyle w:val="Heading2"/>
      </w:pPr>
      <w:r>
        <w:t xml:space="preserve">2.1 Experimental </w:t>
      </w:r>
      <w:r w:rsidR="00B862D6">
        <w:t>GHP Cooling System</w:t>
      </w:r>
    </w:p>
    <w:p w14:paraId="3C707F63" w14:textId="3205D555" w:rsidR="00836557" w:rsidRDefault="00836557" w:rsidP="00074B4A">
      <w:r>
        <w:t>An</w:t>
      </w:r>
      <w:r w:rsidR="00074B4A">
        <w:t xml:space="preserve"> experimental </w:t>
      </w:r>
      <w:r w:rsidR="008534D7">
        <w:t xml:space="preserve">hybrid </w:t>
      </w:r>
      <w:r w:rsidR="00074B4A">
        <w:t xml:space="preserve">GHP </w:t>
      </w:r>
      <w:r w:rsidR="00B862D6">
        <w:t xml:space="preserve">cooling </w:t>
      </w:r>
      <w:r w:rsidR="00074B4A">
        <w:t>system was installed in a telecommunications data center in Ithaca, NY</w:t>
      </w:r>
      <w:r w:rsidR="001D5253" w:rsidRPr="001D5253">
        <w:t xml:space="preserve"> </w:t>
      </w:r>
      <w:r w:rsidR="00225F93">
        <w:t>with an approximate equipment</w:t>
      </w:r>
      <w:r w:rsidR="008736C0">
        <w:t xml:space="preserve"> cooling load of 14.5 kW</w:t>
      </w:r>
      <w:r w:rsidR="008736C0">
        <w:rPr>
          <w:vertAlign w:val="subscript"/>
        </w:rPr>
        <w:t>th</w:t>
      </w:r>
      <w:r w:rsidR="008736C0">
        <w:t xml:space="preserve">. The system was </w:t>
      </w:r>
      <w:r w:rsidR="00B862D6">
        <w:t xml:space="preserve">equipped </w:t>
      </w:r>
      <w:r w:rsidR="001D5253">
        <w:t xml:space="preserve">with a comprehensive </w:t>
      </w:r>
      <w:r w:rsidR="00B862D6">
        <w:t>data acquisition</w:t>
      </w:r>
      <w:r w:rsidR="001D5253">
        <w:t xml:space="preserve"> system to record relevant temperature, flowrate, control, and power consumption</w:t>
      </w:r>
      <w:r w:rsidR="001F6F27">
        <w:t xml:space="preserve"> data at 5 minute intervals</w:t>
      </w:r>
      <w:r w:rsidR="00074B4A">
        <w:t xml:space="preserve">. The </w:t>
      </w:r>
      <w:r w:rsidR="00184D0F">
        <w:t xml:space="preserve">cooling </w:t>
      </w:r>
      <w:r w:rsidR="00074B4A">
        <w:t xml:space="preserve">system </w:t>
      </w:r>
      <w:r w:rsidR="00184D0F">
        <w:t xml:space="preserve"> presented in Figure 1 </w:t>
      </w:r>
      <w:r w:rsidR="00074B4A">
        <w:t>consists of two loops</w:t>
      </w:r>
      <w:r w:rsidR="00371DD8">
        <w:t xml:space="preserve">, each </w:t>
      </w:r>
      <w:r w:rsidR="00B862D6">
        <w:t>with</w:t>
      </w:r>
      <w:r w:rsidR="00184D0F">
        <w:t xml:space="preserve"> a</w:t>
      </w:r>
      <w:r w:rsidR="00B862D6">
        <w:t xml:space="preserve"> </w:t>
      </w:r>
      <w:r w:rsidR="00184D0F">
        <w:t>pump</w:t>
      </w:r>
      <w:r w:rsidR="00371DD8">
        <w:t xml:space="preserve"> </w:t>
      </w:r>
      <w:r w:rsidR="00B862D6">
        <w:t>circulating</w:t>
      </w:r>
      <w:r w:rsidR="00074B4A">
        <w:t xml:space="preserve"> propylene glycol solution</w:t>
      </w:r>
      <w:r w:rsidR="00371DD8">
        <w:t>. The two loops are</w:t>
      </w:r>
      <w:r w:rsidR="00074B4A">
        <w:t xml:space="preserve"> connected by a heat exchanger</w:t>
      </w:r>
      <w:r w:rsidR="0010268F">
        <w:t xml:space="preserve"> that </w:t>
      </w:r>
      <w:r w:rsidR="00371DD8">
        <w:t xml:space="preserve">transfers heat from the </w:t>
      </w:r>
      <w:r w:rsidR="004E034D" w:rsidRPr="00DB14A7">
        <w:t>building</w:t>
      </w:r>
      <w:r w:rsidR="00371DD8">
        <w:t xml:space="preserve"> loop to the subsurface loop</w:t>
      </w:r>
      <w:r w:rsidR="00074B4A">
        <w:t xml:space="preserve">. </w:t>
      </w:r>
      <w:r w:rsidR="00074B4A" w:rsidRPr="00DB14A7">
        <w:t xml:space="preserve">The </w:t>
      </w:r>
      <w:r w:rsidR="004E034D" w:rsidRPr="00DB14A7">
        <w:t>building</w:t>
      </w:r>
      <w:r w:rsidR="00074B4A">
        <w:t xml:space="preserve"> loop cir</w:t>
      </w:r>
      <w:r w:rsidR="00184D0F">
        <w:t xml:space="preserve">culates fluid between two </w:t>
      </w:r>
      <w:r w:rsidR="00B862D6">
        <w:t>35.2 kW</w:t>
      </w:r>
      <w:r w:rsidR="00B862D6">
        <w:rPr>
          <w:vertAlign w:val="subscript"/>
        </w:rPr>
        <w:t>th</w:t>
      </w:r>
      <w:r w:rsidR="00184D0F">
        <w:t xml:space="preserve"> (10 tons of cooling each)</w:t>
      </w:r>
      <w:r w:rsidR="00074B4A">
        <w:t xml:space="preserve"> geothermal heat pumps</w:t>
      </w:r>
      <w:r w:rsidR="00980109">
        <w:t xml:space="preserve"> (ClimateMaster TCV120)</w:t>
      </w:r>
      <w:r w:rsidR="00074B4A">
        <w:t xml:space="preserve">, a dry cooler, and </w:t>
      </w:r>
      <w:r w:rsidR="00371DD8">
        <w:t>the heat exchanger</w:t>
      </w:r>
      <w:r w:rsidR="00074B4A">
        <w:t>. The subsurface loop circulates fluid between the heat exchanger and the geothermal well field. T</w:t>
      </w:r>
      <w:r w:rsidR="001D5253">
        <w:t>he geothermal well field consists of three sets of boreholes</w:t>
      </w:r>
      <w:r w:rsidR="00074B4A">
        <w:t xml:space="preserve"> connected in parallel, each </w:t>
      </w:r>
      <w:r w:rsidR="00B862D6">
        <w:t xml:space="preserve">set </w:t>
      </w:r>
      <w:r w:rsidR="00074B4A">
        <w:t>consisting of three</w:t>
      </w:r>
      <w:r w:rsidR="00B862D6">
        <w:t xml:space="preserve"> 139 m (455 ft.)</w:t>
      </w:r>
      <w:r w:rsidR="00074B4A">
        <w:t xml:space="preserve"> boreholes connected in series</w:t>
      </w:r>
      <w:r w:rsidR="00F3765E">
        <w:t>. The nine borehole heat exchangers (BHEs) have</w:t>
      </w:r>
      <w:r w:rsidR="00074B4A">
        <w:t xml:space="preserve"> a</w:t>
      </w:r>
      <w:r w:rsidR="00F3765E">
        <w:t xml:space="preserve"> total</w:t>
      </w:r>
      <w:r w:rsidR="00B862D6">
        <w:t xml:space="preserve"> length</w:t>
      </w:r>
      <w:r>
        <w:t xml:space="preserve"> of 1248 m</w:t>
      </w:r>
      <w:r w:rsidR="00B862D6">
        <w:t xml:space="preserve"> (4095 ft.)</w:t>
      </w:r>
      <w:r>
        <w:t>.</w:t>
      </w:r>
    </w:p>
    <w:p w14:paraId="42D3D8F3" w14:textId="03A4C6B4" w:rsidR="00BF2C93" w:rsidRDefault="00866CF0" w:rsidP="00BF2C93">
      <w:pPr>
        <w:jc w:val="center"/>
      </w:pPr>
      <w:r>
        <w:rPr>
          <w:noProof/>
        </w:rPr>
        <w:drawing>
          <wp:inline distT="0" distB="0" distL="0" distR="0" wp14:anchorId="0C24D991" wp14:editId="1ECB9877">
            <wp:extent cx="4991100" cy="2552700"/>
            <wp:effectExtent l="0" t="0" r="12700" b="12700"/>
            <wp:docPr id="1" name="Picture 1" descr="Ithaca system drawing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haca system drawing v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552700"/>
                    </a:xfrm>
                    <a:prstGeom prst="rect">
                      <a:avLst/>
                    </a:prstGeom>
                    <a:noFill/>
                    <a:ln>
                      <a:noFill/>
                    </a:ln>
                  </pic:spPr>
                </pic:pic>
              </a:graphicData>
            </a:graphic>
          </wp:inline>
        </w:drawing>
      </w:r>
    </w:p>
    <w:p w14:paraId="5436AFE7" w14:textId="4D136229" w:rsidR="00EC59B7" w:rsidRPr="003639EE" w:rsidRDefault="003639EE" w:rsidP="003639EE">
      <w:pPr>
        <w:spacing w:before="120" w:after="120"/>
        <w:jc w:val="center"/>
        <w:rPr>
          <w:b/>
        </w:rPr>
      </w:pPr>
      <w:r>
        <w:rPr>
          <w:b/>
        </w:rPr>
        <w:t>Figure 1: Simplified schematic of</w:t>
      </w:r>
      <w:r w:rsidR="00D37B39">
        <w:rPr>
          <w:b/>
        </w:rPr>
        <w:t xml:space="preserve"> the</w:t>
      </w:r>
      <w:r>
        <w:rPr>
          <w:b/>
        </w:rPr>
        <w:t xml:space="preserve"> hybrid </w:t>
      </w:r>
      <w:r w:rsidR="00F3765E">
        <w:rPr>
          <w:b/>
        </w:rPr>
        <w:t>geothermal heat pump (</w:t>
      </w:r>
      <w:r>
        <w:rPr>
          <w:b/>
        </w:rPr>
        <w:t>GHP</w:t>
      </w:r>
      <w:r w:rsidR="00F3765E">
        <w:rPr>
          <w:b/>
        </w:rPr>
        <w:t>)</w:t>
      </w:r>
      <w:r>
        <w:rPr>
          <w:b/>
        </w:rPr>
        <w:t xml:space="preserve"> system at </w:t>
      </w:r>
      <w:r w:rsidR="00B862D6">
        <w:rPr>
          <w:b/>
        </w:rPr>
        <w:t xml:space="preserve">the </w:t>
      </w:r>
      <w:r>
        <w:rPr>
          <w:b/>
        </w:rPr>
        <w:t>experimental site.</w:t>
      </w:r>
    </w:p>
    <w:p w14:paraId="510711A6" w14:textId="77777777" w:rsidR="003639EE" w:rsidRDefault="003639EE" w:rsidP="003639EE">
      <w:pPr>
        <w:jc w:val="left"/>
      </w:pPr>
    </w:p>
    <w:p w14:paraId="173CFA41" w14:textId="61A52705" w:rsidR="00836557" w:rsidRDefault="00836557" w:rsidP="00074B4A">
      <w:r>
        <w:t xml:space="preserve">The </w:t>
      </w:r>
      <w:r w:rsidR="00F3765E">
        <w:t xml:space="preserve">cooling </w:t>
      </w:r>
      <w:r>
        <w:t xml:space="preserve">system is designed to maintain </w:t>
      </w:r>
      <w:r w:rsidR="00B862D6">
        <w:t xml:space="preserve">the server room </w:t>
      </w:r>
      <w:r w:rsidR="00D37B39">
        <w:t xml:space="preserve">temperature </w:t>
      </w:r>
      <w:r w:rsidR="00B862D6">
        <w:t>between 25.6°C and 27.8°C (78°F to 82°F)</w:t>
      </w:r>
      <w:r w:rsidR="00D221D1">
        <w:t xml:space="preserve"> and the two</w:t>
      </w:r>
      <w:r w:rsidR="003B098D">
        <w:t xml:space="preserve"> geothermal</w:t>
      </w:r>
      <w:r w:rsidR="00D221D1">
        <w:t xml:space="preserve"> heat pumps can each operate in part load or full load.</w:t>
      </w:r>
      <w:r w:rsidR="00F3765E">
        <w:t xml:space="preserve"> The combined coo</w:t>
      </w:r>
      <w:r w:rsidR="003B098D">
        <w:t xml:space="preserve">ling capacity of the </w:t>
      </w:r>
      <w:r w:rsidR="00F3765E">
        <w:t>heat pumps (70.4 kW</w:t>
      </w:r>
      <w:r w:rsidR="00F3765E">
        <w:rPr>
          <w:vertAlign w:val="subscript"/>
        </w:rPr>
        <w:t>th</w:t>
      </w:r>
      <w:r w:rsidR="00F3765E">
        <w:t>)</w:t>
      </w:r>
      <w:r w:rsidR="00DF4BB3">
        <w:t xml:space="preserve"> is almost five</w:t>
      </w:r>
      <w:r w:rsidR="00F3765E">
        <w:t xml:space="preserve"> times higher than the current cooling load (14.5 kW</w:t>
      </w:r>
      <w:r w:rsidR="00F3765E">
        <w:rPr>
          <w:vertAlign w:val="subscript"/>
        </w:rPr>
        <w:t>th</w:t>
      </w:r>
      <w:r w:rsidR="00F3765E">
        <w:t>) to provide backup capacity and to facilitate possible future expansion of the data center.</w:t>
      </w:r>
      <w:r w:rsidR="00D221D1">
        <w:t xml:space="preserve"> The dry cooler operates </w:t>
      </w:r>
      <w:r w:rsidR="0010268F">
        <w:t>at full capacity when the temperature difference between</w:t>
      </w:r>
      <w:r w:rsidR="008736C0">
        <w:t xml:space="preserve"> the glycol</w:t>
      </w:r>
      <w:r w:rsidR="00D221D1">
        <w:t xml:space="preserve"> entering the dry cooler and the ambie</w:t>
      </w:r>
      <w:r w:rsidR="00DA72A4">
        <w:t xml:space="preserve">nt </w:t>
      </w:r>
      <w:r w:rsidR="0010268F">
        <w:t>air</w:t>
      </w:r>
      <w:r w:rsidR="00F3765E">
        <w:t xml:space="preserve"> </w:t>
      </w:r>
      <w:r w:rsidR="00F3765E">
        <w:rPr>
          <w:i/>
        </w:rPr>
        <w:t>ΔT</w:t>
      </w:r>
      <w:r w:rsidR="00F3765E">
        <w:rPr>
          <w:i/>
          <w:vertAlign w:val="subscript"/>
        </w:rPr>
        <w:t>DC</w:t>
      </w:r>
      <w:r w:rsidR="00DA72A4">
        <w:t xml:space="preserve"> is greater than 4.4°C</w:t>
      </w:r>
      <w:r w:rsidR="00F3765E">
        <w:t xml:space="preserve"> (8°F)</w:t>
      </w:r>
      <w:r w:rsidR="00D221D1">
        <w:t xml:space="preserve"> and the temperature of the </w:t>
      </w:r>
      <w:r w:rsidR="00DA72A4">
        <w:t>g</w:t>
      </w:r>
      <w:r w:rsidR="008736C0">
        <w:t>lycol</w:t>
      </w:r>
      <w:r w:rsidR="00D221D1">
        <w:t xml:space="preserve"> leaving t</w:t>
      </w:r>
      <w:r w:rsidR="00DA72A4">
        <w:t>he dry cooler is greater than 1.7°C</w:t>
      </w:r>
      <w:r w:rsidR="00F3765E">
        <w:t xml:space="preserve"> (35°F)</w:t>
      </w:r>
      <w:r w:rsidR="00D221D1">
        <w:t>. Other</w:t>
      </w:r>
      <w:r w:rsidR="00D37B39">
        <w:t>wise the dry cooler is bypassed and its fan is switched off.</w:t>
      </w:r>
    </w:p>
    <w:p w14:paraId="19594723" w14:textId="77777777" w:rsidR="00836557" w:rsidRDefault="00836557" w:rsidP="00836557">
      <w:pPr>
        <w:pStyle w:val="Heading2"/>
      </w:pPr>
      <w:r>
        <w:t xml:space="preserve">2.2 </w:t>
      </w:r>
      <w:r w:rsidR="00F3765E">
        <w:t xml:space="preserve">Numerical </w:t>
      </w:r>
      <w:r>
        <w:t>TRNSYS Model</w:t>
      </w:r>
    </w:p>
    <w:p w14:paraId="110AD40C" w14:textId="2870AE1B" w:rsidR="00836557" w:rsidRDefault="00E3029D" w:rsidP="00836557">
      <w:r>
        <w:t>Long term o</w:t>
      </w:r>
      <w:r w:rsidR="009F5290">
        <w:t>peration of the GHP sys</w:t>
      </w:r>
      <w:r w:rsidR="00C413A1">
        <w:t xml:space="preserve">tem was </w:t>
      </w:r>
      <w:r w:rsidR="00D37B39">
        <w:t>modeled</w:t>
      </w:r>
      <w:r w:rsidR="00C413A1">
        <w:t xml:space="preserve"> using TRNSYS – </w:t>
      </w:r>
      <w:r w:rsidR="009F5290">
        <w:t>Transient System Simulation Tool</w:t>
      </w:r>
      <w:r>
        <w:t>, a software environment developed to simulate performance of thermal and electrical energy systems</w:t>
      </w:r>
      <w:r w:rsidR="005E5941">
        <w:rPr>
          <w:noProof/>
        </w:rPr>
        <w:t xml:space="preserve"> (Klein, et al., 2014)</w:t>
      </w:r>
      <w:r>
        <w:t xml:space="preserve">. TRNSYS includes an extensive library of components that can be used to model the performance of each part of the system of interest. </w:t>
      </w:r>
      <w:r w:rsidR="00A64E87">
        <w:t xml:space="preserve">Operation of the data center cooling systems </w:t>
      </w:r>
      <w:r>
        <w:t>was s</w:t>
      </w:r>
      <w:r w:rsidR="0010268F">
        <w:t>imulated for 20 years with a 10-</w:t>
      </w:r>
      <w:r>
        <w:t>minute time step.</w:t>
      </w:r>
    </w:p>
    <w:p w14:paraId="67758B07" w14:textId="05D40BD7" w:rsidR="00F30BF7" w:rsidRDefault="00992142" w:rsidP="00836557">
      <w:r>
        <w:t>Performance of the</w:t>
      </w:r>
      <w:r w:rsidR="00DA72A4">
        <w:t xml:space="preserve"> ClimateMaster TCV120</w:t>
      </w:r>
      <w:r>
        <w:t xml:space="preserve"> heat pumps was modeled using performance tables</w:t>
      </w:r>
      <w:r w:rsidR="00893742">
        <w:t xml:space="preserve"> provided by</w:t>
      </w:r>
      <w:r>
        <w:t xml:space="preserve"> the manufacturer</w:t>
      </w:r>
      <w:r w:rsidR="0010268F">
        <w:t>,</w:t>
      </w:r>
      <w:r w:rsidR="00893742">
        <w:t xml:space="preserve"> </w:t>
      </w:r>
      <w:r w:rsidR="00DA72A4">
        <w:t>which were implemented in the TRNSYS model</w:t>
      </w:r>
      <w:r w:rsidR="005E5941">
        <w:rPr>
          <w:noProof/>
        </w:rPr>
        <w:t xml:space="preserve"> (ClimateMaster, 2017)</w:t>
      </w:r>
      <w:r w:rsidR="00D53DC3">
        <w:t xml:space="preserve">. </w:t>
      </w:r>
      <w:r>
        <w:t>The tables provide cooling and electricity consumption data for discrete</w:t>
      </w:r>
      <w:r w:rsidR="00A64E87">
        <w:t xml:space="preserve"> input values of </w:t>
      </w:r>
      <w:r w:rsidR="00F57EED">
        <w:t>temperature and flowrate</w:t>
      </w:r>
      <w:r w:rsidR="00A64E87">
        <w:t xml:space="preserve"> of the entering glycol-water mixture as well as the </w:t>
      </w:r>
      <w:r w:rsidR="00F57EED">
        <w:t>temperature</w:t>
      </w:r>
      <w:r w:rsidR="00DB14A7">
        <w:t>, humidi</w:t>
      </w:r>
      <w:r w:rsidR="00DA72A4">
        <w:t>ty,</w:t>
      </w:r>
      <w:r w:rsidR="00F57EED">
        <w:t xml:space="preserve"> and flowrate</w:t>
      </w:r>
      <w:r w:rsidR="00A64E87">
        <w:t xml:space="preserve"> of the entering indoor air</w:t>
      </w:r>
      <w:r w:rsidR="00F57EED">
        <w:t xml:space="preserve">. </w:t>
      </w:r>
      <w:r w:rsidR="00A64E87">
        <w:t xml:space="preserve">The TRNSYS </w:t>
      </w:r>
      <w:r w:rsidR="00483DCE">
        <w:rPr>
          <w:i/>
        </w:rPr>
        <w:t>c</w:t>
      </w:r>
      <w:r w:rsidR="00A64E87" w:rsidRPr="00A64E87">
        <w:rPr>
          <w:i/>
        </w:rPr>
        <w:t>o</w:t>
      </w:r>
      <w:r w:rsidR="00483DCE">
        <w:rPr>
          <w:i/>
        </w:rPr>
        <w:t>nditioning e</w:t>
      </w:r>
      <w:r w:rsidR="00A64E87" w:rsidRPr="00A64E87">
        <w:rPr>
          <w:i/>
        </w:rPr>
        <w:t>quipment component</w:t>
      </w:r>
      <w:r w:rsidR="00D53DC3">
        <w:t xml:space="preserve"> </w:t>
      </w:r>
      <w:r w:rsidR="00A64E87">
        <w:t>(t</w:t>
      </w:r>
      <w:r w:rsidR="00D53DC3">
        <w:t xml:space="preserve">ype 42) </w:t>
      </w:r>
      <w:r w:rsidR="00A64E87">
        <w:t>interpolates</w:t>
      </w:r>
      <w:r w:rsidR="00F57EED">
        <w:t xml:space="preserve"> between these values</w:t>
      </w:r>
      <w:r w:rsidR="00032427">
        <w:t xml:space="preserve"> </w:t>
      </w:r>
      <w:r w:rsidR="00F57EED">
        <w:t xml:space="preserve">to determine </w:t>
      </w:r>
      <w:r w:rsidR="00A64E87">
        <w:t>heat pump performance</w:t>
      </w:r>
      <w:r w:rsidR="00F57EED">
        <w:t xml:space="preserve"> at each time step.</w:t>
      </w:r>
      <w:r w:rsidR="00F30BF7">
        <w:t xml:space="preserve"> Only full load operation was modeled due to a lack of performance tables for </w:t>
      </w:r>
      <w:r w:rsidR="00483DCE">
        <w:t xml:space="preserve">a </w:t>
      </w:r>
      <w:r w:rsidR="00F30BF7">
        <w:t>part load operation.</w:t>
      </w:r>
      <w:r w:rsidR="00F57EED">
        <w:t xml:space="preserve"> The dry cooler</w:t>
      </w:r>
      <w:r w:rsidR="00D63634">
        <w:t xml:space="preserve"> was</w:t>
      </w:r>
      <w:r w:rsidR="00483DCE">
        <w:t xml:space="preserve"> modeled using the</w:t>
      </w:r>
      <w:r w:rsidR="00BF2C93">
        <w:t xml:space="preserve"> </w:t>
      </w:r>
      <w:r w:rsidR="00BF2C93" w:rsidRPr="00483DCE">
        <w:rPr>
          <w:i/>
        </w:rPr>
        <w:t>counter flow heat exchanger</w:t>
      </w:r>
      <w:r w:rsidR="00893742" w:rsidRPr="00483DCE">
        <w:rPr>
          <w:i/>
        </w:rPr>
        <w:t xml:space="preserve"> </w:t>
      </w:r>
      <w:r w:rsidR="00BF2C93" w:rsidRPr="00483DCE">
        <w:rPr>
          <w:i/>
        </w:rPr>
        <w:t>component</w:t>
      </w:r>
      <w:r w:rsidR="00483DCE">
        <w:t xml:space="preserve"> (t</w:t>
      </w:r>
      <w:r w:rsidR="00032427">
        <w:t>ype 5).</w:t>
      </w:r>
      <w:r w:rsidR="00D63634">
        <w:t xml:space="preserve"> The model </w:t>
      </w:r>
      <w:r w:rsidR="003B098D">
        <w:t>uses the specified</w:t>
      </w:r>
      <w:r w:rsidR="007D7583">
        <w:t xml:space="preserve"> heat exchanger</w:t>
      </w:r>
      <w:r w:rsidR="00D63634">
        <w:t xml:space="preserve"> co</w:t>
      </w:r>
      <w:r w:rsidR="003B098D">
        <w:t xml:space="preserve">efficient </w:t>
      </w:r>
      <w:r w:rsidR="00DA72A4">
        <w:t>as input</w:t>
      </w:r>
      <w:r w:rsidR="00D63634">
        <w:t xml:space="preserve"> to calculate the heat exchanger effectiveness.</w:t>
      </w:r>
      <w:r w:rsidR="00DA72A4">
        <w:t xml:space="preserve"> The server room</w:t>
      </w:r>
      <w:r w:rsidR="00D63634">
        <w:t xml:space="preserve"> was</w:t>
      </w:r>
      <w:r w:rsidR="00BF2C93">
        <w:t xml:space="preserve"> modeled using the</w:t>
      </w:r>
      <w:r w:rsidR="00483DCE">
        <w:t xml:space="preserve"> </w:t>
      </w:r>
      <w:r w:rsidR="00483DCE" w:rsidRPr="00483DCE">
        <w:rPr>
          <w:i/>
        </w:rPr>
        <w:t>l</w:t>
      </w:r>
      <w:r w:rsidR="00BF2C93" w:rsidRPr="00483DCE">
        <w:rPr>
          <w:i/>
        </w:rPr>
        <w:t xml:space="preserve">umped </w:t>
      </w:r>
      <w:r w:rsidR="00483DCE" w:rsidRPr="00483DCE">
        <w:rPr>
          <w:i/>
        </w:rPr>
        <w:t>c</w:t>
      </w:r>
      <w:r w:rsidR="00BF2C93" w:rsidRPr="00483DCE">
        <w:rPr>
          <w:i/>
        </w:rPr>
        <w:t xml:space="preserve">apacitance </w:t>
      </w:r>
      <w:r w:rsidR="00483DCE" w:rsidRPr="00483DCE">
        <w:rPr>
          <w:i/>
        </w:rPr>
        <w:t>bu</w:t>
      </w:r>
      <w:r w:rsidR="00BF2C93" w:rsidRPr="00483DCE">
        <w:rPr>
          <w:i/>
        </w:rPr>
        <w:t xml:space="preserve">ilding </w:t>
      </w:r>
      <w:r w:rsidR="00B655A4" w:rsidRPr="00483DCE">
        <w:rPr>
          <w:i/>
        </w:rPr>
        <w:t>component</w:t>
      </w:r>
      <w:r w:rsidR="00483DCE">
        <w:t xml:space="preserve"> (t</w:t>
      </w:r>
      <w:r w:rsidR="00032427">
        <w:t xml:space="preserve">ype 88) </w:t>
      </w:r>
      <w:r w:rsidR="00AE4556">
        <w:t xml:space="preserve">which </w:t>
      </w:r>
      <w:r w:rsidR="00483DCE">
        <w:t>simulates</w:t>
      </w:r>
      <w:r w:rsidR="00AE4556">
        <w:t xml:space="preserve"> the building as a single zone</w:t>
      </w:r>
      <w:r w:rsidR="00BF2C93">
        <w:t xml:space="preserve">. </w:t>
      </w:r>
      <w:r w:rsidR="00B655A4">
        <w:t xml:space="preserve">The model </w:t>
      </w:r>
      <w:r w:rsidR="00DA72A4">
        <w:t xml:space="preserve">assumes constant heat gains from equipment, </w:t>
      </w:r>
      <w:r w:rsidR="00B655A4">
        <w:t>neglects s</w:t>
      </w:r>
      <w:r w:rsidR="00DA72A4">
        <w:t xml:space="preserve">olar heat gains, </w:t>
      </w:r>
      <w:r w:rsidR="00BF2C93">
        <w:t>and</w:t>
      </w:r>
      <w:r w:rsidR="00B655A4">
        <w:t xml:space="preserve"> </w:t>
      </w:r>
      <w:r w:rsidR="00DA72A4">
        <w:t>lumps</w:t>
      </w:r>
      <w:r w:rsidR="00BF2C93">
        <w:t xml:space="preserve"> </w:t>
      </w:r>
      <w:r w:rsidR="00DA72A4">
        <w:t>heat transfer through the building envelope and ventilation into an overall heat</w:t>
      </w:r>
      <w:r w:rsidR="00B655A4">
        <w:t xml:space="preserve"> loss coefficient.</w:t>
      </w:r>
      <w:r w:rsidR="00FB45E5" w:rsidRPr="00FB45E5">
        <w:t xml:space="preserve"> </w:t>
      </w:r>
      <w:r w:rsidR="00483DCE">
        <w:t>The</w:t>
      </w:r>
      <w:r w:rsidR="00DA72A4">
        <w:t xml:space="preserve"> annual a</w:t>
      </w:r>
      <w:r w:rsidR="00483DCE">
        <w:t>mbient temperature inputs to this</w:t>
      </w:r>
      <w:r w:rsidR="00FB45E5">
        <w:t xml:space="preserve"> model came from a TMY3 file for the Elmira Regional Airport which is </w:t>
      </w:r>
      <w:r w:rsidR="00DA72A4">
        <w:lastRenderedPageBreak/>
        <w:t xml:space="preserve">located </w:t>
      </w:r>
      <w:r w:rsidR="00FB45E5">
        <w:t>about 30 miles from Ithaca</w:t>
      </w:r>
      <w:r w:rsidR="005E5941">
        <w:rPr>
          <w:noProof/>
        </w:rPr>
        <w:t xml:space="preserve"> (NREL, 2005)</w:t>
      </w:r>
      <w:r w:rsidR="00FB45E5">
        <w:t>. TMY3 files represent the hourly weather conditions for a typical met</w:t>
      </w:r>
      <w:r w:rsidR="00483DCE">
        <w:t>eorological year based on multiple</w:t>
      </w:r>
      <w:r w:rsidR="00980109">
        <w:t xml:space="preserve"> years of recorded data</w:t>
      </w:r>
      <w:r w:rsidR="005E5941">
        <w:rPr>
          <w:noProof/>
        </w:rPr>
        <w:t xml:space="preserve"> (Wilcox &amp; Marion, 2008)</w:t>
      </w:r>
      <w:r w:rsidR="00FB45E5">
        <w:t xml:space="preserve">. </w:t>
      </w:r>
      <w:r w:rsidR="00893742">
        <w:t xml:space="preserve">The </w:t>
      </w:r>
      <w:r w:rsidR="00483DCE">
        <w:t xml:space="preserve">glycol heat exchanger was modeled using the </w:t>
      </w:r>
      <w:r w:rsidR="00483DCE" w:rsidRPr="00483DCE">
        <w:rPr>
          <w:i/>
        </w:rPr>
        <w:t>effectiveness h</w:t>
      </w:r>
      <w:r w:rsidR="00893742" w:rsidRPr="00483DCE">
        <w:rPr>
          <w:i/>
        </w:rPr>
        <w:t>e</w:t>
      </w:r>
      <w:r w:rsidR="00483DCE" w:rsidRPr="00483DCE">
        <w:rPr>
          <w:i/>
        </w:rPr>
        <w:t>at e</w:t>
      </w:r>
      <w:r w:rsidR="00032427" w:rsidRPr="00483DCE">
        <w:rPr>
          <w:i/>
        </w:rPr>
        <w:t xml:space="preserve">xchanger component </w:t>
      </w:r>
      <w:r w:rsidR="00483DCE">
        <w:t>(t</w:t>
      </w:r>
      <w:r w:rsidR="00032427">
        <w:t>ype 91)</w:t>
      </w:r>
      <w:r w:rsidR="00DA72A4">
        <w:t>. This</w:t>
      </w:r>
      <w:r w:rsidR="00893742">
        <w:t xml:space="preserve"> model </w:t>
      </w:r>
      <w:r w:rsidR="00BC2CD0">
        <w:t>uses a specified</w:t>
      </w:r>
      <w:r w:rsidR="00DA72A4">
        <w:t xml:space="preserve"> value of</w:t>
      </w:r>
      <w:r w:rsidR="00893742">
        <w:t xml:space="preserve"> heat exchanger effectiveness to calculate the heat transfer rate between the two circulation loops</w:t>
      </w:r>
      <w:r w:rsidR="005E5941">
        <w:rPr>
          <w:noProof/>
        </w:rPr>
        <w:t xml:space="preserve"> (Klein, et al., 2014)</w:t>
      </w:r>
      <w:r w:rsidR="00893742">
        <w:t>.</w:t>
      </w:r>
    </w:p>
    <w:p w14:paraId="23636E00" w14:textId="3C331A47" w:rsidR="00AE4556" w:rsidRDefault="0040605A" w:rsidP="00836557">
      <w:r>
        <w:t>The thermal behavior of the bo</w:t>
      </w:r>
      <w:r w:rsidR="00483DCE">
        <w:t>rehole heat exchangers (BHEs) was</w:t>
      </w:r>
      <w:r>
        <w:t xml:space="preserve"> simulated in MATLAB using a semi-analytical slender-body heat transfer model</w:t>
      </w:r>
      <w:r w:rsidR="005E5941">
        <w:rPr>
          <w:noProof/>
        </w:rPr>
        <w:t xml:space="preserve"> (Beckers, 2016)</w:t>
      </w:r>
      <w:r>
        <w:t xml:space="preserve">. </w:t>
      </w:r>
      <w:r w:rsidR="00483DCE">
        <w:t xml:space="preserve">The </w:t>
      </w:r>
      <w:r w:rsidR="004943F3">
        <w:t>TRNSYS</w:t>
      </w:r>
      <w:r w:rsidR="00483DCE">
        <w:t xml:space="preserve"> model</w:t>
      </w:r>
      <w:r w:rsidR="004943F3">
        <w:t xml:space="preserve"> </w:t>
      </w:r>
      <w:r w:rsidR="00483DCE">
        <w:t>called</w:t>
      </w:r>
      <w:r>
        <w:t xml:space="preserve"> the</w:t>
      </w:r>
      <w:r w:rsidR="004943F3">
        <w:t xml:space="preserve"> MATLAB</w:t>
      </w:r>
      <w:r>
        <w:t xml:space="preserve"> script at each time step</w:t>
      </w:r>
      <w:r w:rsidR="004943F3">
        <w:t xml:space="preserve"> to calculate the out</w:t>
      </w:r>
      <w:r w:rsidR="001D5253">
        <w:t>let temperature of the</w:t>
      </w:r>
      <w:r>
        <w:t xml:space="preserve"> BHEs</w:t>
      </w:r>
      <w:r w:rsidR="00724533">
        <w:t xml:space="preserve">. </w:t>
      </w:r>
      <w:r w:rsidR="006A09BF">
        <w:t>The thermal conductivity and di</w:t>
      </w:r>
      <w:r>
        <w:t>ffusivity of the soil were obtained</w:t>
      </w:r>
      <w:r w:rsidR="006A09BF">
        <w:t xml:space="preserve"> from a </w:t>
      </w:r>
      <w:r>
        <w:t xml:space="preserve">BHE </w:t>
      </w:r>
      <w:r w:rsidR="006A09BF">
        <w:t xml:space="preserve">thermal response test </w:t>
      </w:r>
      <w:r w:rsidR="00483DCE">
        <w:t>performed at the site. T</w:t>
      </w:r>
      <w:r w:rsidR="006A09BF">
        <w:t xml:space="preserve">he far-field temperature of the subsurface was assumed to be </w:t>
      </w:r>
      <w:r w:rsidR="00FB45E5">
        <w:t>the average ambient temperature calculated from the TMY3 file.</w:t>
      </w:r>
    </w:p>
    <w:p w14:paraId="387FC367" w14:textId="02D75B10" w:rsidR="009507BA" w:rsidRDefault="009507BA" w:rsidP="00836557">
      <w:r>
        <w:t>Heat pump oper</w:t>
      </w:r>
      <w:r w:rsidR="00483DCE">
        <w:t xml:space="preserve">ation was controlled using the </w:t>
      </w:r>
      <w:r w:rsidR="00483DCE" w:rsidRPr="00483DCE">
        <w:rPr>
          <w:i/>
        </w:rPr>
        <w:t>five stage room t</w:t>
      </w:r>
      <w:r w:rsidRPr="00483DCE">
        <w:rPr>
          <w:i/>
        </w:rPr>
        <w:t>hermostat component</w:t>
      </w:r>
      <w:r w:rsidR="00483DCE">
        <w:t xml:space="preserve"> (t</w:t>
      </w:r>
      <w:r w:rsidR="00032427">
        <w:t>ype 108)</w:t>
      </w:r>
      <w:r w:rsidR="0010268F">
        <w:t xml:space="preserve">. This component </w:t>
      </w:r>
      <w:r>
        <w:t>control</w:t>
      </w:r>
      <w:r w:rsidR="0010268F">
        <w:t>s</w:t>
      </w:r>
      <w:r>
        <w:t xml:space="preserve"> two stages of cooling and was set so that the first heat pump would begin operation if the indoor temperature went above</w:t>
      </w:r>
      <w:r w:rsidR="00740711">
        <w:t xml:space="preserve"> 25.6°C</w:t>
      </w:r>
      <w:r>
        <w:t xml:space="preserve"> </w:t>
      </w:r>
      <w:r w:rsidR="00740711">
        <w:t>(</w:t>
      </w:r>
      <w:r>
        <w:t>78°F</w:t>
      </w:r>
      <w:r w:rsidR="00740711">
        <w:t>)</w:t>
      </w:r>
      <w:r>
        <w:t xml:space="preserve"> and the second</w:t>
      </w:r>
      <w:r w:rsidR="00483DCE">
        <w:t xml:space="preserve"> heat pump would switch on</w:t>
      </w:r>
      <w:r>
        <w:t xml:space="preserve"> if the indoor temperature </w:t>
      </w:r>
      <w:r w:rsidR="00483DCE">
        <w:t>exceeded</w:t>
      </w:r>
      <w:r w:rsidR="00740711">
        <w:t xml:space="preserve"> 28.1°C</w:t>
      </w:r>
      <w:r>
        <w:t xml:space="preserve"> </w:t>
      </w:r>
      <w:r w:rsidR="00740711">
        <w:t>(</w:t>
      </w:r>
      <w:r>
        <w:t>82.5°F</w:t>
      </w:r>
      <w:r w:rsidR="00740711">
        <w:t>)</w:t>
      </w:r>
      <w:r>
        <w:t xml:space="preserve">. Dry cooler operation was controlled using </w:t>
      </w:r>
      <w:r w:rsidR="00483DCE">
        <w:t xml:space="preserve">the </w:t>
      </w:r>
      <w:r w:rsidR="00483DCE" w:rsidRPr="00483DCE">
        <w:rPr>
          <w:i/>
        </w:rPr>
        <w:t>differential c</w:t>
      </w:r>
      <w:r w:rsidR="006A2BB4" w:rsidRPr="00483DCE">
        <w:rPr>
          <w:i/>
        </w:rPr>
        <w:t>ontroller component</w:t>
      </w:r>
      <w:r w:rsidR="00483DCE">
        <w:t xml:space="preserve"> (t</w:t>
      </w:r>
      <w:r w:rsidR="00980109">
        <w:t>ype 2)</w:t>
      </w:r>
      <w:r w:rsidR="00BF69E4">
        <w:t>. The controller used a specified temperature</w:t>
      </w:r>
      <w:r w:rsidR="006A2BB4">
        <w:t xml:space="preserve"> dead band to determine the </w:t>
      </w:r>
      <w:r w:rsidR="00D37B39">
        <w:t>fan control signal based on the</w:t>
      </w:r>
      <w:r w:rsidR="00BF69E4">
        <w:t xml:space="preserve"> difference between the </w:t>
      </w:r>
      <w:r w:rsidR="00D37B39">
        <w:t xml:space="preserve">temperatures of the </w:t>
      </w:r>
      <w:r w:rsidR="00BF69E4">
        <w:t>e</w:t>
      </w:r>
      <w:r w:rsidR="00D37B39">
        <w:t xml:space="preserve">ntering glycol solution and the ambient </w:t>
      </w:r>
      <w:r w:rsidR="00BF69E4">
        <w:t xml:space="preserve">air </w:t>
      </w:r>
      <w:r w:rsidR="00BF69E4">
        <w:rPr>
          <w:i/>
        </w:rPr>
        <w:t>ΔT</w:t>
      </w:r>
      <w:r w:rsidR="00BF69E4">
        <w:rPr>
          <w:i/>
          <w:vertAlign w:val="subscript"/>
        </w:rPr>
        <w:t>DC</w:t>
      </w:r>
      <w:r w:rsidR="00BF69E4">
        <w:t xml:space="preserve">. </w:t>
      </w:r>
      <w:r w:rsidR="00371DD8">
        <w:t>The c</w:t>
      </w:r>
      <w:r w:rsidR="00A242F8">
        <w:t xml:space="preserve">irculation pumps were assumed to be in operation if either </w:t>
      </w:r>
      <w:r w:rsidR="00BF69E4">
        <w:t>one of the</w:t>
      </w:r>
      <w:r w:rsidR="009A0683">
        <w:t xml:space="preserve"> heat pump</w:t>
      </w:r>
      <w:r w:rsidR="00BF69E4">
        <w:t>s</w:t>
      </w:r>
      <w:r w:rsidR="009A0683">
        <w:t xml:space="preserve"> or the dry cooler were</w:t>
      </w:r>
      <w:r w:rsidR="00A242F8">
        <w:t xml:space="preserve"> operating</w:t>
      </w:r>
      <w:r w:rsidR="005E5941">
        <w:rPr>
          <w:noProof/>
        </w:rPr>
        <w:t xml:space="preserve"> (Klein, et al., 2014)</w:t>
      </w:r>
      <w:r w:rsidR="00FD43DD">
        <w:t>.</w:t>
      </w:r>
    </w:p>
    <w:p w14:paraId="18781240" w14:textId="647B08D8" w:rsidR="005168FE" w:rsidRDefault="00866CF0" w:rsidP="005168FE">
      <w:pPr>
        <w:jc w:val="center"/>
      </w:pPr>
      <w:r>
        <w:rPr>
          <w:noProof/>
        </w:rPr>
        <w:drawing>
          <wp:inline distT="0" distB="0" distL="0" distR="0" wp14:anchorId="5600A3B6" wp14:editId="1B27E4A3">
            <wp:extent cx="4114800" cy="370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708400"/>
                    </a:xfrm>
                    <a:prstGeom prst="rect">
                      <a:avLst/>
                    </a:prstGeom>
                    <a:noFill/>
                    <a:ln>
                      <a:noFill/>
                    </a:ln>
                  </pic:spPr>
                </pic:pic>
              </a:graphicData>
            </a:graphic>
          </wp:inline>
        </w:drawing>
      </w:r>
    </w:p>
    <w:p w14:paraId="5160CDD5" w14:textId="0432AD33" w:rsidR="003E70A7" w:rsidRDefault="003E70A7" w:rsidP="003E70A7">
      <w:pPr>
        <w:spacing w:before="120" w:after="120"/>
        <w:jc w:val="center"/>
        <w:rPr>
          <w:b/>
        </w:rPr>
      </w:pPr>
      <w:r>
        <w:rPr>
          <w:b/>
        </w:rPr>
        <w:t xml:space="preserve">Table 1: </w:t>
      </w:r>
      <w:r w:rsidR="00BF69E4">
        <w:rPr>
          <w:b/>
        </w:rPr>
        <w:t>Specifications of components used in the</w:t>
      </w:r>
      <w:r w:rsidR="0013269C">
        <w:rPr>
          <w:b/>
        </w:rPr>
        <w:t xml:space="preserve"> TRNSYS model.</w:t>
      </w:r>
    </w:p>
    <w:p w14:paraId="09C54125" w14:textId="77777777" w:rsidR="009F0E02" w:rsidRPr="009F0E02" w:rsidRDefault="009F0E02" w:rsidP="009F0E02">
      <w:pPr>
        <w:spacing w:before="120" w:after="120"/>
        <w:jc w:val="left"/>
      </w:pPr>
    </w:p>
    <w:p w14:paraId="6F60D6F8" w14:textId="2291F0AA" w:rsidR="00202D51" w:rsidRDefault="00BC2CD0" w:rsidP="00202D51">
      <w:pPr>
        <w:jc w:val="left"/>
      </w:pPr>
      <w:r>
        <w:t>The model of the hybrid system (GHP+DC) was modified to represent a GHP system without a dry cooler by setting the dry cooler permanently off. A</w:t>
      </w:r>
      <w:r w:rsidR="00BF69E4">
        <w:t xml:space="preserve"> model of</w:t>
      </w:r>
      <w:r>
        <w:t xml:space="preserve"> an</w:t>
      </w:r>
      <w:r w:rsidR="00A26911">
        <w:t xml:space="preserve"> ASHP system</w:t>
      </w:r>
      <w:r>
        <w:t xml:space="preserve"> was developed using the GHP+DC model with </w:t>
      </w:r>
      <w:r w:rsidR="00BF69E4">
        <w:t>the glycol heat exchanger</w:t>
      </w:r>
      <w:r w:rsidR="00A26911">
        <w:t xml:space="preserve"> and </w:t>
      </w:r>
      <w:r w:rsidR="00BF69E4">
        <w:t>subsurface loop</w:t>
      </w:r>
      <w:r>
        <w:t xml:space="preserve"> components removed</w:t>
      </w:r>
      <w:r w:rsidR="00BF69E4">
        <w:t>.</w:t>
      </w:r>
    </w:p>
    <w:p w14:paraId="7123E093" w14:textId="77777777" w:rsidR="00EC59B7" w:rsidRDefault="00EC59B7" w:rsidP="00EC59B7">
      <w:pPr>
        <w:pStyle w:val="Heading2"/>
      </w:pPr>
      <w:r>
        <w:t>2.3 Validation of the TRNSYS Model</w:t>
      </w:r>
    </w:p>
    <w:p w14:paraId="086B6A9B" w14:textId="049D0002" w:rsidR="00A31BE5" w:rsidRDefault="00740711" w:rsidP="00EC59B7">
      <w:r>
        <w:t xml:space="preserve">The numerical TRNSYS model was validated using data recorded at the experimental site </w:t>
      </w:r>
      <w:r w:rsidR="00EC59B7">
        <w:t xml:space="preserve">between August </w:t>
      </w:r>
      <w:r>
        <w:t xml:space="preserve">11, 2017 and September 27, 2017. The </w:t>
      </w:r>
      <w:r w:rsidR="00BF69E4">
        <w:t xml:space="preserve">values of </w:t>
      </w:r>
      <w:r w:rsidR="00D37B39">
        <w:t>the TRNSYS</w:t>
      </w:r>
      <w:r>
        <w:t xml:space="preserve"> </w:t>
      </w:r>
      <w:r w:rsidR="00BF69E4">
        <w:t xml:space="preserve">parameters </w:t>
      </w:r>
      <w:r>
        <w:t>listed in Table 2</w:t>
      </w:r>
      <w:r w:rsidR="00EC59B7">
        <w:t xml:space="preserve"> </w:t>
      </w:r>
      <w:r w:rsidR="00D05540">
        <w:t xml:space="preserve">were </w:t>
      </w:r>
      <w:r w:rsidR="00BF69E4">
        <w:t>selected</w:t>
      </w:r>
      <w:r>
        <w:t xml:space="preserve"> based on the recorded </w:t>
      </w:r>
      <w:r w:rsidR="00BF69E4">
        <w:t>data to better represent the performance of the actual system</w:t>
      </w:r>
      <w:r w:rsidR="00A31BE5">
        <w:t>. Av</w:t>
      </w:r>
      <w:r w:rsidR="008961BD">
        <w:t>erage flow</w:t>
      </w:r>
      <w:r w:rsidR="00A31BE5">
        <w:t>rates were cal</w:t>
      </w:r>
      <w:r>
        <w:t xml:space="preserve">culated for both the </w:t>
      </w:r>
      <w:r w:rsidR="00A31BE5">
        <w:t>subsurface</w:t>
      </w:r>
      <w:r>
        <w:t xml:space="preserve"> and the </w:t>
      </w:r>
      <w:r w:rsidR="004E034D" w:rsidRPr="00DB14A7">
        <w:t>building</w:t>
      </w:r>
      <w:r w:rsidR="00A31BE5">
        <w:t xml:space="preserve"> loops</w:t>
      </w:r>
      <w:r w:rsidR="0021711E">
        <w:t xml:space="preserve"> and used in the TRNSYS model</w:t>
      </w:r>
      <w:r w:rsidR="00A31BE5">
        <w:t>.</w:t>
      </w:r>
      <w:r w:rsidR="0021711E">
        <w:t xml:space="preserve"> An average value of </w:t>
      </w:r>
      <w:r w:rsidR="00BF69E4">
        <w:t>heat gains from</w:t>
      </w:r>
      <w:r w:rsidR="0021711E">
        <w:t xml:space="preserve"> the </w:t>
      </w:r>
      <w:r w:rsidR="0013291C">
        <w:t xml:space="preserve">IT </w:t>
      </w:r>
      <w:r w:rsidR="0021711E">
        <w:t xml:space="preserve">equipment was determined </w:t>
      </w:r>
      <w:r w:rsidR="00BF69E4">
        <w:t>based on</w:t>
      </w:r>
      <w:r w:rsidR="0021711E">
        <w:t xml:space="preserve"> t</w:t>
      </w:r>
      <w:r w:rsidR="0005558B">
        <w:t>he</w:t>
      </w:r>
      <w:r w:rsidR="00BF69E4">
        <w:t xml:space="preserve"> measurements of</w:t>
      </w:r>
      <w:r w:rsidR="0005558B">
        <w:t xml:space="preserve"> flowrate</w:t>
      </w:r>
      <w:r w:rsidR="0021711E">
        <w:t xml:space="preserve"> </w:t>
      </w:r>
      <w:r w:rsidR="004E034D">
        <w:t>in the building</w:t>
      </w:r>
      <w:r w:rsidR="0005558B">
        <w:t xml:space="preserve"> loop</w:t>
      </w:r>
      <w:r w:rsidR="00A31BE5">
        <w:t xml:space="preserve"> and</w:t>
      </w:r>
      <w:r w:rsidR="0005558B">
        <w:t xml:space="preserve"> the</w:t>
      </w:r>
      <w:r w:rsidR="00A31BE5">
        <w:t xml:space="preserve"> temperature</w:t>
      </w:r>
      <w:r w:rsidR="00BF69E4">
        <w:t>s</w:t>
      </w:r>
      <w:r w:rsidR="00A31BE5">
        <w:t xml:space="preserve"> at the inlet and outlet of the heat pumps</w:t>
      </w:r>
      <w:r w:rsidR="0021711E">
        <w:t>. Only measurements</w:t>
      </w:r>
      <w:r w:rsidR="00A31BE5">
        <w:t xml:space="preserve"> at times when the difference between the indoor an</w:t>
      </w:r>
      <w:r w:rsidR="007271A5">
        <w:t>d ambient temperat</w:t>
      </w:r>
      <w:r w:rsidR="00400C66">
        <w:t>ures was less than 0.5°C</w:t>
      </w:r>
      <w:r w:rsidR="00A31BE5">
        <w:t xml:space="preserve"> were used </w:t>
      </w:r>
      <w:r w:rsidR="0021711E">
        <w:t>so that heat transfer to or from the atmosphere was minimized. T</w:t>
      </w:r>
      <w:r w:rsidR="00A31BE5">
        <w:t xml:space="preserve">he </w:t>
      </w:r>
      <w:r w:rsidR="00BF69E4">
        <w:t xml:space="preserve">inlet and outlet </w:t>
      </w:r>
      <w:r w:rsidR="00A31BE5">
        <w:t xml:space="preserve">temperatures of the </w:t>
      </w:r>
      <w:r w:rsidR="0005558B">
        <w:t>dry c</w:t>
      </w:r>
      <w:r w:rsidR="00BF69E4">
        <w:t>ooler were used to determine its</w:t>
      </w:r>
      <w:r w:rsidR="0005558B">
        <w:t xml:space="preserve"> heat transfer coefficient. Similarly, the inlet and outlet temperatures of the </w:t>
      </w:r>
      <w:r w:rsidR="00BF69E4">
        <w:t>glycol heat exchanger</w:t>
      </w:r>
      <w:r w:rsidR="0005558B">
        <w:t xml:space="preserve"> were used to determine </w:t>
      </w:r>
      <w:r w:rsidR="00980F3D">
        <w:t>its</w:t>
      </w:r>
      <w:r w:rsidR="0005558B">
        <w:t xml:space="preserve"> heat transfer effectiveness.</w:t>
      </w:r>
      <w:r w:rsidR="007271A5">
        <w:t xml:space="preserve"> It was not feasible to calculate the building</w:t>
      </w:r>
      <w:r w:rsidR="00980F3D">
        <w:t xml:space="preserve"> heat</w:t>
      </w:r>
      <w:r w:rsidR="00D37B39">
        <w:t xml:space="preserve"> loss coefficient</w:t>
      </w:r>
      <w:r w:rsidR="007271A5">
        <w:t xml:space="preserve"> from the</w:t>
      </w:r>
      <w:r w:rsidR="00D37B39">
        <w:t xml:space="preserve"> data</w:t>
      </w:r>
      <w:r w:rsidR="007271A5">
        <w:t xml:space="preserve"> </w:t>
      </w:r>
      <w:r w:rsidR="00D37B39">
        <w:t>recorded</w:t>
      </w:r>
      <w:r w:rsidR="007271A5">
        <w:t xml:space="preserve"> </w:t>
      </w:r>
      <w:r w:rsidR="00980F3D">
        <w:t xml:space="preserve">at any single point in time </w:t>
      </w:r>
      <w:r w:rsidR="007271A5">
        <w:t xml:space="preserve">due to the sensitivity of </w:t>
      </w:r>
      <w:r w:rsidR="00980F3D">
        <w:t>this parameter to the fluctuating</w:t>
      </w:r>
      <w:r w:rsidR="007271A5">
        <w:t xml:space="preserve"> </w:t>
      </w:r>
      <w:r w:rsidR="007271A5">
        <w:lastRenderedPageBreak/>
        <w:t>cooling load. Therefore, the</w:t>
      </w:r>
      <w:r w:rsidR="00980F3D">
        <w:t xml:space="preserve"> cooling load</w:t>
      </w:r>
      <w:r w:rsidR="007271A5">
        <w:t xml:space="preserve"> data was plotted and a value of the </w:t>
      </w:r>
      <w:r w:rsidR="00980F3D">
        <w:t xml:space="preserve">building heat loss </w:t>
      </w:r>
      <w:r w:rsidR="007271A5">
        <w:t>coefficient was determined that aligned the TRNSYS results most closely with</w:t>
      </w:r>
      <w:r w:rsidR="00980F3D">
        <w:t xml:space="preserve"> the</w:t>
      </w:r>
      <w:r w:rsidR="007271A5">
        <w:t xml:space="preserve"> cooling load </w:t>
      </w:r>
      <w:r w:rsidR="00980F3D">
        <w:t xml:space="preserve">recorded at </w:t>
      </w:r>
      <w:r w:rsidR="007271A5">
        <w:t>the experimental site.</w:t>
      </w:r>
    </w:p>
    <w:p w14:paraId="1BE571E3" w14:textId="11A342BE" w:rsidR="00D10C46" w:rsidRDefault="00866CF0" w:rsidP="00D10C46">
      <w:pPr>
        <w:jc w:val="center"/>
      </w:pPr>
      <w:r>
        <w:rPr>
          <w:noProof/>
        </w:rPr>
        <w:drawing>
          <wp:inline distT="0" distB="0" distL="0" distR="0" wp14:anchorId="0F05170A" wp14:editId="325568D3">
            <wp:extent cx="4521200" cy="2044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1200" cy="2044700"/>
                    </a:xfrm>
                    <a:prstGeom prst="rect">
                      <a:avLst/>
                    </a:prstGeom>
                    <a:noFill/>
                    <a:ln>
                      <a:noFill/>
                    </a:ln>
                  </pic:spPr>
                </pic:pic>
              </a:graphicData>
            </a:graphic>
          </wp:inline>
        </w:drawing>
      </w:r>
    </w:p>
    <w:p w14:paraId="4C4EC012" w14:textId="6AE91A26" w:rsidR="003E70A7" w:rsidRDefault="003E70A7" w:rsidP="00924D53">
      <w:pPr>
        <w:spacing w:before="120" w:after="120"/>
        <w:jc w:val="center"/>
        <w:rPr>
          <w:b/>
        </w:rPr>
      </w:pPr>
      <w:r>
        <w:rPr>
          <w:b/>
        </w:rPr>
        <w:t xml:space="preserve">Table 2: TRNSYS </w:t>
      </w:r>
      <w:r w:rsidR="00101018">
        <w:rPr>
          <w:b/>
        </w:rPr>
        <w:t xml:space="preserve">model </w:t>
      </w:r>
      <w:r>
        <w:rPr>
          <w:b/>
        </w:rPr>
        <w:t xml:space="preserve">input values </w:t>
      </w:r>
      <w:r w:rsidR="00980F3D">
        <w:rPr>
          <w:b/>
        </w:rPr>
        <w:t>obtained</w:t>
      </w:r>
      <w:r>
        <w:rPr>
          <w:b/>
        </w:rPr>
        <w:t xml:space="preserve"> from </w:t>
      </w:r>
      <w:r w:rsidR="00980F3D">
        <w:rPr>
          <w:b/>
        </w:rPr>
        <w:t xml:space="preserve">the </w:t>
      </w:r>
      <w:r w:rsidR="009F0E02">
        <w:rPr>
          <w:b/>
        </w:rPr>
        <w:t>experimental data.</w:t>
      </w:r>
    </w:p>
    <w:p w14:paraId="042B4BA2" w14:textId="77777777" w:rsidR="009F0E02" w:rsidRPr="009F0E02" w:rsidRDefault="009F0E02" w:rsidP="009F0E02">
      <w:pPr>
        <w:spacing w:after="120"/>
        <w:jc w:val="left"/>
      </w:pPr>
    </w:p>
    <w:p w14:paraId="0C013835" w14:textId="4B95304C" w:rsidR="00400C66" w:rsidRDefault="0005558B" w:rsidP="006627C6">
      <w:r>
        <w:t>T</w:t>
      </w:r>
      <w:r w:rsidR="00202D51">
        <w:t>he simulated behavior of the system was validated a</w:t>
      </w:r>
      <w:r w:rsidR="00980F3D">
        <w:t>gainst the data recorded at the experimental site</w:t>
      </w:r>
      <w:r w:rsidR="00AD6F79">
        <w:t>. For this purpose, t</w:t>
      </w:r>
      <w:r w:rsidR="001F6F27">
        <w:t xml:space="preserve">he ambient temperature input to the TRNSYS model from the TMY3 file was replaced with the recorded </w:t>
      </w:r>
      <w:r w:rsidR="00980F3D">
        <w:t xml:space="preserve">local </w:t>
      </w:r>
      <w:r w:rsidR="001F6F27">
        <w:t>ambient temperature. The da</w:t>
      </w:r>
      <w:r w:rsidR="00EC5B61">
        <w:t>ta from the experimental site was</w:t>
      </w:r>
      <w:r w:rsidR="001F6F27">
        <w:t xml:space="preserve"> </w:t>
      </w:r>
      <w:r w:rsidR="00980F3D">
        <w:t>compared to the TRNSYS results</w:t>
      </w:r>
      <w:r w:rsidR="001F6F27">
        <w:t xml:space="preserve"> for</w:t>
      </w:r>
      <w:r w:rsidR="006627C6">
        <w:t xml:space="preserve"> several </w:t>
      </w:r>
      <w:r w:rsidR="00980F3D">
        <w:t>important</w:t>
      </w:r>
      <w:r w:rsidR="006627C6">
        <w:t xml:space="preserve"> </w:t>
      </w:r>
      <w:r w:rsidR="00980F3D">
        <w:t>parameters including t</w:t>
      </w:r>
      <w:r w:rsidR="000473C6">
        <w:t xml:space="preserve">he </w:t>
      </w:r>
      <w:r w:rsidR="00DB14A7">
        <w:t xml:space="preserve">BHE outlet temperature </w:t>
      </w:r>
      <w:r w:rsidR="00980F3D">
        <w:t>shown</w:t>
      </w:r>
      <w:r w:rsidR="00DB14A7">
        <w:t xml:space="preserve"> in Figure 2.</w:t>
      </w:r>
      <w:r w:rsidR="000473C6">
        <w:t xml:space="preserve"> The cooling system at the experimental site began operation before the data acquisiti</w:t>
      </w:r>
      <w:r w:rsidR="00980F3D">
        <w:t xml:space="preserve">on system was installed, which explains </w:t>
      </w:r>
      <w:r w:rsidR="000473C6">
        <w:t xml:space="preserve">the difference between the simulated and experimental </w:t>
      </w:r>
      <w:r w:rsidR="00980F3D">
        <w:t>results during the first 800 hours of operation</w:t>
      </w:r>
      <w:r w:rsidR="000473C6">
        <w:t>.</w:t>
      </w:r>
      <w:r w:rsidR="00980F3D">
        <w:t xml:space="preserve"> After approximately 800 hours, the short</w:t>
      </w:r>
      <w:r w:rsidR="0010268F">
        <w:t>-</w:t>
      </w:r>
      <w:r w:rsidR="00980F3D">
        <w:t>term transient effects in the subsurface became less pronounced and the two sets of results achieved a good agreement.</w:t>
      </w:r>
    </w:p>
    <w:p w14:paraId="25D5FF21" w14:textId="59C704B8" w:rsidR="00DB14A7" w:rsidRDefault="00866CF0" w:rsidP="00DB14A7">
      <w:pPr>
        <w:jc w:val="center"/>
      </w:pPr>
      <w:r>
        <w:rPr>
          <w:noProof/>
        </w:rPr>
        <w:drawing>
          <wp:inline distT="0" distB="0" distL="0" distR="0" wp14:anchorId="7CF7F205" wp14:editId="3D53FABD">
            <wp:extent cx="3721100" cy="2794000"/>
            <wp:effectExtent l="0" t="0" r="12700" b="0"/>
            <wp:docPr id="4" name="Picture 4" descr="ToutBHE_validation_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utBHE_validation_v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100" cy="2794000"/>
                    </a:xfrm>
                    <a:prstGeom prst="rect">
                      <a:avLst/>
                    </a:prstGeom>
                    <a:noFill/>
                    <a:ln>
                      <a:noFill/>
                    </a:ln>
                  </pic:spPr>
                </pic:pic>
              </a:graphicData>
            </a:graphic>
          </wp:inline>
        </w:drawing>
      </w:r>
    </w:p>
    <w:p w14:paraId="1DA95F78" w14:textId="5E28F648" w:rsidR="000473C6" w:rsidRPr="000473C6" w:rsidRDefault="00980F3D" w:rsidP="000473C6">
      <w:pPr>
        <w:spacing w:before="120" w:after="120"/>
        <w:jc w:val="center"/>
        <w:rPr>
          <w:b/>
        </w:rPr>
      </w:pPr>
      <w:r>
        <w:rPr>
          <w:b/>
        </w:rPr>
        <w:t>Figure 2: A one-</w:t>
      </w:r>
      <w:r w:rsidR="000473C6">
        <w:rPr>
          <w:b/>
        </w:rPr>
        <w:t xml:space="preserve">day moving average of </w:t>
      </w:r>
      <w:r w:rsidR="00D37B39">
        <w:rPr>
          <w:b/>
        </w:rPr>
        <w:t xml:space="preserve">the </w:t>
      </w:r>
      <w:r w:rsidR="00BC2CD0">
        <w:rPr>
          <w:b/>
        </w:rPr>
        <w:t xml:space="preserve">measured temperature of the </w:t>
      </w:r>
      <w:r w:rsidR="00D37B39">
        <w:rPr>
          <w:b/>
        </w:rPr>
        <w:t>borehole heat exchanger</w:t>
      </w:r>
      <w:r w:rsidR="00BC2CD0">
        <w:rPr>
          <w:b/>
        </w:rPr>
        <w:t xml:space="preserve"> outlet</w:t>
      </w:r>
      <w:r w:rsidR="005D4CC5">
        <w:rPr>
          <w:b/>
        </w:rPr>
        <w:t xml:space="preserve"> (T</w:t>
      </w:r>
      <w:r w:rsidR="005D4CC5">
        <w:rPr>
          <w:b/>
          <w:vertAlign w:val="subscript"/>
        </w:rPr>
        <w:t>BHE out</w:t>
      </w:r>
      <w:r w:rsidR="005D4CC5">
        <w:rPr>
          <w:b/>
        </w:rPr>
        <w:t xml:space="preserve">) </w:t>
      </w:r>
      <w:r w:rsidR="00BC2CD0">
        <w:rPr>
          <w:b/>
        </w:rPr>
        <w:t>in the experimental system</w:t>
      </w:r>
      <w:r>
        <w:rPr>
          <w:b/>
        </w:rPr>
        <w:t xml:space="preserve"> </w:t>
      </w:r>
      <w:r w:rsidR="00BC2CD0">
        <w:rPr>
          <w:b/>
        </w:rPr>
        <w:t xml:space="preserve">compared to </w:t>
      </w:r>
      <w:r w:rsidR="005D4CC5">
        <w:rPr>
          <w:b/>
        </w:rPr>
        <w:t xml:space="preserve">a predicted value </w:t>
      </w:r>
      <w:r w:rsidR="000473C6">
        <w:rPr>
          <w:b/>
        </w:rPr>
        <w:t xml:space="preserve">from </w:t>
      </w:r>
      <w:r w:rsidR="005D4CC5">
        <w:rPr>
          <w:b/>
        </w:rPr>
        <w:t>the</w:t>
      </w:r>
      <w:r>
        <w:rPr>
          <w:b/>
        </w:rPr>
        <w:t xml:space="preserve"> calibrated</w:t>
      </w:r>
      <w:r w:rsidR="005D4CC5">
        <w:rPr>
          <w:b/>
        </w:rPr>
        <w:t xml:space="preserve"> TRNSYS model</w:t>
      </w:r>
      <w:r w:rsidR="000473C6">
        <w:rPr>
          <w:b/>
        </w:rPr>
        <w:t>.</w:t>
      </w:r>
    </w:p>
    <w:p w14:paraId="05C04734" w14:textId="77777777" w:rsidR="00DB14A7" w:rsidRDefault="00DB14A7" w:rsidP="006627C6"/>
    <w:p w14:paraId="3C7849BE" w14:textId="77777777" w:rsidR="003D57F4" w:rsidRDefault="003D57F4" w:rsidP="003D57F4">
      <w:pPr>
        <w:pStyle w:val="Heading2"/>
      </w:pPr>
      <w:r>
        <w:t>2.4 Economic Analysis</w:t>
      </w:r>
    </w:p>
    <w:p w14:paraId="6DB1CC2C" w14:textId="5AB1EDBF" w:rsidR="003D57F4" w:rsidRDefault="00B5717B" w:rsidP="003D57F4">
      <w:r>
        <w:t>The economic performance</w:t>
      </w:r>
      <w:r w:rsidR="003D57F4">
        <w:t xml:space="preserve"> of the three cooling system</w:t>
      </w:r>
      <w:r>
        <w:t>s</w:t>
      </w:r>
      <w:r w:rsidR="00D37B39">
        <w:t xml:space="preserve"> was</w:t>
      </w:r>
      <w:r w:rsidR="003D57F4">
        <w:t xml:space="preserve"> compared using the</w:t>
      </w:r>
      <w:r>
        <w:t>ir</w:t>
      </w:r>
      <w:r w:rsidR="00D37B39">
        <w:t xml:space="preserve"> total cost of ownership (TCO) defined as a sum of present values of the capital</w:t>
      </w:r>
      <w:r w:rsidR="005D4CC5">
        <w:t xml:space="preserve"> costs</w:t>
      </w:r>
      <w:r w:rsidR="00D37B39">
        <w:t>, operation</w:t>
      </w:r>
      <w:r w:rsidR="005D4CC5">
        <w:t xml:space="preserve"> costs (including electricity purchased)</w:t>
      </w:r>
      <w:r w:rsidR="00D37B39">
        <w:t xml:space="preserve">, and maintenance costs of the system over its </w:t>
      </w:r>
      <w:r w:rsidR="0010268F">
        <w:t xml:space="preserve">expected </w:t>
      </w:r>
      <w:r w:rsidR="00D37B39">
        <w:t>lifetime</w:t>
      </w:r>
      <w:r w:rsidR="0010268F">
        <w:t xml:space="preserve"> (20 years)</w:t>
      </w:r>
      <w:r w:rsidR="003D57F4">
        <w:t>.</w:t>
      </w:r>
      <w:r w:rsidR="00AD6F79">
        <w:t xml:space="preserve"> The </w:t>
      </w:r>
      <w:r>
        <w:t>cost information</w:t>
      </w:r>
      <w:r w:rsidR="003D57F4">
        <w:t xml:space="preserve"> </w:t>
      </w:r>
      <w:r w:rsidR="00D00E09">
        <w:t xml:space="preserve">used for the analysis </w:t>
      </w:r>
      <w:r>
        <w:t>is</w:t>
      </w:r>
      <w:r w:rsidR="003D57F4">
        <w:t xml:space="preserve"> presented in Table 3. </w:t>
      </w:r>
      <w:r w:rsidR="00AD6F79">
        <w:t>While the</w:t>
      </w:r>
      <w:r w:rsidR="003D57F4">
        <w:t xml:space="preserve"> costs </w:t>
      </w:r>
      <w:r w:rsidR="00AD6F79">
        <w:t xml:space="preserve">of ductwork and installation </w:t>
      </w:r>
      <w:r w:rsidR="00D00E09">
        <w:t>may vary from site to site</w:t>
      </w:r>
      <w:r>
        <w:t>, the main</w:t>
      </w:r>
      <w:r w:rsidR="009138E7">
        <w:t xml:space="preserve"> </w:t>
      </w:r>
      <w:r w:rsidR="003D57F4">
        <w:t xml:space="preserve">cost difference between the geothermal and air-source systems </w:t>
      </w:r>
      <w:r>
        <w:t>is</w:t>
      </w:r>
      <w:r w:rsidR="00D00E09">
        <w:t xml:space="preserve"> due to the</w:t>
      </w:r>
      <w:r w:rsidR="003D57F4">
        <w:t xml:space="preserve"> drilling and installati</w:t>
      </w:r>
      <w:r w:rsidR="00AD6F79">
        <w:t xml:space="preserve">on of the subsurface loop. The </w:t>
      </w:r>
      <w:r w:rsidR="00D00E09">
        <w:t>cost of the subsurface loop was</w:t>
      </w:r>
      <w:r>
        <w:t xml:space="preserve"> estimated based on</w:t>
      </w:r>
      <w:r w:rsidR="003D57F4">
        <w:t xml:space="preserve"> the</w:t>
      </w:r>
      <w:r>
        <w:t xml:space="preserve"> average cost per foot of BHEs</w:t>
      </w:r>
      <w:r w:rsidR="003D57F4">
        <w:t xml:space="preserve"> </w:t>
      </w:r>
      <w:r w:rsidR="00AD6F79">
        <w:t xml:space="preserve">in the </w:t>
      </w:r>
      <w:r w:rsidR="00AD6F79">
        <w:lastRenderedPageBreak/>
        <w:t>Northeast region of the U.S.</w:t>
      </w:r>
      <w:r w:rsidR="005E5941">
        <w:rPr>
          <w:noProof/>
        </w:rPr>
        <w:t xml:space="preserve"> (Battocletti &amp; Glassley, 2013)</w:t>
      </w:r>
      <w:r w:rsidR="00D00E09">
        <w:t>. The TCO</w:t>
      </w:r>
      <w:r w:rsidR="00057AB1">
        <w:t xml:space="preserve"> w</w:t>
      </w:r>
      <w:r w:rsidR="00D00E09">
        <w:t>as</w:t>
      </w:r>
      <w:r w:rsidR="00057AB1">
        <w:t xml:space="preserve"> calculated assuming</w:t>
      </w:r>
      <w:r w:rsidR="003D57F4">
        <w:t xml:space="preserve"> a real </w:t>
      </w:r>
      <w:r w:rsidR="00AD6F79">
        <w:t>(</w:t>
      </w:r>
      <w:r>
        <w:t xml:space="preserve">i.e. </w:t>
      </w:r>
      <w:r w:rsidR="00AD6F79">
        <w:t xml:space="preserve">inflation adjusted) </w:t>
      </w:r>
      <w:r w:rsidR="003D57F4">
        <w:t>discount rate of 5%.</w:t>
      </w:r>
      <w:r>
        <w:t xml:space="preserve"> The electricity cost of 15¢/kWh represents an average rate for commercial customers in New York Stat</w:t>
      </w:r>
      <w:r w:rsidR="00E15890">
        <w:t>e</w:t>
      </w:r>
      <w:r w:rsidR="005E5941">
        <w:rPr>
          <w:noProof/>
        </w:rPr>
        <w:t xml:space="preserve"> (EIA, 2017)</w:t>
      </w:r>
      <w:r>
        <w:t>.</w:t>
      </w:r>
    </w:p>
    <w:p w14:paraId="58F29F21" w14:textId="1704D46A" w:rsidR="009138E7" w:rsidRDefault="00866CF0" w:rsidP="009138E7">
      <w:pPr>
        <w:jc w:val="center"/>
      </w:pPr>
      <w:r>
        <w:rPr>
          <w:noProof/>
        </w:rPr>
        <w:drawing>
          <wp:inline distT="0" distB="0" distL="0" distR="0" wp14:anchorId="564B26D4" wp14:editId="62594DA6">
            <wp:extent cx="56642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2590800"/>
                    </a:xfrm>
                    <a:prstGeom prst="rect">
                      <a:avLst/>
                    </a:prstGeom>
                    <a:noFill/>
                    <a:ln>
                      <a:noFill/>
                    </a:ln>
                  </pic:spPr>
                </pic:pic>
              </a:graphicData>
            </a:graphic>
          </wp:inline>
        </w:drawing>
      </w:r>
    </w:p>
    <w:p w14:paraId="6ECFAB99" w14:textId="60DC79EA" w:rsidR="003D57F4" w:rsidRDefault="009138E7" w:rsidP="009138E7">
      <w:pPr>
        <w:spacing w:before="120"/>
        <w:jc w:val="center"/>
        <w:rPr>
          <w:b/>
        </w:rPr>
      </w:pPr>
      <w:r>
        <w:rPr>
          <w:b/>
        </w:rPr>
        <w:t xml:space="preserve">Table 3: Cost </w:t>
      </w:r>
      <w:r w:rsidR="00B5717B">
        <w:rPr>
          <w:b/>
        </w:rPr>
        <w:t>data used in</w:t>
      </w:r>
      <w:r>
        <w:rPr>
          <w:b/>
        </w:rPr>
        <w:t xml:space="preserve"> </w:t>
      </w:r>
      <w:r w:rsidR="00AD6F79">
        <w:rPr>
          <w:b/>
        </w:rPr>
        <w:t xml:space="preserve">the </w:t>
      </w:r>
      <w:r>
        <w:rPr>
          <w:b/>
        </w:rPr>
        <w:t>economic analysis.</w:t>
      </w:r>
    </w:p>
    <w:p w14:paraId="2FF6FB07" w14:textId="77777777" w:rsidR="009138E7" w:rsidRPr="009138E7" w:rsidRDefault="009138E7" w:rsidP="009138E7"/>
    <w:p w14:paraId="31090B7E" w14:textId="77777777" w:rsidR="00FB45E5" w:rsidRDefault="00FB45E5" w:rsidP="00FB45E5">
      <w:pPr>
        <w:pStyle w:val="Heading1"/>
      </w:pPr>
      <w:r>
        <w:t>3 Results</w:t>
      </w:r>
      <w:r w:rsidR="00007EE0">
        <w:t xml:space="preserve"> and discussion</w:t>
      </w:r>
    </w:p>
    <w:p w14:paraId="430AB358" w14:textId="77777777" w:rsidR="00FB45E5" w:rsidRDefault="00FB45E5" w:rsidP="00FB45E5">
      <w:pPr>
        <w:pStyle w:val="Heading2"/>
      </w:pPr>
      <w:r>
        <w:t>3.1 Technical Performance Comparison for</w:t>
      </w:r>
      <w:r w:rsidR="00AD6F79">
        <w:t xml:space="preserve"> the</w:t>
      </w:r>
      <w:r>
        <w:t xml:space="preserve"> Ithaca Site</w:t>
      </w:r>
    </w:p>
    <w:p w14:paraId="0C8F1741" w14:textId="57F87EB9" w:rsidR="00FB45E5" w:rsidRDefault="00016585" w:rsidP="00FB45E5">
      <w:r>
        <w:t>Simulated performance of the GHP, GHP+DC, and ASHP systems</w:t>
      </w:r>
      <w:r w:rsidR="00B5717B">
        <w:t xml:space="preserve"> at</w:t>
      </w:r>
      <w:r w:rsidR="00DF53E1">
        <w:t xml:space="preserve"> the Ithaca si</w:t>
      </w:r>
      <w:r>
        <w:t>te were</w:t>
      </w:r>
      <w:r w:rsidR="00DF53E1">
        <w:t xml:space="preserve"> first analyzed based on coefficient of performance (COP), defined as t</w:t>
      </w:r>
      <w:r w:rsidR="008534D7">
        <w:t>he ratio</w:t>
      </w:r>
      <w:r w:rsidR="00DF53E1">
        <w:t xml:space="preserve"> of</w:t>
      </w:r>
      <w:r w:rsidR="008534D7">
        <w:t xml:space="preserve"> the</w:t>
      </w:r>
      <w:r w:rsidR="00DF53E1">
        <w:t xml:space="preserve"> heat removed from</w:t>
      </w:r>
      <w:r w:rsidR="008534D7">
        <w:t xml:space="preserve"> </w:t>
      </w:r>
      <w:r w:rsidR="00AD6F79">
        <w:t>the building to the electricity</w:t>
      </w:r>
      <w:r w:rsidR="008534D7">
        <w:t xml:space="preserve"> consumed by</w:t>
      </w:r>
      <w:r w:rsidR="00DF53E1">
        <w:t xml:space="preserve"> the entire </w:t>
      </w:r>
      <w:r w:rsidR="008534D7">
        <w:t xml:space="preserve">cooling </w:t>
      </w:r>
      <w:r w:rsidR="00DF53E1">
        <w:t>system. The year-long averages of COP over the 20 year lifetime</w:t>
      </w:r>
      <w:r w:rsidR="00B5717B">
        <w:t>s</w:t>
      </w:r>
      <w:r w:rsidR="00DF53E1">
        <w:t xml:space="preserve"> are plotted i</w:t>
      </w:r>
      <w:r w:rsidR="00457B68">
        <w:t>n Figure 3</w:t>
      </w:r>
      <w:r w:rsidR="00DF53E1">
        <w:t>.</w:t>
      </w:r>
      <w:r w:rsidR="008534D7">
        <w:t xml:space="preserve"> As expected, the COP of the GHP system decreased over the lifetime of the system due to the increase in temperature of the subsurface. However, the COP of the GHP system never dropped below that of either the GHP+DC or ASHP systems.</w:t>
      </w:r>
      <w:r w:rsidR="00EE7A62">
        <w:t xml:space="preserve"> </w:t>
      </w:r>
      <w:r w:rsidR="00933826">
        <w:t>The</w:t>
      </w:r>
      <w:r w:rsidR="00EE7A62">
        <w:t xml:space="preserve"> simulated CO</w:t>
      </w:r>
      <w:r w:rsidR="00933826">
        <w:t>P of the GHP+DC</w:t>
      </w:r>
      <w:r w:rsidR="00EE7A62">
        <w:t xml:space="preserve"> was less than that of the ASHP </w:t>
      </w:r>
      <w:r w:rsidR="00FA7DF6">
        <w:t>due to</w:t>
      </w:r>
      <w:r w:rsidR="00EE7A62">
        <w:t xml:space="preserve"> the </w:t>
      </w:r>
      <w:r w:rsidR="00933826">
        <w:t>frequent operation of</w:t>
      </w:r>
      <w:r w:rsidR="00EE7A62">
        <w:t xml:space="preserve"> the dry cooler</w:t>
      </w:r>
      <w:r w:rsidR="00933826">
        <w:t xml:space="preserve"> fan.</w:t>
      </w:r>
      <w:r w:rsidR="00EE7A62">
        <w:t xml:space="preserve"> </w:t>
      </w:r>
      <w:r w:rsidR="00933826">
        <w:t>The GHP+DC</w:t>
      </w:r>
      <w:r w:rsidR="00EE7A62">
        <w:t xml:space="preserve"> </w:t>
      </w:r>
      <w:r w:rsidR="00B5717B">
        <w:t xml:space="preserve">system </w:t>
      </w:r>
      <w:r w:rsidR="00EE7A62">
        <w:t>would function more efficiently if the control set point for the</w:t>
      </w:r>
      <w:r w:rsidR="00B5717B">
        <w:t xml:space="preserve"> dry cooler, </w:t>
      </w:r>
      <w:r w:rsidR="00B5717B">
        <w:rPr>
          <w:i/>
        </w:rPr>
        <w:t>ΔT</w:t>
      </w:r>
      <w:r w:rsidR="00B5717B">
        <w:rPr>
          <w:i/>
          <w:vertAlign w:val="subscript"/>
        </w:rPr>
        <w:t>DC</w:t>
      </w:r>
      <w:r w:rsidR="00EE7A62">
        <w:t xml:space="preserve"> </w:t>
      </w:r>
      <w:r w:rsidR="00B5717B">
        <w:t>was</w:t>
      </w:r>
      <w:r w:rsidR="00EE7A62">
        <w:t xml:space="preserve"> set </w:t>
      </w:r>
      <w:r w:rsidR="00B5717B">
        <w:t>above</w:t>
      </w:r>
      <w:r w:rsidR="00933826">
        <w:t xml:space="preserve"> </w:t>
      </w:r>
      <w:r w:rsidR="00B5717B">
        <w:t xml:space="preserve">the </w:t>
      </w:r>
      <w:r w:rsidR="00933826">
        <w:t xml:space="preserve">4.4°C </w:t>
      </w:r>
      <w:r w:rsidR="00B5717B">
        <w:t xml:space="preserve">value </w:t>
      </w:r>
      <w:r w:rsidR="00D00E09">
        <w:t>selected in the base case</w:t>
      </w:r>
      <w:r w:rsidR="00933826">
        <w:t xml:space="preserve"> design</w:t>
      </w:r>
      <w:r w:rsidR="00EE7A62">
        <w:t>.</w:t>
      </w:r>
    </w:p>
    <w:p w14:paraId="687BDBBF" w14:textId="3F3742C2" w:rsidR="00DF53E1" w:rsidRDefault="00866CF0" w:rsidP="00DF53E1">
      <w:pPr>
        <w:jc w:val="center"/>
      </w:pPr>
      <w:r>
        <w:rPr>
          <w:noProof/>
        </w:rPr>
        <w:drawing>
          <wp:inline distT="0" distB="0" distL="0" distR="0" wp14:anchorId="719F3A8F" wp14:editId="564F6735">
            <wp:extent cx="3721100" cy="2794000"/>
            <wp:effectExtent l="0" t="0" r="12700" b="0"/>
            <wp:docPr id="6" name="Picture 6" descr="COP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P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1100" cy="2794000"/>
                    </a:xfrm>
                    <a:prstGeom prst="rect">
                      <a:avLst/>
                    </a:prstGeom>
                    <a:noFill/>
                    <a:ln>
                      <a:noFill/>
                    </a:ln>
                  </pic:spPr>
                </pic:pic>
              </a:graphicData>
            </a:graphic>
          </wp:inline>
        </w:drawing>
      </w:r>
    </w:p>
    <w:p w14:paraId="72AA24FF" w14:textId="77777777" w:rsidR="00DF53E1" w:rsidRDefault="00457B68" w:rsidP="00DF53E1">
      <w:pPr>
        <w:spacing w:before="120" w:after="120"/>
        <w:jc w:val="center"/>
        <w:rPr>
          <w:b/>
        </w:rPr>
      </w:pPr>
      <w:r>
        <w:rPr>
          <w:b/>
        </w:rPr>
        <w:t>Figure 3</w:t>
      </w:r>
      <w:r w:rsidR="00DF53E1">
        <w:rPr>
          <w:b/>
        </w:rPr>
        <w:t xml:space="preserve">: Average yearly </w:t>
      </w:r>
      <w:r w:rsidR="00933826">
        <w:rPr>
          <w:b/>
        </w:rPr>
        <w:t xml:space="preserve">system </w:t>
      </w:r>
      <w:r w:rsidR="00B5717B">
        <w:rPr>
          <w:b/>
        </w:rPr>
        <w:t>coefficient of performance (</w:t>
      </w:r>
      <w:r w:rsidR="00DF53E1">
        <w:rPr>
          <w:b/>
        </w:rPr>
        <w:t>COP</w:t>
      </w:r>
      <w:r w:rsidR="00B5717B">
        <w:rPr>
          <w:b/>
        </w:rPr>
        <w:t>)</w:t>
      </w:r>
      <w:r w:rsidR="00DF53E1">
        <w:rPr>
          <w:b/>
        </w:rPr>
        <w:t xml:space="preserve"> over </w:t>
      </w:r>
      <w:r w:rsidR="00B5717B">
        <w:rPr>
          <w:b/>
        </w:rPr>
        <w:t>a 20 year</w:t>
      </w:r>
      <w:r w:rsidR="00DF53E1">
        <w:rPr>
          <w:b/>
        </w:rPr>
        <w:t xml:space="preserve"> lifetime</w:t>
      </w:r>
      <w:r w:rsidR="00101018">
        <w:rPr>
          <w:b/>
        </w:rPr>
        <w:t xml:space="preserve"> of</w:t>
      </w:r>
      <w:r w:rsidR="00DF53E1">
        <w:rPr>
          <w:b/>
        </w:rPr>
        <w:t xml:space="preserve"> </w:t>
      </w:r>
      <w:r w:rsidR="00B5717B">
        <w:rPr>
          <w:b/>
        </w:rPr>
        <w:t>the geothermal heat pump (</w:t>
      </w:r>
      <w:r w:rsidR="00DF53E1">
        <w:rPr>
          <w:b/>
        </w:rPr>
        <w:t>GHP</w:t>
      </w:r>
      <w:r w:rsidR="00B5717B">
        <w:rPr>
          <w:b/>
        </w:rPr>
        <w:t>)</w:t>
      </w:r>
      <w:r w:rsidR="00DF53E1">
        <w:rPr>
          <w:b/>
        </w:rPr>
        <w:t xml:space="preserve">, </w:t>
      </w:r>
      <w:r w:rsidR="00B5717B">
        <w:rPr>
          <w:b/>
        </w:rPr>
        <w:t>geothermal heat pump with dry cooler (</w:t>
      </w:r>
      <w:r w:rsidR="00DF53E1">
        <w:rPr>
          <w:b/>
        </w:rPr>
        <w:t>GHP+DC</w:t>
      </w:r>
      <w:r w:rsidR="00B5717B">
        <w:rPr>
          <w:b/>
        </w:rPr>
        <w:t>)</w:t>
      </w:r>
      <w:r w:rsidR="00DF53E1">
        <w:rPr>
          <w:b/>
        </w:rPr>
        <w:t xml:space="preserve">, and </w:t>
      </w:r>
      <w:r w:rsidR="00B5717B">
        <w:rPr>
          <w:b/>
        </w:rPr>
        <w:t>air-source heat pump (</w:t>
      </w:r>
      <w:r w:rsidR="00DF53E1">
        <w:rPr>
          <w:b/>
        </w:rPr>
        <w:t>ASHP</w:t>
      </w:r>
      <w:r w:rsidR="00B5717B">
        <w:rPr>
          <w:b/>
        </w:rPr>
        <w:t>)</w:t>
      </w:r>
      <w:r w:rsidR="00C61550">
        <w:rPr>
          <w:b/>
        </w:rPr>
        <w:t xml:space="preserve"> </w:t>
      </w:r>
      <w:r w:rsidR="00101018">
        <w:rPr>
          <w:b/>
        </w:rPr>
        <w:t xml:space="preserve">systems </w:t>
      </w:r>
      <w:r w:rsidR="00B5717B">
        <w:rPr>
          <w:b/>
        </w:rPr>
        <w:t xml:space="preserve">installed </w:t>
      </w:r>
      <w:r w:rsidR="00D03227">
        <w:rPr>
          <w:b/>
        </w:rPr>
        <w:t>in Ithaca, NY</w:t>
      </w:r>
      <w:r w:rsidR="00DF53E1">
        <w:rPr>
          <w:b/>
        </w:rPr>
        <w:t>.</w:t>
      </w:r>
    </w:p>
    <w:p w14:paraId="045A3916" w14:textId="77777777" w:rsidR="00C61550" w:rsidRDefault="00C61550" w:rsidP="00DF53E1"/>
    <w:p w14:paraId="144CAA95" w14:textId="780C14C5" w:rsidR="005F5106" w:rsidRDefault="00933826" w:rsidP="00DF53E1">
      <w:r>
        <w:lastRenderedPageBreak/>
        <w:t>Increase</w:t>
      </w:r>
      <w:r w:rsidR="00FA7DF6">
        <w:t>s in</w:t>
      </w:r>
      <w:r>
        <w:t xml:space="preserve"> subsurface</w:t>
      </w:r>
      <w:r w:rsidR="005F5106">
        <w:t xml:space="preserve"> temperature</w:t>
      </w:r>
      <w:r w:rsidR="00FA7DF6">
        <w:t>s</w:t>
      </w:r>
      <w:r w:rsidR="005F5106">
        <w:t xml:space="preserve"> </w:t>
      </w:r>
      <w:r w:rsidR="00FA7DF6">
        <w:t>are</w:t>
      </w:r>
      <w:r w:rsidR="00C61A80">
        <w:t xml:space="preserve"> a</w:t>
      </w:r>
      <w:r w:rsidR="00D03227">
        <w:t xml:space="preserve"> potential</w:t>
      </w:r>
      <w:r w:rsidR="00C61A80">
        <w:t xml:space="preserve"> concern for </w:t>
      </w:r>
      <w:r w:rsidR="00D03227">
        <w:t>the</w:t>
      </w:r>
      <w:r>
        <w:t xml:space="preserve"> cooling systems because</w:t>
      </w:r>
      <w:r w:rsidR="00C61A80">
        <w:t xml:space="preserve"> higher </w:t>
      </w:r>
      <w:r>
        <w:t xml:space="preserve">heat pump inlet </w:t>
      </w:r>
      <w:r w:rsidR="00C61A80">
        <w:t xml:space="preserve">temperatures can diminish </w:t>
      </w:r>
      <w:r w:rsidR="005F5106">
        <w:t xml:space="preserve">the total cooling </w:t>
      </w:r>
      <w:r>
        <w:t>capacity</w:t>
      </w:r>
      <w:r w:rsidR="00C61A80">
        <w:t>.</w:t>
      </w:r>
      <w:r w:rsidR="005F5106">
        <w:t xml:space="preserve"> The minimum cooling capacities of the GHP and GHP+DC </w:t>
      </w:r>
      <w:r w:rsidR="003D57F4">
        <w:t>systems</w:t>
      </w:r>
      <w:r>
        <w:t xml:space="preserve"> achieved after 20 years of operation</w:t>
      </w:r>
      <w:r w:rsidR="003D57F4">
        <w:t xml:space="preserve"> are presented in Table 4</w:t>
      </w:r>
      <w:r w:rsidR="005F5106">
        <w:t>.</w:t>
      </w:r>
      <w:r w:rsidR="00C61A80">
        <w:t xml:space="preserve"> For the geothermal well field configuration at the Ithaca site, </w:t>
      </w:r>
      <w:r>
        <w:t>the expected</w:t>
      </w:r>
      <w:r w:rsidR="00C61A80">
        <w:t xml:space="preserve"> reductions in </w:t>
      </w:r>
      <w:r w:rsidR="00D03227">
        <w:t>the cooling capacities of GHP and</w:t>
      </w:r>
      <w:r w:rsidR="00C61A80">
        <w:t xml:space="preserve"> GHP+DC system</w:t>
      </w:r>
      <w:r w:rsidR="00D03227">
        <w:t>s</w:t>
      </w:r>
      <w:r>
        <w:t xml:space="preserve"> are 4.1% and 1.1% respectively</w:t>
      </w:r>
      <w:r w:rsidR="00C61A80">
        <w:t>.</w:t>
      </w:r>
      <w:r>
        <w:t xml:space="preserve"> </w:t>
      </w:r>
      <w:r w:rsidR="00FA7DF6">
        <w:t xml:space="preserve">It is unlikely that either of these reductions in cooling capacity would pose any significant threat to the data center </w:t>
      </w:r>
      <w:r>
        <w:t>and the lower performance deterioration of the GHP+DC system does not compensate for its lower COP as compared to the GHP system.</w:t>
      </w:r>
    </w:p>
    <w:p w14:paraId="5C38C256" w14:textId="79E02D15" w:rsidR="00D10C46" w:rsidRDefault="00866CF0" w:rsidP="00D10C46">
      <w:pPr>
        <w:jc w:val="center"/>
      </w:pPr>
      <w:r>
        <w:rPr>
          <w:noProof/>
        </w:rPr>
        <w:drawing>
          <wp:inline distT="0" distB="0" distL="0" distR="0" wp14:anchorId="1F362C86" wp14:editId="7ECC2CD0">
            <wp:extent cx="5727700" cy="11303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130300"/>
                    </a:xfrm>
                    <a:prstGeom prst="rect">
                      <a:avLst/>
                    </a:prstGeom>
                    <a:noFill/>
                    <a:ln>
                      <a:noFill/>
                    </a:ln>
                  </pic:spPr>
                </pic:pic>
              </a:graphicData>
            </a:graphic>
          </wp:inline>
        </w:drawing>
      </w:r>
    </w:p>
    <w:p w14:paraId="08843D87" w14:textId="18F5021F" w:rsidR="005F5106" w:rsidRDefault="003D57F4" w:rsidP="00C61A80">
      <w:pPr>
        <w:spacing w:before="120" w:after="120"/>
        <w:jc w:val="center"/>
        <w:rPr>
          <w:b/>
        </w:rPr>
      </w:pPr>
      <w:r>
        <w:rPr>
          <w:b/>
        </w:rPr>
        <w:t>Table 4</w:t>
      </w:r>
      <w:r w:rsidR="00C61A80">
        <w:rPr>
          <w:b/>
        </w:rPr>
        <w:t>: Total cooling capacity of GHP and GHP+DC</w:t>
      </w:r>
      <w:r w:rsidR="00101018">
        <w:rPr>
          <w:b/>
        </w:rPr>
        <w:t xml:space="preserve"> systems</w:t>
      </w:r>
      <w:r w:rsidR="00933826">
        <w:rPr>
          <w:b/>
        </w:rPr>
        <w:t xml:space="preserve"> in the first</w:t>
      </w:r>
      <w:r w:rsidR="00C61A80">
        <w:rPr>
          <w:b/>
        </w:rPr>
        <w:t xml:space="preserve"> and</w:t>
      </w:r>
      <w:r w:rsidR="00933826">
        <w:rPr>
          <w:b/>
        </w:rPr>
        <w:t xml:space="preserve"> </w:t>
      </w:r>
      <w:r w:rsidR="00C61A80">
        <w:rPr>
          <w:b/>
        </w:rPr>
        <w:t>20</w:t>
      </w:r>
      <w:r w:rsidR="00C61A80">
        <w:rPr>
          <w:b/>
          <w:vertAlign w:val="superscript"/>
        </w:rPr>
        <w:t>th</w:t>
      </w:r>
      <w:r w:rsidR="00D03227">
        <w:rPr>
          <w:b/>
        </w:rPr>
        <w:t xml:space="preserve"> year</w:t>
      </w:r>
      <w:r w:rsidR="00933826">
        <w:rPr>
          <w:b/>
        </w:rPr>
        <w:t xml:space="preserve"> of operation</w:t>
      </w:r>
      <w:r w:rsidR="00C61A80">
        <w:rPr>
          <w:b/>
        </w:rPr>
        <w:t>.</w:t>
      </w:r>
    </w:p>
    <w:p w14:paraId="5439272E" w14:textId="77777777" w:rsidR="00C61A80" w:rsidRPr="00C61A80" w:rsidRDefault="00C61A80" w:rsidP="00C61A80"/>
    <w:p w14:paraId="2FA0DFF6" w14:textId="77777777" w:rsidR="00FB45E5" w:rsidRDefault="00FB45E5" w:rsidP="00FB45E5">
      <w:pPr>
        <w:pStyle w:val="Heading2"/>
      </w:pPr>
      <w:r>
        <w:t>3.2 Economic Comparison for</w:t>
      </w:r>
      <w:r w:rsidR="00933826">
        <w:t xml:space="preserve"> the</w:t>
      </w:r>
      <w:r>
        <w:t xml:space="preserve"> Ithaca Site</w:t>
      </w:r>
    </w:p>
    <w:p w14:paraId="49BCA873" w14:textId="06078ABC" w:rsidR="005A7BD0" w:rsidRDefault="009B69BB" w:rsidP="00C61550">
      <w:r>
        <w:t>The capital cost</w:t>
      </w:r>
      <w:r w:rsidR="00D00E09">
        <w:t xml:space="preserve"> and TCO</w:t>
      </w:r>
      <w:r>
        <w:t xml:space="preserve"> of each of the three </w:t>
      </w:r>
      <w:r w:rsidR="00DF4BB3">
        <w:t xml:space="preserve">cooling </w:t>
      </w:r>
      <w:r>
        <w:t>systems are presented in Table 5.</w:t>
      </w:r>
      <w:r w:rsidR="005D4CC5">
        <w:t xml:space="preserve"> All costs are represented in 2017 U.S. dollars.</w:t>
      </w:r>
      <w:r>
        <w:t xml:space="preserve"> </w:t>
      </w:r>
      <w:r w:rsidR="00DF4BB3">
        <w:t>T</w:t>
      </w:r>
      <w:r w:rsidR="00483377">
        <w:t>he</w:t>
      </w:r>
      <w:r w:rsidR="00DF4BB3">
        <w:t xml:space="preserve"> cooling</w:t>
      </w:r>
      <w:r w:rsidR="00483377">
        <w:t xml:space="preserve"> system installed at the Ithaca site has a total nominal capacity of 70.4 </w:t>
      </w:r>
      <w:r w:rsidR="00483377" w:rsidRPr="00483377">
        <w:t>kW</w:t>
      </w:r>
      <w:r w:rsidR="00483377" w:rsidRPr="00483377">
        <w:rPr>
          <w:vertAlign w:val="subscript"/>
        </w:rPr>
        <w:t>th</w:t>
      </w:r>
      <w:r w:rsidR="00483377">
        <w:t xml:space="preserve"> </w:t>
      </w:r>
      <w:r w:rsidR="005A7BD0">
        <w:t xml:space="preserve">which is </w:t>
      </w:r>
      <w:r w:rsidR="00DF4BB3">
        <w:t>nearly five times more</w:t>
      </w:r>
      <w:r w:rsidR="005A7BD0">
        <w:t xml:space="preserve"> than the</w:t>
      </w:r>
      <w:r w:rsidR="00483377">
        <w:t xml:space="preserve"> </w:t>
      </w:r>
      <w:r w:rsidR="00225F93">
        <w:t>average equipment</w:t>
      </w:r>
      <w:r w:rsidR="00483377">
        <w:t xml:space="preserve"> cooling load of 14.5 kW</w:t>
      </w:r>
      <w:r w:rsidR="00483377">
        <w:rPr>
          <w:vertAlign w:val="subscript"/>
        </w:rPr>
        <w:t>th</w:t>
      </w:r>
      <w:r w:rsidR="00483377">
        <w:t xml:space="preserve">. </w:t>
      </w:r>
      <w:r w:rsidR="005A7BD0">
        <w:t>Other data center cooling systems would likely ha</w:t>
      </w:r>
      <w:r w:rsidR="00B37DC0">
        <w:t>ve an installed capacity that i</w:t>
      </w:r>
      <w:r w:rsidR="005A7BD0">
        <w:t xml:space="preserve">s about two times greater than the cooling load. </w:t>
      </w:r>
      <w:r w:rsidR="00DF4BB3">
        <w:t xml:space="preserve">The spare cooling capacity provides </w:t>
      </w:r>
      <w:r w:rsidR="00D00E09">
        <w:t xml:space="preserve">an </w:t>
      </w:r>
      <w:r w:rsidR="00DF4BB3">
        <w:t>added reliability and allows for future expansion of the data center. While the installed</w:t>
      </w:r>
      <w:r w:rsidR="005A7BD0">
        <w:t xml:space="preserve"> capacity</w:t>
      </w:r>
      <w:r w:rsidR="00D00E09">
        <w:t xml:space="preserve"> impacts the TCO</w:t>
      </w:r>
      <w:r w:rsidR="005A7BD0">
        <w:t>,</w:t>
      </w:r>
      <w:r w:rsidR="00B02942">
        <w:t xml:space="preserve"> the following</w:t>
      </w:r>
      <w:r w:rsidR="005A7BD0">
        <w:t xml:space="preserve"> analysis was kept consistent between all </w:t>
      </w:r>
      <w:r w:rsidR="00D00E09">
        <w:t>three cooling</w:t>
      </w:r>
      <w:r w:rsidR="005A7BD0">
        <w:t xml:space="preserve"> systems.</w:t>
      </w:r>
    </w:p>
    <w:p w14:paraId="65971393" w14:textId="504AD210" w:rsidR="006B6EF2" w:rsidRDefault="00B02942" w:rsidP="00C61550">
      <w:r>
        <w:t xml:space="preserve">The analyzed geothermal heat pump configurations </w:t>
      </w:r>
      <w:r w:rsidR="00D00E09">
        <w:t>have higher TCO</w:t>
      </w:r>
      <w:r>
        <w:t xml:space="preserve"> compared to the ASHP as a results of their higher capital cost</w:t>
      </w:r>
      <w:r w:rsidR="006B6EF2">
        <w:t>.</w:t>
      </w:r>
      <w:r w:rsidR="00E269E7">
        <w:t xml:space="preserve"> However, </w:t>
      </w:r>
      <w:r>
        <w:t>a more adequately sized subsurface loop, an optimized contro</w:t>
      </w:r>
      <w:r w:rsidR="00E269E7">
        <w:t>l scheme</w:t>
      </w:r>
      <w:r>
        <w:t>,</w:t>
      </w:r>
      <w:r w:rsidR="00E269E7">
        <w:t xml:space="preserve"> </w:t>
      </w:r>
      <w:r>
        <w:t>or energy efficiency incentives</w:t>
      </w:r>
      <w:r w:rsidR="00E269E7">
        <w:t xml:space="preserve"> could </w:t>
      </w:r>
      <w:r w:rsidR="00AF4ECD">
        <w:t>improve the economics of the</w:t>
      </w:r>
      <w:r>
        <w:t xml:space="preserve"> geothermal heat pumps. The effects of such change</w:t>
      </w:r>
      <w:r w:rsidR="005D4CC5">
        <w:t xml:space="preserve">s are analyzed in </w:t>
      </w:r>
      <w:r>
        <w:t>sections</w:t>
      </w:r>
      <w:r w:rsidR="005D4CC5">
        <w:t xml:space="preserve"> 3.2.1-3.2.3</w:t>
      </w:r>
      <w:r>
        <w:t>.</w:t>
      </w:r>
    </w:p>
    <w:p w14:paraId="6FD6D966" w14:textId="04959FB2" w:rsidR="001015E5" w:rsidRDefault="00866CF0" w:rsidP="001015E5">
      <w:pPr>
        <w:jc w:val="center"/>
      </w:pPr>
      <w:r>
        <w:rPr>
          <w:noProof/>
        </w:rPr>
        <w:drawing>
          <wp:inline distT="0" distB="0" distL="0" distR="0" wp14:anchorId="57F59EBF" wp14:editId="1169029B">
            <wp:extent cx="1905000" cy="7493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749300"/>
                    </a:xfrm>
                    <a:prstGeom prst="rect">
                      <a:avLst/>
                    </a:prstGeom>
                    <a:noFill/>
                    <a:ln>
                      <a:noFill/>
                    </a:ln>
                  </pic:spPr>
                </pic:pic>
              </a:graphicData>
            </a:graphic>
          </wp:inline>
        </w:drawing>
      </w:r>
    </w:p>
    <w:p w14:paraId="205F0695" w14:textId="4111BADE" w:rsidR="001015E5" w:rsidRDefault="001015E5" w:rsidP="00496DCF">
      <w:pPr>
        <w:spacing w:before="120" w:after="120"/>
        <w:jc w:val="center"/>
        <w:rPr>
          <w:b/>
        </w:rPr>
      </w:pPr>
      <w:r>
        <w:rPr>
          <w:b/>
        </w:rPr>
        <w:t xml:space="preserve">Table 5: Capital cost and </w:t>
      </w:r>
      <w:r w:rsidR="00D00E09">
        <w:rPr>
          <w:b/>
        </w:rPr>
        <w:t>the total cost of ownership (</w:t>
      </w:r>
      <w:r w:rsidR="00D00E09" w:rsidRPr="0013269C">
        <w:rPr>
          <w:b/>
        </w:rPr>
        <w:t>TCO</w:t>
      </w:r>
      <w:r w:rsidR="00D00E09">
        <w:rPr>
          <w:b/>
        </w:rPr>
        <w:t>)</w:t>
      </w:r>
      <w:r>
        <w:rPr>
          <w:b/>
        </w:rPr>
        <w:t xml:space="preserve"> of cooling systems for</w:t>
      </w:r>
      <w:r w:rsidR="00B02942">
        <w:rPr>
          <w:b/>
        </w:rPr>
        <w:t xml:space="preserve"> the</w:t>
      </w:r>
      <w:r>
        <w:rPr>
          <w:b/>
        </w:rPr>
        <w:t xml:space="preserve"> Ithaca site.</w:t>
      </w:r>
    </w:p>
    <w:p w14:paraId="788C4496" w14:textId="77777777" w:rsidR="00496DCF" w:rsidRPr="001015E5" w:rsidRDefault="00496DCF" w:rsidP="00483377"/>
    <w:p w14:paraId="3830331E" w14:textId="75EA4AB1" w:rsidR="00C61550" w:rsidRDefault="00655FF3" w:rsidP="00933826">
      <w:pPr>
        <w:pStyle w:val="Heading3"/>
      </w:pPr>
      <w:r>
        <w:t>3.2.1</w:t>
      </w:r>
      <w:r w:rsidR="00F87C73">
        <w:t xml:space="preserve"> </w:t>
      </w:r>
      <w:r w:rsidR="004F28CB">
        <w:t xml:space="preserve">Economic </w:t>
      </w:r>
      <w:r w:rsidR="00F87C73">
        <w:t xml:space="preserve">Optimization of </w:t>
      </w:r>
      <w:r w:rsidR="00B02942">
        <w:t xml:space="preserve">the </w:t>
      </w:r>
      <w:r w:rsidR="00F87C73">
        <w:t>Total Borehole Length</w:t>
      </w:r>
      <w:r w:rsidR="007A7B8C">
        <w:t xml:space="preserve"> for </w:t>
      </w:r>
      <w:r w:rsidR="00B02942">
        <w:t xml:space="preserve">the </w:t>
      </w:r>
      <w:r w:rsidR="007A7B8C">
        <w:t>GHP</w:t>
      </w:r>
      <w:r w:rsidR="00B02942">
        <w:t xml:space="preserve"> System</w:t>
      </w:r>
    </w:p>
    <w:p w14:paraId="2C25CCDB" w14:textId="689ED8E2" w:rsidR="00FB45E5" w:rsidRDefault="00AB598D" w:rsidP="00FB45E5">
      <w:r>
        <w:t>The greatest</w:t>
      </w:r>
      <w:r w:rsidR="0064208A">
        <w:t xml:space="preserve"> capital cost</w:t>
      </w:r>
      <w:r w:rsidR="00B02942">
        <w:t xml:space="preserve"> component</w:t>
      </w:r>
      <w:r w:rsidR="0064208A">
        <w:t xml:space="preserve"> differentiating a geothermal heat pump system from an air-source system is the drilling and installation of the subsurface loop. The </w:t>
      </w:r>
      <w:r w:rsidR="00B02942">
        <w:t xml:space="preserve">performance of </w:t>
      </w:r>
      <w:r w:rsidR="0064208A">
        <w:t xml:space="preserve">GHP and GHP+DC systems </w:t>
      </w:r>
      <w:r w:rsidR="00B02942">
        <w:t>was simulated for various lengths of the subsurface loop</w:t>
      </w:r>
      <w:r w:rsidR="0064208A">
        <w:t xml:space="preserve"> to determi</w:t>
      </w:r>
      <w:r w:rsidR="00D00E09">
        <w:t>ne the</w:t>
      </w:r>
      <w:r w:rsidR="00B02942">
        <w:t xml:space="preserve"> economically optimal total borehole length</w:t>
      </w:r>
      <w:r w:rsidR="0064208A">
        <w:t>.</w:t>
      </w:r>
      <w:r w:rsidR="00263530">
        <w:t xml:space="preserve"> Figure</w:t>
      </w:r>
      <w:r w:rsidR="00457B68">
        <w:t xml:space="preserve"> 4</w:t>
      </w:r>
      <w:r w:rsidR="00D00E09">
        <w:t xml:space="preserve"> shows the TCO</w:t>
      </w:r>
      <w:r w:rsidR="00263530">
        <w:t xml:space="preserve"> of the GHP system </w:t>
      </w:r>
      <w:r w:rsidR="00B02942">
        <w:t>plotted as a function of the total borehole</w:t>
      </w:r>
      <w:r w:rsidR="00263530">
        <w:t xml:space="preserve"> length. The economically optimal valu</w:t>
      </w:r>
      <w:r w:rsidR="00B02942">
        <w:t>e is approximately 760 m,</w:t>
      </w:r>
      <w:r w:rsidR="00D00E09">
        <w:t xml:space="preserve"> nearly 500 m less than in the base case design. The optimized GHP system has a TCO</w:t>
      </w:r>
      <w:r w:rsidR="00263530">
        <w:t xml:space="preserve"> of $189,000</w:t>
      </w:r>
      <w:r w:rsidR="00D00E09">
        <w:t>, which is $12,000 less than the TCO of the base case. The TCO</w:t>
      </w:r>
      <w:r w:rsidR="00263530">
        <w:t xml:space="preserve"> </w:t>
      </w:r>
      <w:r w:rsidR="00933826">
        <w:t xml:space="preserve">of a GHP system with an optimized subsurface loop </w:t>
      </w:r>
      <w:r w:rsidR="00263530">
        <w:t xml:space="preserve">is </w:t>
      </w:r>
      <w:r w:rsidR="00933826">
        <w:t>$20,000</w:t>
      </w:r>
      <w:r w:rsidR="00D00E09">
        <w:t xml:space="preserve"> greater than the TCO</w:t>
      </w:r>
      <w:r w:rsidR="00263530">
        <w:t xml:space="preserve"> of the ASHP system, meaning that the </w:t>
      </w:r>
      <w:r w:rsidR="00D00E09">
        <w:t>geothermal system</w:t>
      </w:r>
      <w:r w:rsidR="00263530">
        <w:t xml:space="preserve"> require</w:t>
      </w:r>
      <w:r w:rsidR="00D00E09">
        <w:t>s</w:t>
      </w:r>
      <w:r w:rsidR="00B02942">
        <w:t xml:space="preserve"> additional</w:t>
      </w:r>
      <w:r w:rsidR="00263530">
        <w:t xml:space="preserve"> incentives to be mor</w:t>
      </w:r>
      <w:r w:rsidR="00D00E09">
        <w:t>e economical than an ASHP</w:t>
      </w:r>
      <w:r w:rsidR="00263530">
        <w:t>.</w:t>
      </w:r>
    </w:p>
    <w:p w14:paraId="4130C7EC" w14:textId="3EDAF877" w:rsidR="00263530" w:rsidRDefault="00866CF0" w:rsidP="00263530">
      <w:pPr>
        <w:jc w:val="center"/>
      </w:pPr>
      <w:r>
        <w:rPr>
          <w:noProof/>
        </w:rPr>
        <w:lastRenderedPageBreak/>
        <w:drawing>
          <wp:inline distT="0" distB="0" distL="0" distR="0" wp14:anchorId="6E0A20D4" wp14:editId="2C867FA0">
            <wp:extent cx="3721100" cy="2794000"/>
            <wp:effectExtent l="0" t="0" r="12700" b="0"/>
            <wp:docPr id="9" name="Picture 9" descr="TCOvsLBHE_G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COvsLBHE_GH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1100" cy="2794000"/>
                    </a:xfrm>
                    <a:prstGeom prst="rect">
                      <a:avLst/>
                    </a:prstGeom>
                    <a:noFill/>
                    <a:ln>
                      <a:noFill/>
                    </a:ln>
                  </pic:spPr>
                </pic:pic>
              </a:graphicData>
            </a:graphic>
          </wp:inline>
        </w:drawing>
      </w:r>
    </w:p>
    <w:p w14:paraId="077284D3" w14:textId="33B9E61F" w:rsidR="00263530" w:rsidRDefault="00457B68" w:rsidP="00263530">
      <w:pPr>
        <w:spacing w:before="120" w:after="120"/>
        <w:jc w:val="center"/>
        <w:rPr>
          <w:b/>
        </w:rPr>
      </w:pPr>
      <w:r>
        <w:rPr>
          <w:b/>
        </w:rPr>
        <w:t>Figure 4</w:t>
      </w:r>
      <w:r w:rsidR="00D00E09">
        <w:rPr>
          <w:b/>
        </w:rPr>
        <w:t>: Total costs of ownership (</w:t>
      </w:r>
      <w:r w:rsidR="00D00E09" w:rsidRPr="00E34189">
        <w:rPr>
          <w:b/>
        </w:rPr>
        <w:t>TCO</w:t>
      </w:r>
      <w:r w:rsidR="00D00E09">
        <w:rPr>
          <w:b/>
        </w:rPr>
        <w:t>)</w:t>
      </w:r>
      <w:r w:rsidR="00B02942">
        <w:rPr>
          <w:b/>
        </w:rPr>
        <w:t xml:space="preserve"> of GHP systems with various total lengths of borehole heat exchangers (BHEs)</w:t>
      </w:r>
      <w:r w:rsidR="00836AA3">
        <w:rPr>
          <w:b/>
        </w:rPr>
        <w:t xml:space="preserve"> for the Ithaca site</w:t>
      </w:r>
      <w:r w:rsidR="00B02942">
        <w:rPr>
          <w:b/>
        </w:rPr>
        <w:t>.</w:t>
      </w:r>
    </w:p>
    <w:p w14:paraId="4F5E4F32" w14:textId="77777777" w:rsidR="00B37B77" w:rsidRDefault="00B37B77" w:rsidP="00B37B77"/>
    <w:p w14:paraId="70110202" w14:textId="77777777" w:rsidR="007A7B8C" w:rsidRDefault="00655FF3" w:rsidP="007A7B8C">
      <w:pPr>
        <w:pStyle w:val="Heading3"/>
      </w:pPr>
      <w:r>
        <w:t>3.2.2</w:t>
      </w:r>
      <w:r w:rsidR="007A7B8C">
        <w:t xml:space="preserve"> Economic Optimization of Dry Cooler Control Set Point for GHP+DC</w:t>
      </w:r>
    </w:p>
    <w:p w14:paraId="5787068E" w14:textId="148959C0" w:rsidR="007A7B8C" w:rsidRDefault="00B02942" w:rsidP="007A7B8C">
      <w:r>
        <w:t>T</w:t>
      </w:r>
      <w:r w:rsidR="003B080F">
        <w:t>he base case results</w:t>
      </w:r>
      <w:r w:rsidR="00CD4F4B">
        <w:t xml:space="preserve"> showed that the</w:t>
      </w:r>
      <w:r w:rsidR="00D00E09">
        <w:t xml:space="preserve"> addition of a</w:t>
      </w:r>
      <w:r w:rsidR="00CD4F4B">
        <w:t xml:space="preserve"> dry cooler </w:t>
      </w:r>
      <w:r w:rsidR="00D00E09">
        <w:t>increased the TCO of a</w:t>
      </w:r>
      <w:r>
        <w:t xml:space="preserve"> geothermal system. As a next step, the effect of varying</w:t>
      </w:r>
      <w:r w:rsidR="00CD4F4B">
        <w:t xml:space="preserve"> the dry cooler control set point was investigated</w:t>
      </w:r>
      <w:r>
        <w:t xml:space="preserve"> for the previously optimized BHE length of 760 m</w:t>
      </w:r>
      <w:r w:rsidR="00CD4F4B">
        <w:t>. The optimal</w:t>
      </w:r>
      <w:r>
        <w:t xml:space="preserve"> value of </w:t>
      </w:r>
      <w:r>
        <w:rPr>
          <w:i/>
        </w:rPr>
        <w:t>ΔT</w:t>
      </w:r>
      <w:r>
        <w:rPr>
          <w:i/>
          <w:vertAlign w:val="subscript"/>
        </w:rPr>
        <w:t>DC</w:t>
      </w:r>
      <w:r w:rsidR="00CD4F4B">
        <w:t xml:space="preserve"> </w:t>
      </w:r>
      <w:r>
        <w:t>(i.e. the minimu</w:t>
      </w:r>
      <w:r w:rsidR="00D00E09">
        <w:t>m difference between the</w:t>
      </w:r>
      <w:r>
        <w:t xml:space="preserve"> inlet temperatures </w:t>
      </w:r>
      <w:r w:rsidR="000F0726">
        <w:t>of glycol and air at which the dry cooler is activated</w:t>
      </w:r>
      <w:r>
        <w:t>)</w:t>
      </w:r>
      <w:r w:rsidR="000F0726">
        <w:t xml:space="preserve"> was </w:t>
      </w:r>
      <w:r w:rsidR="004B7ABC">
        <w:t>approximately</w:t>
      </w:r>
      <w:r w:rsidR="00CD4F4B">
        <w:t xml:space="preserve"> 22.2°C (40°F). The</w:t>
      </w:r>
      <w:r w:rsidR="000F0726">
        <w:t xml:space="preserve"> GHP+DC system with a </w:t>
      </w:r>
      <w:r w:rsidR="000F0726">
        <w:rPr>
          <w:i/>
        </w:rPr>
        <w:t>ΔT</w:t>
      </w:r>
      <w:r w:rsidR="000F0726">
        <w:rPr>
          <w:i/>
          <w:vertAlign w:val="subscript"/>
        </w:rPr>
        <w:t>DC</w:t>
      </w:r>
      <w:r w:rsidR="000F0726">
        <w:t xml:space="preserve"> of 22.2°C yielded a much higher COP of 2.99 as compared to 2.29 for the </w:t>
      </w:r>
      <w:r w:rsidR="000F0726">
        <w:rPr>
          <w:i/>
        </w:rPr>
        <w:t>ΔT</w:t>
      </w:r>
      <w:r w:rsidR="000F0726">
        <w:rPr>
          <w:i/>
          <w:vertAlign w:val="subscript"/>
        </w:rPr>
        <w:t>DC</w:t>
      </w:r>
      <w:r w:rsidR="000F0726">
        <w:t xml:space="preserve"> of 4.4°C used in the base case design. The optimized GHP+DC system provided slightly higher COP than the GHP system with a COP of 2.84. T</w:t>
      </w:r>
      <w:r w:rsidR="00CD4F4B">
        <w:t>he reduced electricity consumption</w:t>
      </w:r>
      <w:r w:rsidR="000F0726">
        <w:t xml:space="preserve"> of the GHP+DC system</w:t>
      </w:r>
      <w:r w:rsidR="00CD4F4B">
        <w:t xml:space="preserve"> was not enough</w:t>
      </w:r>
      <w:r w:rsidR="000F0726">
        <w:t>, however,</w:t>
      </w:r>
      <w:r w:rsidR="00CD4F4B">
        <w:t xml:space="preserve"> to cover the </w:t>
      </w:r>
      <w:r w:rsidR="000F0726">
        <w:t xml:space="preserve">added </w:t>
      </w:r>
      <w:r w:rsidR="00CD4F4B">
        <w:t>capital cost of the dry cooler</w:t>
      </w:r>
      <w:r w:rsidR="000F0726">
        <w:t xml:space="preserve"> compared to a GHP system</w:t>
      </w:r>
      <w:r w:rsidR="00D00E09">
        <w:t>. The COP and TCO</w:t>
      </w:r>
      <w:r w:rsidR="00CD4F4B">
        <w:t xml:space="preserve"> of the systems with varying dry cooler control set points are presented in Table </w:t>
      </w:r>
      <w:r w:rsidR="00655FF3">
        <w:t>6</w:t>
      </w:r>
      <w:r w:rsidR="00CD4F4B">
        <w:t>.</w:t>
      </w:r>
    </w:p>
    <w:p w14:paraId="72134AED" w14:textId="19C52E60" w:rsidR="00CD4F4B" w:rsidRDefault="00866CF0" w:rsidP="004B7ABC">
      <w:pPr>
        <w:jc w:val="center"/>
      </w:pPr>
      <w:r>
        <w:rPr>
          <w:noProof/>
        </w:rPr>
        <w:drawing>
          <wp:inline distT="0" distB="0" distL="0" distR="0" wp14:anchorId="516D8D6B" wp14:editId="2BE8B71A">
            <wp:extent cx="3111500" cy="11430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1500" cy="1143000"/>
                    </a:xfrm>
                    <a:prstGeom prst="rect">
                      <a:avLst/>
                    </a:prstGeom>
                    <a:noFill/>
                    <a:ln>
                      <a:noFill/>
                    </a:ln>
                  </pic:spPr>
                </pic:pic>
              </a:graphicData>
            </a:graphic>
          </wp:inline>
        </w:drawing>
      </w:r>
    </w:p>
    <w:p w14:paraId="692E6207" w14:textId="0A796FE3" w:rsidR="004B7ABC" w:rsidRDefault="004B7ABC" w:rsidP="004B7ABC">
      <w:pPr>
        <w:spacing w:before="120" w:after="120"/>
        <w:jc w:val="center"/>
        <w:rPr>
          <w:b/>
        </w:rPr>
      </w:pPr>
      <w:r>
        <w:rPr>
          <w:b/>
        </w:rPr>
        <w:t xml:space="preserve">Table </w:t>
      </w:r>
      <w:r w:rsidR="00655FF3">
        <w:rPr>
          <w:b/>
        </w:rPr>
        <w:t>6</w:t>
      </w:r>
      <w:r>
        <w:rPr>
          <w:b/>
        </w:rPr>
        <w:t xml:space="preserve">: </w:t>
      </w:r>
      <w:r w:rsidR="000F0726">
        <w:rPr>
          <w:b/>
        </w:rPr>
        <w:t>Coefficient of performance (</w:t>
      </w:r>
      <w:r>
        <w:rPr>
          <w:b/>
        </w:rPr>
        <w:t>COP</w:t>
      </w:r>
      <w:r w:rsidR="000F0726">
        <w:rPr>
          <w:b/>
        </w:rPr>
        <w:t>)</w:t>
      </w:r>
      <w:r>
        <w:rPr>
          <w:b/>
        </w:rPr>
        <w:t xml:space="preserve"> and</w:t>
      </w:r>
      <w:r w:rsidR="000F0726">
        <w:rPr>
          <w:b/>
        </w:rPr>
        <w:t xml:space="preserve"> </w:t>
      </w:r>
      <w:r w:rsidR="00D00E09">
        <w:rPr>
          <w:b/>
        </w:rPr>
        <w:t>the total cost of ownership (TCO)</w:t>
      </w:r>
      <w:r>
        <w:rPr>
          <w:b/>
        </w:rPr>
        <w:t xml:space="preserve"> of GHP+DC systems </w:t>
      </w:r>
      <w:r w:rsidR="000F0726">
        <w:rPr>
          <w:b/>
        </w:rPr>
        <w:t>for various</w:t>
      </w:r>
      <w:r>
        <w:rPr>
          <w:b/>
        </w:rPr>
        <w:t xml:space="preserve"> dry cooler control set points </w:t>
      </w:r>
      <w:r w:rsidR="000F0726">
        <w:rPr>
          <w:b/>
        </w:rPr>
        <w:t xml:space="preserve">as </w:t>
      </w:r>
      <w:r>
        <w:rPr>
          <w:b/>
        </w:rPr>
        <w:t>compared to</w:t>
      </w:r>
      <w:r w:rsidR="000F0726">
        <w:rPr>
          <w:b/>
        </w:rPr>
        <w:t xml:space="preserve"> a</w:t>
      </w:r>
      <w:r>
        <w:rPr>
          <w:b/>
        </w:rPr>
        <w:t xml:space="preserve"> GHP system</w:t>
      </w:r>
      <w:r w:rsidR="000F0726">
        <w:rPr>
          <w:b/>
        </w:rPr>
        <w:t>. The total length of the borehole heat exchangers was set to</w:t>
      </w:r>
      <w:r>
        <w:rPr>
          <w:b/>
        </w:rPr>
        <w:t xml:space="preserve"> 760 m</w:t>
      </w:r>
      <w:r w:rsidR="000F0726">
        <w:rPr>
          <w:b/>
        </w:rPr>
        <w:t xml:space="preserve"> for</w:t>
      </w:r>
      <w:r w:rsidR="00D00E09">
        <w:rPr>
          <w:b/>
        </w:rPr>
        <w:t xml:space="preserve"> each case.</w:t>
      </w:r>
    </w:p>
    <w:p w14:paraId="53BF56A4" w14:textId="77777777" w:rsidR="00D92E0B" w:rsidRDefault="00D92E0B" w:rsidP="00D92E0B"/>
    <w:p w14:paraId="7394E44D" w14:textId="77777777" w:rsidR="00655FF3" w:rsidRDefault="00655FF3" w:rsidP="00655FF3">
      <w:pPr>
        <w:pStyle w:val="Heading3"/>
      </w:pPr>
      <w:r>
        <w:t>3.2.3 Economic Incentives</w:t>
      </w:r>
    </w:p>
    <w:p w14:paraId="32075B54" w14:textId="7CD14051" w:rsidR="00655FF3" w:rsidRDefault="00655FF3" w:rsidP="00655FF3">
      <w:r>
        <w:t xml:space="preserve">The effect of incentives on the </w:t>
      </w:r>
      <w:r w:rsidR="00D00E09">
        <w:t>TCO</w:t>
      </w:r>
      <w:r>
        <w:t xml:space="preserve"> of the</w:t>
      </w:r>
      <w:r w:rsidR="00D00E09">
        <w:t xml:space="preserve"> optimized</w:t>
      </w:r>
      <w:r>
        <w:t xml:space="preserve"> GHP</w:t>
      </w:r>
      <w:r w:rsidR="000F0726">
        <w:t xml:space="preserve"> </w:t>
      </w:r>
      <w:r w:rsidR="00924DF7">
        <w:t xml:space="preserve">and </w:t>
      </w:r>
      <w:r w:rsidR="000F0726">
        <w:t>GHP+DC system</w:t>
      </w:r>
      <w:r w:rsidR="00924DF7">
        <w:t>s</w:t>
      </w:r>
      <w:r w:rsidR="000F0726">
        <w:t xml:space="preserve"> were analyzed in two forms. T</w:t>
      </w:r>
      <w:r>
        <w:t xml:space="preserve">he first </w:t>
      </w:r>
      <w:r w:rsidR="000F0726">
        <w:t>was an</w:t>
      </w:r>
      <w:r w:rsidR="003A4DF4">
        <w:t xml:space="preserve"> investment tax credit</w:t>
      </w:r>
      <w:r>
        <w:t xml:space="preserve"> which would effectively reduce </w:t>
      </w:r>
      <w:r w:rsidR="000F0726">
        <w:t>the capital cost of the systems and the second was a</w:t>
      </w:r>
      <w:r>
        <w:t xml:space="preserve"> utility rebate</w:t>
      </w:r>
      <w:r w:rsidR="003A4DF4">
        <w:t xml:space="preserve"> where</w:t>
      </w:r>
      <w:r>
        <w:t xml:space="preserve"> a utilities company would incentivize </w:t>
      </w:r>
      <w:r w:rsidR="003A4DF4">
        <w:t>more energy efficient systems</w:t>
      </w:r>
      <w:r>
        <w:t xml:space="preserve"> with rebates on the </w:t>
      </w:r>
      <w:r w:rsidR="003A4DF4">
        <w:t>saved electricity.</w:t>
      </w:r>
      <w:r>
        <w:t xml:space="preserve"> The results are presented in Table</w:t>
      </w:r>
      <w:r w:rsidR="00924DF7">
        <w:t>s</w:t>
      </w:r>
      <w:r>
        <w:t xml:space="preserve"> 7 and 8. The investment tax credit had </w:t>
      </w:r>
      <w:r w:rsidR="00924DF7">
        <w:t>a much greater impact on the TCO</w:t>
      </w:r>
      <w:r>
        <w:t xml:space="preserve"> than the utility rebates.</w:t>
      </w:r>
      <w:r w:rsidR="003A4DF4">
        <w:t xml:space="preserve"> To break even with an ASHP system, the </w:t>
      </w:r>
      <w:r w:rsidR="00924DF7">
        <w:t xml:space="preserve">optimized </w:t>
      </w:r>
      <w:r w:rsidR="003A4DF4">
        <w:t>GHP</w:t>
      </w:r>
      <w:r w:rsidR="00924DF7">
        <w:t xml:space="preserve"> and GHP+DC</w:t>
      </w:r>
      <w:r w:rsidR="003A4DF4">
        <w:t xml:space="preserve"> system</w:t>
      </w:r>
      <w:r w:rsidR="00924DF7">
        <w:t>s would require</w:t>
      </w:r>
      <w:r w:rsidR="003A4DF4">
        <w:t xml:space="preserve"> investment tax credit</w:t>
      </w:r>
      <w:r w:rsidR="00924DF7">
        <w:t>s</w:t>
      </w:r>
      <w:r w:rsidR="003A4DF4">
        <w:t xml:space="preserve"> of 18% </w:t>
      </w:r>
      <w:r w:rsidR="00924DF7">
        <w:t>and 24% of their respective capital costs if</w:t>
      </w:r>
      <w:r w:rsidR="003A4DF4">
        <w:t xml:space="preserve"> no utility rebates </w:t>
      </w:r>
      <w:r w:rsidR="00924DF7">
        <w:t xml:space="preserve">were </w:t>
      </w:r>
      <w:r w:rsidR="003A4DF4">
        <w:t>provided.</w:t>
      </w:r>
    </w:p>
    <w:p w14:paraId="7A0D8754" w14:textId="51B2BDD6" w:rsidR="00334F30" w:rsidRDefault="00866CF0" w:rsidP="00334F30">
      <w:pPr>
        <w:jc w:val="center"/>
      </w:pPr>
      <w:r>
        <w:rPr>
          <w:noProof/>
        </w:rPr>
        <w:lastRenderedPageBreak/>
        <w:drawing>
          <wp:inline distT="0" distB="0" distL="0" distR="0" wp14:anchorId="113360C2" wp14:editId="69AA9F6B">
            <wp:extent cx="3784600" cy="11303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600" cy="1130300"/>
                    </a:xfrm>
                    <a:prstGeom prst="rect">
                      <a:avLst/>
                    </a:prstGeom>
                    <a:noFill/>
                    <a:ln>
                      <a:noFill/>
                    </a:ln>
                  </pic:spPr>
                </pic:pic>
              </a:graphicData>
            </a:graphic>
          </wp:inline>
        </w:drawing>
      </w:r>
    </w:p>
    <w:p w14:paraId="740D9461" w14:textId="31713770" w:rsidR="00334F30" w:rsidRDefault="003A4DF4" w:rsidP="00334F30">
      <w:pPr>
        <w:spacing w:before="120"/>
        <w:jc w:val="center"/>
        <w:rPr>
          <w:b/>
        </w:rPr>
      </w:pPr>
      <w:r>
        <w:rPr>
          <w:b/>
        </w:rPr>
        <w:t>Table 7</w:t>
      </w:r>
      <w:r w:rsidR="00334F30">
        <w:rPr>
          <w:b/>
        </w:rPr>
        <w:t>:</w:t>
      </w:r>
      <w:r w:rsidR="00924DF7">
        <w:rPr>
          <w:b/>
        </w:rPr>
        <w:t xml:space="preserve"> Total cost of ownership</w:t>
      </w:r>
      <w:r w:rsidR="00990BA5">
        <w:rPr>
          <w:b/>
        </w:rPr>
        <w:t xml:space="preserve"> of</w:t>
      </w:r>
      <w:r w:rsidR="00924DF7">
        <w:rPr>
          <w:b/>
        </w:rPr>
        <w:t xml:space="preserve"> an optimized</w:t>
      </w:r>
      <w:r w:rsidR="00990BA5">
        <w:rPr>
          <w:b/>
        </w:rPr>
        <w:t xml:space="preserve"> GHP system </w:t>
      </w:r>
      <w:r w:rsidR="00924DF7">
        <w:rPr>
          <w:b/>
        </w:rPr>
        <w:t xml:space="preserve">for </w:t>
      </w:r>
      <w:r w:rsidR="00D10E82">
        <w:rPr>
          <w:b/>
        </w:rPr>
        <w:t>various</w:t>
      </w:r>
      <w:r w:rsidR="00990BA5">
        <w:rPr>
          <w:b/>
        </w:rPr>
        <w:t xml:space="preserve"> investment tax credits and utility rebates.</w:t>
      </w:r>
    </w:p>
    <w:p w14:paraId="4802389C" w14:textId="77777777" w:rsidR="00990BA5" w:rsidRDefault="00990BA5" w:rsidP="00990BA5"/>
    <w:p w14:paraId="18429DC1" w14:textId="65B8741D" w:rsidR="00990BA5" w:rsidRDefault="00866CF0" w:rsidP="00990BA5">
      <w:pPr>
        <w:jc w:val="center"/>
      </w:pPr>
      <w:r>
        <w:rPr>
          <w:noProof/>
        </w:rPr>
        <w:drawing>
          <wp:inline distT="0" distB="0" distL="0" distR="0" wp14:anchorId="40D96944" wp14:editId="3A9E4B38">
            <wp:extent cx="3784600" cy="1130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4600" cy="1130300"/>
                    </a:xfrm>
                    <a:prstGeom prst="rect">
                      <a:avLst/>
                    </a:prstGeom>
                    <a:noFill/>
                    <a:ln>
                      <a:noFill/>
                    </a:ln>
                  </pic:spPr>
                </pic:pic>
              </a:graphicData>
            </a:graphic>
          </wp:inline>
        </w:drawing>
      </w:r>
    </w:p>
    <w:p w14:paraId="4EAAA9DD" w14:textId="5022AF64" w:rsidR="00990BA5" w:rsidRPr="00990BA5" w:rsidRDefault="00990BA5" w:rsidP="00990BA5">
      <w:pPr>
        <w:spacing w:after="120"/>
        <w:jc w:val="center"/>
        <w:rPr>
          <w:b/>
        </w:rPr>
      </w:pPr>
      <w:r>
        <w:rPr>
          <w:b/>
        </w:rPr>
        <w:t xml:space="preserve">Table </w:t>
      </w:r>
      <w:r w:rsidR="003A4DF4">
        <w:rPr>
          <w:b/>
        </w:rPr>
        <w:t>8</w:t>
      </w:r>
      <w:r w:rsidR="00924DF7">
        <w:rPr>
          <w:b/>
        </w:rPr>
        <w:t>: Total cost of ownership</w:t>
      </w:r>
      <w:r>
        <w:rPr>
          <w:b/>
        </w:rPr>
        <w:t xml:space="preserve"> of</w:t>
      </w:r>
      <w:r w:rsidR="00924DF7">
        <w:rPr>
          <w:b/>
        </w:rPr>
        <w:t xml:space="preserve"> an optimized</w:t>
      </w:r>
      <w:r>
        <w:rPr>
          <w:b/>
        </w:rPr>
        <w:t xml:space="preserve"> GHP+DC system </w:t>
      </w:r>
      <w:r w:rsidR="00924DF7">
        <w:rPr>
          <w:b/>
        </w:rPr>
        <w:t>for</w:t>
      </w:r>
      <w:r w:rsidR="00D10E82">
        <w:rPr>
          <w:b/>
        </w:rPr>
        <w:t xml:space="preserve"> various</w:t>
      </w:r>
      <w:r>
        <w:rPr>
          <w:b/>
        </w:rPr>
        <w:t xml:space="preserve"> investment tax credits and utility rebates.</w:t>
      </w:r>
    </w:p>
    <w:p w14:paraId="04435855" w14:textId="77777777" w:rsidR="00655FF3" w:rsidRPr="004B7ABC" w:rsidRDefault="00655FF3" w:rsidP="00990BA5"/>
    <w:p w14:paraId="26A06E93" w14:textId="6473523F" w:rsidR="00FB45E5" w:rsidRDefault="00D92E0B" w:rsidP="00D92E0B">
      <w:pPr>
        <w:pStyle w:val="Heading1"/>
      </w:pPr>
      <w:r>
        <w:t>4</w:t>
      </w:r>
      <w:r w:rsidR="00FB45E5">
        <w:t xml:space="preserve"> Preliminary Nationwide Analysis</w:t>
      </w:r>
    </w:p>
    <w:p w14:paraId="372739E4" w14:textId="234B57E2" w:rsidR="00D92E0B" w:rsidRPr="00D92E0B" w:rsidRDefault="00D92E0B" w:rsidP="00D92E0B">
      <w:pPr>
        <w:pStyle w:val="Heading2"/>
      </w:pPr>
      <w:r>
        <w:t>4.1 U.S. Representative Site Results</w:t>
      </w:r>
    </w:p>
    <w:p w14:paraId="73BED1FE" w14:textId="14EA4809" w:rsidR="00727F44" w:rsidRDefault="00924DF7" w:rsidP="00007EE0">
      <w:r>
        <w:t>A p</w:t>
      </w:r>
      <w:r w:rsidR="006627C6" w:rsidRPr="0090114A">
        <w:t xml:space="preserve">reliminary analysis of the </w:t>
      </w:r>
      <w:r w:rsidR="00473FB7">
        <w:t>technical and economic performance</w:t>
      </w:r>
      <w:r w:rsidR="006627C6" w:rsidRPr="0090114A">
        <w:t xml:space="preserve"> of hybrid GHP systems for data center cooling was conducted for </w:t>
      </w:r>
      <w:r w:rsidR="00990BA5" w:rsidRPr="0090114A">
        <w:t xml:space="preserve">three </w:t>
      </w:r>
      <w:r w:rsidR="006627C6" w:rsidRPr="0090114A">
        <w:t>other U.S. cities</w:t>
      </w:r>
      <w:r w:rsidR="00990BA5" w:rsidRPr="0090114A">
        <w:t>: Dallas, TX, Sacramento, CA</w:t>
      </w:r>
      <w:r w:rsidR="0090114A">
        <w:t>, and Minneapolis, MN</w:t>
      </w:r>
      <w:r w:rsidR="006627C6" w:rsidRPr="0090114A">
        <w:t>. The cities chosen for</w:t>
      </w:r>
      <w:r>
        <w:t xml:space="preserve"> the</w:t>
      </w:r>
      <w:r w:rsidR="006627C6" w:rsidRPr="0090114A">
        <w:t xml:space="preserve"> preliminary analysis were intended</w:t>
      </w:r>
      <w:r w:rsidR="00473FB7">
        <w:t xml:space="preserve"> to represent different climate</w:t>
      </w:r>
      <w:r w:rsidR="006627C6" w:rsidRPr="0090114A">
        <w:t xml:space="preserve"> zones in the U.S.</w:t>
      </w:r>
      <w:r w:rsidR="00B37DC0">
        <w:t xml:space="preserve"> and different prices of electricity</w:t>
      </w:r>
      <w:r w:rsidR="006627C6" w:rsidRPr="0090114A">
        <w:t>. The ambient temperature inputs to the TRNSYS model were modified using TMY3 files for each respective city. The BHE models were modified using the average ambient temperature from the respective TMY3 files for the f</w:t>
      </w:r>
      <w:r>
        <w:t>ar-field soil temperature</w:t>
      </w:r>
      <w:r w:rsidR="006627C6" w:rsidRPr="0090114A">
        <w:t xml:space="preserve"> and the soil </w:t>
      </w:r>
      <w:r>
        <w:t xml:space="preserve">thermal </w:t>
      </w:r>
      <w:r w:rsidR="006627C6" w:rsidRPr="0090114A">
        <w:t>conductivity values were estimated using hydrogeological data</w:t>
      </w:r>
      <w:r w:rsidR="008603DE">
        <w:t xml:space="preserve"> (Thomas, 1952; Heath, 1984; Schruben, et al., 1997; Soller, et al., 2009; USGS, 2014)</w:t>
      </w:r>
      <w:r w:rsidR="006627C6" w:rsidRPr="0090114A">
        <w:t>.</w:t>
      </w:r>
      <w:r w:rsidR="008603DE">
        <w:t xml:space="preserve"> The process of estimating soil thermal conductivities is outlined in further detail in Aguirre et al. (2017).</w:t>
      </w:r>
      <w:r w:rsidR="006627C6" w:rsidRPr="0090114A">
        <w:t xml:space="preserve"> </w:t>
      </w:r>
      <w:r>
        <w:t>T</w:t>
      </w:r>
      <w:r w:rsidR="006627C6" w:rsidRPr="0090114A">
        <w:t xml:space="preserve">he well field configuration was not optimized for each location. </w:t>
      </w:r>
      <w:r>
        <w:t>Instead, the total BHE length</w:t>
      </w:r>
      <w:r w:rsidR="006627C6" w:rsidRPr="0090114A">
        <w:t xml:space="preserve"> was adjusted for each site based on </w:t>
      </w:r>
      <w:r>
        <w:t>the prior study</w:t>
      </w:r>
      <w:r w:rsidR="006627C6" w:rsidRPr="0090114A">
        <w:t xml:space="preserve"> of geothermal cooling </w:t>
      </w:r>
      <w:r>
        <w:t xml:space="preserve">systems </w:t>
      </w:r>
      <w:r w:rsidR="006627C6" w:rsidRPr="0090114A">
        <w:t>for cellular tower shelters</w:t>
      </w:r>
      <w:r w:rsidR="00F3304D">
        <w:t xml:space="preserve"> (Aguirre, 2018</w:t>
      </w:r>
      <w:r w:rsidR="008603DE">
        <w:t>)</w:t>
      </w:r>
      <w:r w:rsidR="006627C6" w:rsidRPr="0090114A">
        <w:t>. The values of t</w:t>
      </w:r>
      <w:r w:rsidR="00003A36">
        <w:t>otal BHE length</w:t>
      </w:r>
      <w:r w:rsidR="006627C6" w:rsidRPr="0090114A">
        <w:t xml:space="preserve"> used for the nationwide cellular tower study were used to scale the </w:t>
      </w:r>
      <w:r w:rsidR="0090114A">
        <w:t>optimized value</w:t>
      </w:r>
      <w:r w:rsidR="00CC7302" w:rsidRPr="0090114A">
        <w:t xml:space="preserve"> of BHE </w:t>
      </w:r>
      <w:r w:rsidR="0090114A">
        <w:t>length</w:t>
      </w:r>
      <w:r w:rsidR="00CC7302" w:rsidRPr="0090114A">
        <w:t xml:space="preserve"> for</w:t>
      </w:r>
      <w:r w:rsidR="006627C6" w:rsidRPr="0090114A">
        <w:t xml:space="preserve"> </w:t>
      </w:r>
      <w:r w:rsidR="00CC7302" w:rsidRPr="0090114A">
        <w:t>the Ithaca site</w:t>
      </w:r>
      <w:r w:rsidR="006627C6" w:rsidRPr="0090114A">
        <w:t xml:space="preserve">. </w:t>
      </w:r>
      <w:r w:rsidR="0090114A">
        <w:t>The modified TRNSYS inputs for eac</w:t>
      </w:r>
      <w:r w:rsidR="003A4DF4">
        <w:t>h city are presented in Table 9</w:t>
      </w:r>
      <w:r w:rsidR="0090114A">
        <w:t>.</w:t>
      </w:r>
    </w:p>
    <w:p w14:paraId="7A8B003F" w14:textId="756D2642" w:rsidR="0090114A" w:rsidRDefault="00866CF0" w:rsidP="0090114A">
      <w:pPr>
        <w:jc w:val="center"/>
      </w:pPr>
      <w:r>
        <w:rPr>
          <w:noProof/>
        </w:rPr>
        <w:drawing>
          <wp:inline distT="0" distB="0" distL="0" distR="0" wp14:anchorId="7EC91EB1" wp14:editId="5221CAC7">
            <wp:extent cx="5410200" cy="7493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749300"/>
                    </a:xfrm>
                    <a:prstGeom prst="rect">
                      <a:avLst/>
                    </a:prstGeom>
                    <a:noFill/>
                    <a:ln>
                      <a:noFill/>
                    </a:ln>
                  </pic:spPr>
                </pic:pic>
              </a:graphicData>
            </a:graphic>
          </wp:inline>
        </w:drawing>
      </w:r>
    </w:p>
    <w:p w14:paraId="41955E35" w14:textId="33E30A80" w:rsidR="0090114A" w:rsidRPr="0090114A" w:rsidRDefault="003A4DF4" w:rsidP="0090114A">
      <w:pPr>
        <w:spacing w:after="120"/>
        <w:jc w:val="center"/>
        <w:rPr>
          <w:b/>
        </w:rPr>
      </w:pPr>
      <w:r>
        <w:rPr>
          <w:b/>
        </w:rPr>
        <w:t>Table 9</w:t>
      </w:r>
      <w:r w:rsidR="0090114A">
        <w:rPr>
          <w:b/>
        </w:rPr>
        <w:t>: Modified TRNSYS inputs for</w:t>
      </w:r>
      <w:r w:rsidR="00924DF7">
        <w:rPr>
          <w:b/>
        </w:rPr>
        <w:t xml:space="preserve"> the analysis of other locations</w:t>
      </w:r>
      <w:r w:rsidR="0090114A">
        <w:rPr>
          <w:b/>
        </w:rPr>
        <w:t>.</w:t>
      </w:r>
    </w:p>
    <w:p w14:paraId="1A4BF1B2" w14:textId="77777777" w:rsidR="0090114A" w:rsidRDefault="0090114A" w:rsidP="00007EE0"/>
    <w:p w14:paraId="6E83F65A" w14:textId="69708E7F" w:rsidR="0090114A" w:rsidRDefault="00473FB7" w:rsidP="00007EE0">
      <w:r>
        <w:t xml:space="preserve">The COPs of the cooling systems for each city and the expected reduction in cooling capacity for the GHP and GHP+DC systems </w:t>
      </w:r>
      <w:r w:rsidR="00924DF7">
        <w:t xml:space="preserve">after 20 years </w:t>
      </w:r>
      <w:r>
        <w:t>are presented in Table</w:t>
      </w:r>
      <w:r w:rsidR="00924DF7">
        <w:t>s</w:t>
      </w:r>
      <w:r>
        <w:t xml:space="preserve"> 10</w:t>
      </w:r>
      <w:r w:rsidR="00924DF7">
        <w:t xml:space="preserve"> and </w:t>
      </w:r>
      <w:r w:rsidR="00C15A7D">
        <w:t>11</w:t>
      </w:r>
      <w:r w:rsidR="003C43ED">
        <w:t>.</w:t>
      </w:r>
      <w:r w:rsidR="007874CC">
        <w:t xml:space="preserve"> The ASHP system in Dallas had</w:t>
      </w:r>
      <w:r w:rsidR="003C43ED">
        <w:t xml:space="preserve"> the lowest COP due to the high average ambient temperature.</w:t>
      </w:r>
      <w:r w:rsidR="00C65D8E">
        <w:t xml:space="preserve"> E</w:t>
      </w:r>
      <w:r w:rsidR="003C43ED">
        <w:t>ven though the total borehole length used for the simulation</w:t>
      </w:r>
      <w:r w:rsidR="00C65D8E">
        <w:t>s</w:t>
      </w:r>
      <w:r w:rsidR="003C43ED">
        <w:t xml:space="preserve"> of the </w:t>
      </w:r>
      <w:r w:rsidR="00C65D8E">
        <w:t>geothermal</w:t>
      </w:r>
      <w:r w:rsidR="003C43ED">
        <w:t xml:space="preserve"> systems in Dallas was more than twice that of the length used in the optimized simulations for Ithaca, the</w:t>
      </w:r>
      <w:r w:rsidR="00C65D8E">
        <w:t>ir</w:t>
      </w:r>
      <w:r w:rsidR="003C43ED">
        <w:t xml:space="preserve"> COPs were </w:t>
      </w:r>
      <w:r w:rsidR="00C65D8E">
        <w:t>lower</w:t>
      </w:r>
      <w:r w:rsidR="003C43ED">
        <w:t>.</w:t>
      </w:r>
    </w:p>
    <w:p w14:paraId="5C032FE6" w14:textId="0AD35B12" w:rsidR="006E146D" w:rsidRDefault="00866CF0" w:rsidP="009A43C6">
      <w:pPr>
        <w:jc w:val="center"/>
      </w:pPr>
      <w:r>
        <w:rPr>
          <w:noProof/>
        </w:rPr>
        <w:lastRenderedPageBreak/>
        <w:drawing>
          <wp:inline distT="0" distB="0" distL="0" distR="0" wp14:anchorId="3048970E" wp14:editId="2A39EA04">
            <wp:extent cx="2171700" cy="22225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2222500"/>
                    </a:xfrm>
                    <a:prstGeom prst="rect">
                      <a:avLst/>
                    </a:prstGeom>
                    <a:noFill/>
                    <a:ln>
                      <a:noFill/>
                    </a:ln>
                  </pic:spPr>
                </pic:pic>
              </a:graphicData>
            </a:graphic>
          </wp:inline>
        </w:drawing>
      </w:r>
    </w:p>
    <w:p w14:paraId="4F4642D0" w14:textId="5AEEB688" w:rsidR="009A43C6" w:rsidRDefault="003C43ED" w:rsidP="009A43C6">
      <w:pPr>
        <w:spacing w:before="120" w:after="120"/>
        <w:jc w:val="center"/>
        <w:rPr>
          <w:b/>
        </w:rPr>
      </w:pPr>
      <w:r>
        <w:rPr>
          <w:b/>
        </w:rPr>
        <w:t>Table 10: COP of cooling systems for Dallas, TX, Sacramento, CA, and Minneapolis, MN.</w:t>
      </w:r>
    </w:p>
    <w:p w14:paraId="0415FF45" w14:textId="77777777" w:rsidR="003C43ED" w:rsidRDefault="003C43ED" w:rsidP="003C43ED"/>
    <w:p w14:paraId="12DD6FA7" w14:textId="3F36C9D7" w:rsidR="003C43ED" w:rsidRDefault="00866CF0" w:rsidP="003C43ED">
      <w:pPr>
        <w:jc w:val="center"/>
      </w:pPr>
      <w:r>
        <w:rPr>
          <w:noProof/>
        </w:rPr>
        <w:drawing>
          <wp:inline distT="0" distB="0" distL="0" distR="0" wp14:anchorId="2D7D15A1" wp14:editId="48E974E8">
            <wp:extent cx="4508500" cy="16764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8500" cy="1676400"/>
                    </a:xfrm>
                    <a:prstGeom prst="rect">
                      <a:avLst/>
                    </a:prstGeom>
                    <a:noFill/>
                    <a:ln>
                      <a:noFill/>
                    </a:ln>
                  </pic:spPr>
                </pic:pic>
              </a:graphicData>
            </a:graphic>
          </wp:inline>
        </w:drawing>
      </w:r>
    </w:p>
    <w:p w14:paraId="2EF11D53" w14:textId="0DEB4AA7" w:rsidR="003C43ED" w:rsidRPr="003C43ED" w:rsidRDefault="003C43ED" w:rsidP="003C43ED">
      <w:pPr>
        <w:spacing w:before="120"/>
        <w:jc w:val="center"/>
        <w:rPr>
          <w:b/>
        </w:rPr>
      </w:pPr>
      <w:r>
        <w:rPr>
          <w:b/>
        </w:rPr>
        <w:t>Table 11: Reducti</w:t>
      </w:r>
      <w:r w:rsidR="00C65D8E">
        <w:rPr>
          <w:b/>
        </w:rPr>
        <w:t>on in total cooling capacity of</w:t>
      </w:r>
      <w:r>
        <w:rPr>
          <w:b/>
        </w:rPr>
        <w:t xml:space="preserve"> GHP and GHP+DC systems in Dallas, </w:t>
      </w:r>
      <w:r w:rsidR="007874CC">
        <w:rPr>
          <w:b/>
        </w:rPr>
        <w:t>TX, Sacramento, CA, and Minneapo</w:t>
      </w:r>
      <w:r>
        <w:rPr>
          <w:b/>
        </w:rPr>
        <w:t>lis, MN</w:t>
      </w:r>
      <w:r w:rsidR="00C65D8E">
        <w:rPr>
          <w:b/>
        </w:rPr>
        <w:t xml:space="preserve"> resulting from increase in the subsurface temperature</w:t>
      </w:r>
      <w:r>
        <w:rPr>
          <w:b/>
        </w:rPr>
        <w:t>.</w:t>
      </w:r>
    </w:p>
    <w:p w14:paraId="2B5B8581" w14:textId="77777777" w:rsidR="00126F04" w:rsidRDefault="00126F04" w:rsidP="00F3304D"/>
    <w:p w14:paraId="7EDFEB5F" w14:textId="2DD3F2D1" w:rsidR="007874CC" w:rsidRDefault="00866CF0" w:rsidP="007874CC">
      <w:pPr>
        <w:jc w:val="center"/>
      </w:pPr>
      <w:r>
        <w:rPr>
          <w:noProof/>
        </w:rPr>
        <w:drawing>
          <wp:inline distT="0" distB="0" distL="0" distR="0" wp14:anchorId="7AB4D90A" wp14:editId="1621E828">
            <wp:extent cx="5702300" cy="1866900"/>
            <wp:effectExtent l="0" t="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2300" cy="1866900"/>
                    </a:xfrm>
                    <a:prstGeom prst="rect">
                      <a:avLst/>
                    </a:prstGeom>
                    <a:noFill/>
                    <a:ln>
                      <a:noFill/>
                    </a:ln>
                  </pic:spPr>
                </pic:pic>
              </a:graphicData>
            </a:graphic>
          </wp:inline>
        </w:drawing>
      </w:r>
    </w:p>
    <w:p w14:paraId="779E54EC" w14:textId="2816F71B" w:rsidR="00383BC3" w:rsidRDefault="007874CC" w:rsidP="001A0985">
      <w:pPr>
        <w:spacing w:before="120" w:after="120"/>
        <w:jc w:val="center"/>
        <w:rPr>
          <w:b/>
        </w:rPr>
      </w:pPr>
      <w:r>
        <w:rPr>
          <w:b/>
        </w:rPr>
        <w:t xml:space="preserve">Table 12: </w:t>
      </w:r>
      <w:r w:rsidR="001A0985">
        <w:rPr>
          <w:b/>
        </w:rPr>
        <w:t>Results of the economic analysis for data center cooling systems in Dallas, TX, Sacramento, CA, and Minneapolis, MN.</w:t>
      </w:r>
    </w:p>
    <w:p w14:paraId="23B99363" w14:textId="77777777" w:rsidR="00383BC3" w:rsidRDefault="00383BC3" w:rsidP="00383BC3"/>
    <w:p w14:paraId="0DD03361" w14:textId="38684DBE" w:rsidR="00F3304D" w:rsidRPr="00383BC3" w:rsidRDefault="00F3304D" w:rsidP="00383BC3">
      <w:r>
        <w:t xml:space="preserve">The </w:t>
      </w:r>
      <w:r w:rsidR="00B37DC0">
        <w:t>TCO</w:t>
      </w:r>
      <w:r>
        <w:t xml:space="preserve"> for each location were evaluated using the cost information listed in Table 3. The price of electricity was modified to represent the average rate in each state</w:t>
      </w:r>
      <w:r>
        <w:rPr>
          <w:noProof/>
        </w:rPr>
        <w:t xml:space="preserve"> (EIA, 2017)</w:t>
      </w:r>
      <w:r>
        <w:t xml:space="preserve"> and the cost of drilling and installation of BHEs is a regional average</w:t>
      </w:r>
      <w:r>
        <w:rPr>
          <w:noProof/>
        </w:rPr>
        <w:t xml:space="preserve"> (Battocletti &amp; Glassley, 2013)</w:t>
      </w:r>
      <w:r>
        <w:t xml:space="preserve">. Table 12 provides results of  the economic analysis for all three locations without consideration of any economic incentives. Of the cities analyzed, Minneapolis had the smallest difference in TCO between the GHP and ASHP systems at $17,000, </w:t>
      </w:r>
      <w:r>
        <w:lastRenderedPageBreak/>
        <w:t>despite the fact that the difference in COPs between the two systems was the smallest for this city. This is likely due to the low cost per meter of the subsurface loop and moderate electricity price. Dallas had the greatest difference in TCO at $52,000 despite the largest difference in COPs. This is likely due to the low price of electricity for Dallas. Preliminary analysis suggests that economic parameters are typically a greater determinant of TCO than the relative efficiencies of the systems.</w:t>
      </w:r>
    </w:p>
    <w:p w14:paraId="578EDFD7" w14:textId="2496C8B0" w:rsidR="00FD43DD" w:rsidRPr="00FD43DD" w:rsidRDefault="00D92E0B" w:rsidP="00FD43DD">
      <w:pPr>
        <w:pStyle w:val="Heading2"/>
      </w:pPr>
      <w:r>
        <w:t>4.2</w:t>
      </w:r>
      <w:r w:rsidR="00FD43DD">
        <w:t xml:space="preserve"> Future Work</w:t>
      </w:r>
    </w:p>
    <w:p w14:paraId="1F2E32C5" w14:textId="1DF88BD4" w:rsidR="00727F44" w:rsidRPr="00727F44" w:rsidRDefault="00D92E0B" w:rsidP="00727F44">
      <w:r>
        <w:t>Expanding on our preliminary analysis of three representative locations,</w:t>
      </w:r>
      <w:r w:rsidR="00EC6528">
        <w:t xml:space="preserve"> f</w:t>
      </w:r>
      <w:r w:rsidR="00B37B77">
        <w:t xml:space="preserve">uture work </w:t>
      </w:r>
      <w:r w:rsidR="00EC6528">
        <w:t xml:space="preserve">will </w:t>
      </w:r>
      <w:r w:rsidR="001A0985">
        <w:t>include a nationwide</w:t>
      </w:r>
      <w:r w:rsidR="00B37B77">
        <w:t xml:space="preserve"> </w:t>
      </w:r>
      <w:r w:rsidR="00EC6528">
        <w:t>assessment</w:t>
      </w:r>
      <w:r w:rsidR="00B37B77">
        <w:t xml:space="preserve"> of the performance and economics of </w:t>
      </w:r>
      <w:r w:rsidR="001A0985">
        <w:t>geothermal and air-source heat pumps for cooling</w:t>
      </w:r>
      <w:r w:rsidR="00B37B77">
        <w:t xml:space="preserve"> data center</w:t>
      </w:r>
      <w:r w:rsidR="001A0985">
        <w:t>s</w:t>
      </w:r>
      <w:r w:rsidR="00B37B77">
        <w:t>.</w:t>
      </w:r>
      <w:r w:rsidR="0076060C">
        <w:t xml:space="preserve"> The results of this analysis sh</w:t>
      </w:r>
      <w:r w:rsidR="00B37B77">
        <w:t xml:space="preserve">ould allow for the </w:t>
      </w:r>
      <w:r w:rsidR="001A0985">
        <w:t>TCO</w:t>
      </w:r>
      <w:r w:rsidR="00EC6528">
        <w:t xml:space="preserve"> of the systems to be expressed</w:t>
      </w:r>
      <w:r w:rsidR="00B37B77">
        <w:t xml:space="preserve"> as a function </w:t>
      </w:r>
      <w:r w:rsidR="00EC6528">
        <w:t xml:space="preserve">of the climate, </w:t>
      </w:r>
      <w:r w:rsidR="00E75D4C">
        <w:t xml:space="preserve">the </w:t>
      </w:r>
      <w:r w:rsidR="00EC6528">
        <w:t xml:space="preserve">thermal conductivity of the soil, </w:t>
      </w:r>
      <w:r w:rsidR="001A0985">
        <w:t xml:space="preserve">the cost of installing BHEs, </w:t>
      </w:r>
      <w:r w:rsidR="00EC6528">
        <w:t>and the price of electricity.</w:t>
      </w:r>
      <w:r w:rsidR="00B37B77">
        <w:t xml:space="preserve"> Additionally</w:t>
      </w:r>
      <w:r w:rsidR="00EC6528">
        <w:t>,</w:t>
      </w:r>
      <w:r w:rsidR="00B37B77">
        <w:t xml:space="preserve"> other </w:t>
      </w:r>
      <w:r w:rsidR="00EC6528">
        <w:t xml:space="preserve">system components </w:t>
      </w:r>
      <w:r w:rsidR="001A0985">
        <w:t>will</w:t>
      </w:r>
      <w:r w:rsidR="00EC6528">
        <w:t xml:space="preserve"> be modeled including a </w:t>
      </w:r>
      <w:r w:rsidR="001A0985">
        <w:t>waterside</w:t>
      </w:r>
      <w:r w:rsidR="00B37B77">
        <w:t xml:space="preserve"> economizer </w:t>
      </w:r>
      <w:r w:rsidR="00EC6528">
        <w:t xml:space="preserve">used </w:t>
      </w:r>
      <w:r>
        <w:t>to provide low cost</w:t>
      </w:r>
      <w:r w:rsidR="00B37B77">
        <w:t xml:space="preserve"> cooling </w:t>
      </w:r>
      <w:r w:rsidR="00EC6528">
        <w:t>at</w:t>
      </w:r>
      <w:r w:rsidR="00B37B77">
        <w:t xml:space="preserve"> low</w:t>
      </w:r>
      <w:r w:rsidR="00EC6528">
        <w:t xml:space="preserve"> ambient temperatures and</w:t>
      </w:r>
      <w:r w:rsidR="00B37B77">
        <w:t xml:space="preserve"> </w:t>
      </w:r>
      <w:r w:rsidR="001A0985">
        <w:t>a variable frequency drive used</w:t>
      </w:r>
      <w:r w:rsidR="001B5686">
        <w:t xml:space="preserve"> to reduce electricity consumption</w:t>
      </w:r>
      <w:r w:rsidR="001A0985">
        <w:t xml:space="preserve"> of the dry cooler fan</w:t>
      </w:r>
      <w:r w:rsidR="001B5686">
        <w:t>. The control scheme and p</w:t>
      </w:r>
      <w:r w:rsidR="00EC6528">
        <w:t>lacement of the dry cooler may</w:t>
      </w:r>
      <w:r w:rsidR="001B5686">
        <w:t xml:space="preserve"> also be altered to allow the dry cooler to exclusively coo</w:t>
      </w:r>
      <w:r w:rsidR="004E034D">
        <w:t>l the building</w:t>
      </w:r>
      <w:r w:rsidR="001B5686">
        <w:t xml:space="preserve"> loop or exclusively recharge the subsurface.</w:t>
      </w:r>
    </w:p>
    <w:p w14:paraId="4A5E661D" w14:textId="77777777" w:rsidR="00933826" w:rsidRDefault="00007EE0" w:rsidP="007B443A">
      <w:pPr>
        <w:pStyle w:val="Heading1"/>
      </w:pPr>
      <w:r>
        <w:t>4</w:t>
      </w:r>
      <w:r w:rsidR="00AA492B">
        <w:t xml:space="preserve"> Conclusion</w:t>
      </w:r>
      <w:r w:rsidR="00933826">
        <w:t>s</w:t>
      </w:r>
    </w:p>
    <w:p w14:paraId="25062202" w14:textId="59FD44BD" w:rsidR="006E146D" w:rsidRDefault="007B443A" w:rsidP="007B443A">
      <w:r>
        <w:t xml:space="preserve">This paper </w:t>
      </w:r>
      <w:r w:rsidR="00EC6528">
        <w:t>evaluate</w:t>
      </w:r>
      <w:r w:rsidR="00D92E0B">
        <w:t>d</w:t>
      </w:r>
      <w:r w:rsidR="00EC6528">
        <w:t xml:space="preserve"> the thermodynamic and economic</w:t>
      </w:r>
      <w:r w:rsidR="001A0985">
        <w:t xml:space="preserve"> performance of heat pump</w:t>
      </w:r>
      <w:r w:rsidR="00EC6528">
        <w:t xml:space="preserve">s used for cooling </w:t>
      </w:r>
      <w:r w:rsidR="00D92E0B">
        <w:t xml:space="preserve">small, regionally located </w:t>
      </w:r>
      <w:r w:rsidR="00EC6528">
        <w:t xml:space="preserve">data centers. Numerical models developed in TRNSYS software were validated using an experimental geothermal heat pump </w:t>
      </w:r>
      <w:r>
        <w:t>cooling system located in Ithaca, NY, USA</w:t>
      </w:r>
      <w:r w:rsidR="00DA6C74">
        <w:t>.</w:t>
      </w:r>
      <w:r>
        <w:t xml:space="preserve"> </w:t>
      </w:r>
      <w:r w:rsidR="00F74426">
        <w:t>T</w:t>
      </w:r>
      <w:r>
        <w:t>he</w:t>
      </w:r>
      <w:r w:rsidR="00F74426">
        <w:t xml:space="preserve"> simulated</w:t>
      </w:r>
      <w:r w:rsidR="00EC6528">
        <w:t xml:space="preserve"> performance</w:t>
      </w:r>
      <w:r>
        <w:t xml:space="preserve"> </w:t>
      </w:r>
      <w:r w:rsidR="00F74426">
        <w:t>of</w:t>
      </w:r>
      <w:r>
        <w:t xml:space="preserve"> geothermal</w:t>
      </w:r>
      <w:r w:rsidR="00126B3F">
        <w:t xml:space="preserve"> heat pump</w:t>
      </w:r>
      <w:r>
        <w:t xml:space="preserve"> (GHP) and </w:t>
      </w:r>
      <w:r w:rsidR="00126B3F">
        <w:t>geothermal heat pump with dry cooler</w:t>
      </w:r>
      <w:r>
        <w:t xml:space="preserve"> (GHP+DC) cooling systems </w:t>
      </w:r>
      <w:r w:rsidR="00F74426">
        <w:t xml:space="preserve">were compared </w:t>
      </w:r>
      <w:r>
        <w:t>to a traditional air-source</w:t>
      </w:r>
      <w:r w:rsidR="001A0985">
        <w:t xml:space="preserve"> heat pump (ASHP)</w:t>
      </w:r>
      <w:r w:rsidR="00F74426">
        <w:t xml:space="preserve"> using the validated models</w:t>
      </w:r>
      <w:r>
        <w:t>. Although the coefficient of performance of the base case GHP system was significantly higher than that of either the GHP+DC or ASHP systems, the electricity savings</w:t>
      </w:r>
      <w:r w:rsidR="00D92E0B">
        <w:t xml:space="preserve"> based on current electricity prices</w:t>
      </w:r>
      <w:r>
        <w:t xml:space="preserve"> did not outweigh the </w:t>
      </w:r>
      <w:r w:rsidR="00EC6528">
        <w:t xml:space="preserve">added </w:t>
      </w:r>
      <w:r>
        <w:t>capital costs associated with the installation o</w:t>
      </w:r>
      <w:r w:rsidR="00EC6528">
        <w:t>f borehole heat exchangers</w:t>
      </w:r>
      <w:r>
        <w:t>.</w:t>
      </w:r>
      <w:r w:rsidR="00126B3F">
        <w:t xml:space="preserve"> However, economic o</w:t>
      </w:r>
      <w:r>
        <w:t xml:space="preserve">ptimization </w:t>
      </w:r>
      <w:r w:rsidR="00126B3F">
        <w:t>of the total boreho</w:t>
      </w:r>
      <w:r w:rsidR="00EC6528">
        <w:t xml:space="preserve">le length and </w:t>
      </w:r>
      <w:r w:rsidR="006E146D">
        <w:t xml:space="preserve">the </w:t>
      </w:r>
      <w:r w:rsidR="00EC6528">
        <w:t>dry cooler temperature</w:t>
      </w:r>
      <w:r w:rsidR="00126B3F">
        <w:t xml:space="preserve"> set point</w:t>
      </w:r>
      <w:r w:rsidR="006E146D">
        <w:t xml:space="preserve"> </w:t>
      </w:r>
      <w:r w:rsidR="006E146D">
        <w:rPr>
          <w:i/>
        </w:rPr>
        <w:t>ΔT</w:t>
      </w:r>
      <w:r w:rsidR="006E146D">
        <w:rPr>
          <w:i/>
          <w:vertAlign w:val="subscript"/>
        </w:rPr>
        <w:t>DC</w:t>
      </w:r>
      <w:r w:rsidR="00EC6528">
        <w:t xml:space="preserve"> made the GHP and GHP+DC sy</w:t>
      </w:r>
      <w:r w:rsidR="00DC5241">
        <w:t>s</w:t>
      </w:r>
      <w:r w:rsidR="00EC6528">
        <w:t>t</w:t>
      </w:r>
      <w:r w:rsidR="001A0985">
        <w:t>ems more competitive, lowering</w:t>
      </w:r>
      <w:r w:rsidR="00EC6528">
        <w:t xml:space="preserve"> their</w:t>
      </w:r>
      <w:r w:rsidR="001A0985">
        <w:t xml:space="preserve"> total cost of ownership (TCO) to</w:t>
      </w:r>
      <w:r w:rsidR="00EC6528">
        <w:t xml:space="preserve"> wi</w:t>
      </w:r>
      <w:r w:rsidR="00A818DA">
        <w:t xml:space="preserve">thin </w:t>
      </w:r>
      <w:r w:rsidR="00EC6528">
        <w:t>12% (</w:t>
      </w:r>
      <w:r w:rsidR="00A818DA">
        <w:t>$20,000</w:t>
      </w:r>
      <w:r w:rsidR="00EC6528">
        <w:t>) and 18% ($31,000) of t</w:t>
      </w:r>
      <w:r w:rsidR="00A818DA">
        <w:t xml:space="preserve">he ASHP system </w:t>
      </w:r>
      <w:r w:rsidR="00EC6528">
        <w:t>respectively</w:t>
      </w:r>
      <w:r w:rsidR="00126B3F">
        <w:t>.</w:t>
      </w:r>
      <w:r w:rsidR="00CC7302">
        <w:t xml:space="preserve"> These</w:t>
      </w:r>
      <w:r w:rsidR="00126B3F">
        <w:t xml:space="preserve"> cost difference</w:t>
      </w:r>
      <w:r w:rsidR="00CC7302">
        <w:t>s</w:t>
      </w:r>
      <w:r w:rsidR="00126B3F">
        <w:t xml:space="preserve"> could reasonably be made up for through </w:t>
      </w:r>
      <w:r w:rsidR="00B37DC0">
        <w:t xml:space="preserve">economic </w:t>
      </w:r>
      <w:r w:rsidR="00126B3F">
        <w:t>incentives</w:t>
      </w:r>
      <w:r w:rsidR="00B37DC0">
        <w:t>,</w:t>
      </w:r>
      <w:r w:rsidR="00126B3F">
        <w:t xml:space="preserve"> which may come in the form of investment tax credits or utility rebates based on the portion of electricity saved over an ASHP system.</w:t>
      </w:r>
      <w:r w:rsidR="00B800B1">
        <w:t xml:space="preserve"> The GHP would require an investment tax credit of 18% o</w:t>
      </w:r>
      <w:r w:rsidR="001A0985">
        <w:t>f the capital cost</w:t>
      </w:r>
      <w:r w:rsidR="00B800B1">
        <w:t xml:space="preserve"> and the GHP+DC system would require an investment tax credit of 24% of the capital cost to break even with the ASHP system.</w:t>
      </w:r>
      <w:r w:rsidR="00220CBA">
        <w:t xml:space="preserve"> There are other advantages of geothermal heat pumps that are not fully quantified by the metrics of technical and economic performance used in this paper. </w:t>
      </w:r>
      <w:r w:rsidR="00D92E0B">
        <w:t>One key environmental advantage that was not accou</w:t>
      </w:r>
      <w:r w:rsidR="007D7583">
        <w:t>nted for is that the higher COP</w:t>
      </w:r>
      <w:r w:rsidR="00D92E0B">
        <w:t xml:space="preserve"> of GHPs lowers the carbon footprint associated with cooling a specific data center in an amount that is directly proportional to the carbon emissions of the electric power generating system in the region. Additional</w:t>
      </w:r>
      <w:r w:rsidR="00220CBA">
        <w:t xml:space="preserve"> advantages include the added security of a geothermal heat pump system whose critical equipment would be located indoors or underground, </w:t>
      </w:r>
      <w:r w:rsidR="007D7583">
        <w:t xml:space="preserve">less frequent maintenance, and </w:t>
      </w:r>
      <w:r w:rsidR="00220CBA">
        <w:t>the electri</w:t>
      </w:r>
      <w:r w:rsidR="001A0985">
        <w:t>c capacity</w:t>
      </w:r>
      <w:r w:rsidR="00220CBA">
        <w:t xml:space="preserve"> freed up by using a more effici</w:t>
      </w:r>
      <w:r w:rsidR="007D7583">
        <w:t>ent cooling system which could have implications for data center capacity upgrades</w:t>
      </w:r>
      <w:r w:rsidR="00220CBA">
        <w:t>.</w:t>
      </w:r>
    </w:p>
    <w:p w14:paraId="3253109C" w14:textId="5C53C896" w:rsidR="00220CBA" w:rsidRDefault="001A0985" w:rsidP="007B443A">
      <w:r>
        <w:t>A p</w:t>
      </w:r>
      <w:r w:rsidR="00220CBA">
        <w:t>re</w:t>
      </w:r>
      <w:r w:rsidR="007D7583">
        <w:t>liminary analysis of three representative</w:t>
      </w:r>
      <w:r w:rsidR="00220CBA">
        <w:t xml:space="preserve"> cities was conducted to gage the sensitivity of the technical and economic performance of the cooling systems </w:t>
      </w:r>
      <w:r w:rsidR="0056442F">
        <w:t>to</w:t>
      </w:r>
      <w:r w:rsidR="00220CBA">
        <w:t xml:space="preserve"> factors such as climate, thermal conductivity of the soil, price of electricity, and cost of drilling and installa</w:t>
      </w:r>
      <w:r w:rsidR="007D7583">
        <w:t>tion of the subsurface loop. Our</w:t>
      </w:r>
      <w:r w:rsidR="00220CBA">
        <w:t xml:space="preserve"> analysis suggests that the price of electricity and cost of the subsurface loop have a greater impact on the </w:t>
      </w:r>
      <w:r w:rsidR="0056442F">
        <w:t>TCO</w:t>
      </w:r>
      <w:r w:rsidR="00220CBA">
        <w:t xml:space="preserve"> than the relative efficiencies of the systems which are dependent on the climate and soil properties.</w:t>
      </w:r>
    </w:p>
    <w:p w14:paraId="2E8B6507" w14:textId="77777777" w:rsidR="00933826" w:rsidRDefault="00933826" w:rsidP="00933826">
      <w:pPr>
        <w:pStyle w:val="Heading1"/>
      </w:pPr>
      <w:r>
        <w:t>Acknowledgements</w:t>
      </w:r>
    </w:p>
    <w:p w14:paraId="34AF9B21" w14:textId="79E38491" w:rsidR="00586CD0" w:rsidRDefault="00586CD0" w:rsidP="00586CD0">
      <w:r>
        <w:t>The authors would like to gratefully acknowledge Verizon</w:t>
      </w:r>
      <w:r w:rsidR="004E50B8">
        <w:t xml:space="preserve"> Communications</w:t>
      </w:r>
      <w:r>
        <w:t xml:space="preserve"> for their</w:t>
      </w:r>
      <w:r w:rsidR="007D7583">
        <w:t xml:space="preserve"> major</w:t>
      </w:r>
      <w:r>
        <w:t xml:space="preserve"> financial support of this work. The authors would also like to thank Charles Kellum</w:t>
      </w:r>
      <w:r w:rsidR="007D7583">
        <w:t>,</w:t>
      </w:r>
      <w:r>
        <w:t xml:space="preserve"> David Hampton</w:t>
      </w:r>
      <w:r w:rsidR="007D7583">
        <w:t>, and Sean Clements</w:t>
      </w:r>
      <w:r>
        <w:t xml:space="preserve"> from Verizon, Caren Rubin from Labella</w:t>
      </w:r>
      <w:r w:rsidR="004E50B8">
        <w:t xml:space="preserve"> Associates</w:t>
      </w:r>
      <w:r>
        <w:t xml:space="preserve">, </w:t>
      </w:r>
      <w:r w:rsidR="009C2045">
        <w:t>Rodney Scouten from Day Automation</w:t>
      </w:r>
      <w:r w:rsidR="004E50B8">
        <w:t xml:space="preserve"> Systems</w:t>
      </w:r>
      <w:r w:rsidR="009C2045">
        <w:t>,</w:t>
      </w:r>
      <w:r w:rsidR="00225F93">
        <w:t xml:space="preserve"> Chris Lesperance from Lono Mechanical,</w:t>
      </w:r>
      <w:r w:rsidR="009C2045">
        <w:t xml:space="preserve"> </w:t>
      </w:r>
      <w:r>
        <w:t xml:space="preserve">and Thomas Piekunka from RF Peck for their collaboration and </w:t>
      </w:r>
      <w:r w:rsidR="009C2045">
        <w:t xml:space="preserve">continued </w:t>
      </w:r>
      <w:r>
        <w:t>advice on this project.</w:t>
      </w:r>
      <w:r w:rsidR="007D7583">
        <w:t xml:space="preserve"> The Cornell Energy Institute and the Atkinson Center for a Sustainable Future are also acknowledged for their partial support.</w:t>
      </w:r>
    </w:p>
    <w:p w14:paraId="7C2D6E6D" w14:textId="169E0532" w:rsidR="004D04A9" w:rsidRPr="004D04A9" w:rsidRDefault="00CB781A" w:rsidP="004D04A9">
      <w:pPr>
        <w:pStyle w:val="Heading1"/>
      </w:pPr>
      <w:r>
        <w:t>References</w:t>
      </w:r>
    </w:p>
    <w:p w14:paraId="540CD998" w14:textId="77777777" w:rsidR="00F3304D" w:rsidRDefault="00F3304D" w:rsidP="00F3304D">
      <w:pPr>
        <w:pStyle w:val="Reference"/>
      </w:pPr>
      <w:r w:rsidRPr="00F3304D">
        <w:t xml:space="preserve">Aguirre, G. A., Beckers, K. F., Lukawski, M. Z. &amp; Tester, J. W., 2017. </w:t>
      </w:r>
      <w:r w:rsidRPr="00F3304D">
        <w:rPr>
          <w:i/>
          <w:iCs/>
        </w:rPr>
        <w:t xml:space="preserve">Hybrid Ground-Source Heat Pumps for Cooling Cellular Tower Shelters : from Campus Living Laboratory to Nationwide Deployment. </w:t>
      </w:r>
      <w:r w:rsidRPr="00F3304D">
        <w:t>Stanford, CA, s.n.</w:t>
      </w:r>
    </w:p>
    <w:p w14:paraId="30D5C763" w14:textId="29D733C6" w:rsidR="00F3304D" w:rsidRPr="00F3304D" w:rsidRDefault="00F3304D" w:rsidP="00F3304D">
      <w:pPr>
        <w:pStyle w:val="Reference"/>
      </w:pPr>
      <w:r w:rsidRPr="00F3304D">
        <w:t xml:space="preserve">Aguirre, </w:t>
      </w:r>
      <w:r>
        <w:t xml:space="preserve">G. </w:t>
      </w:r>
      <w:r w:rsidRPr="00F3304D">
        <w:t>A., Cornell University, Earth and Atmospheric Sciences, personal communication, January 1, 2018</w:t>
      </w:r>
    </w:p>
    <w:p w14:paraId="0C0488DE" w14:textId="77777777" w:rsidR="00F3304D" w:rsidRPr="00F3304D" w:rsidRDefault="00F3304D" w:rsidP="00F3304D">
      <w:pPr>
        <w:pStyle w:val="Reference"/>
      </w:pPr>
      <w:r w:rsidRPr="00F3304D">
        <w:t xml:space="preserve">Battocletti, E. C. &amp; Glassley, W. E., 2013. </w:t>
      </w:r>
      <w:r w:rsidRPr="00F3304D">
        <w:rPr>
          <w:i/>
          <w:iCs/>
        </w:rPr>
        <w:t xml:space="preserve">Measuring the costs and benefits of nationwide geothermal heat pump deployment, </w:t>
      </w:r>
      <w:r w:rsidRPr="00F3304D">
        <w:t>Davis, CA: U.S. Department of Energy, Geothermal Technologies Program under Award Number DE-EE0002741.</w:t>
      </w:r>
    </w:p>
    <w:p w14:paraId="25036EAA" w14:textId="77777777" w:rsidR="00F3304D" w:rsidRPr="00F3304D" w:rsidRDefault="00F3304D" w:rsidP="00F3304D">
      <w:pPr>
        <w:pStyle w:val="Reference"/>
      </w:pPr>
      <w:r w:rsidRPr="00F3304D">
        <w:t xml:space="preserve">Beckers, K. F., Yavuzturk, C. C. &amp; Tester, J. W., 2014. </w:t>
      </w:r>
      <w:r w:rsidRPr="00F3304D">
        <w:rPr>
          <w:i/>
          <w:iCs/>
        </w:rPr>
        <w:t xml:space="preserve">Techno-Economic Modeling and Monitoring of Hybrid Ground-Source Heat Pump System with Borehole Heat Exchangers for Cooling-Dominated Cellular Tower Application. </w:t>
      </w:r>
      <w:r w:rsidRPr="00F3304D">
        <w:t>Montréal (Québec) Canada, s.n.</w:t>
      </w:r>
    </w:p>
    <w:p w14:paraId="0FB92436" w14:textId="77777777" w:rsidR="00F3304D" w:rsidRPr="00F3304D" w:rsidRDefault="00F3304D" w:rsidP="00F3304D">
      <w:pPr>
        <w:pStyle w:val="Reference"/>
      </w:pPr>
      <w:r w:rsidRPr="00F3304D">
        <w:t xml:space="preserve">Beckers, K. J. H. F., 2016. </w:t>
      </w:r>
      <w:r w:rsidRPr="00F3304D">
        <w:rPr>
          <w:i/>
          <w:iCs/>
        </w:rPr>
        <w:t xml:space="preserve">Low-temperature geothermal energy: systems modeling, reservoir simulation, and economic analysis. </w:t>
      </w:r>
      <w:r w:rsidRPr="00F3304D">
        <w:t>Ithaca, NY: Cornell University.</w:t>
      </w:r>
    </w:p>
    <w:p w14:paraId="4CAEE4C9" w14:textId="7B8F4497" w:rsidR="00F3304D" w:rsidRPr="00F3304D" w:rsidRDefault="00F3304D" w:rsidP="00F3304D">
      <w:pPr>
        <w:pStyle w:val="Reference"/>
      </w:pPr>
      <w:r w:rsidRPr="00F3304D">
        <w:t xml:space="preserve">ClimateMaster, 2017. </w:t>
      </w:r>
      <w:r w:rsidRPr="00F3304D">
        <w:rPr>
          <w:i/>
          <w:iCs/>
        </w:rPr>
        <w:t xml:space="preserve">ClimateMaster Tranquility Compact Belt Drive (TC) Series. </w:t>
      </w:r>
      <w:r w:rsidRPr="00F3304D">
        <w:t xml:space="preserve">[Online] </w:t>
      </w:r>
      <w:r w:rsidRPr="00F3304D">
        <w:br/>
        <w:t xml:space="preserve">Available at: </w:t>
      </w:r>
      <w:r w:rsidRPr="00F3304D">
        <w:rPr>
          <w:u w:val="single"/>
        </w:rPr>
        <w:t>http://www.climatemaster.com/commercial/?cm_product=compact-belt-drive-heat-pump-tranquility-compact-tc-belt-drive-series</w:t>
      </w:r>
      <w:r>
        <w:t xml:space="preserve"> </w:t>
      </w:r>
      <w:r w:rsidRPr="00F3304D">
        <w:t>[Accessed 2017].</w:t>
      </w:r>
    </w:p>
    <w:p w14:paraId="6C8BE38F" w14:textId="6116E2F2" w:rsidR="00F3304D" w:rsidRPr="00F3304D" w:rsidRDefault="00F3304D" w:rsidP="00F3304D">
      <w:pPr>
        <w:pStyle w:val="Reference"/>
      </w:pPr>
      <w:r w:rsidRPr="00F3304D">
        <w:lastRenderedPageBreak/>
        <w:t xml:space="preserve">EIA, 2017. </w:t>
      </w:r>
      <w:r w:rsidRPr="00F3304D">
        <w:rPr>
          <w:i/>
          <w:iCs/>
        </w:rPr>
        <w:t xml:space="preserve">Electric Power Monthly with Data for October 2017. </w:t>
      </w:r>
      <w:r>
        <w:t xml:space="preserve">[Online] </w:t>
      </w:r>
      <w:r w:rsidRPr="00F3304D">
        <w:t xml:space="preserve">Available at: </w:t>
      </w:r>
      <w:r w:rsidRPr="00F3304D">
        <w:rPr>
          <w:u w:val="single"/>
        </w:rPr>
        <w:t>https://www.eia.gov/electricity/monthly/archive/december2017.pdf</w:t>
      </w:r>
      <w:r>
        <w:t xml:space="preserve"> </w:t>
      </w:r>
      <w:r w:rsidRPr="00F3304D">
        <w:t>[Accessed January 2018].</w:t>
      </w:r>
    </w:p>
    <w:p w14:paraId="4DA5DE68" w14:textId="77777777" w:rsidR="00F3304D" w:rsidRPr="00F3304D" w:rsidRDefault="00F3304D" w:rsidP="00F3304D">
      <w:pPr>
        <w:pStyle w:val="Reference"/>
      </w:pPr>
      <w:r w:rsidRPr="00F3304D">
        <w:t xml:space="preserve">Heath, R. C., 1984. </w:t>
      </w:r>
      <w:r w:rsidRPr="00F3304D">
        <w:rPr>
          <w:i/>
          <w:iCs/>
        </w:rPr>
        <w:t xml:space="preserve">Ground-Water Regions of the United States. </w:t>
      </w:r>
      <w:r w:rsidRPr="00F3304D">
        <w:t>Washington, DC: United States Geological Survey.</w:t>
      </w:r>
    </w:p>
    <w:p w14:paraId="6F52268D" w14:textId="6E867935" w:rsidR="00F3304D" w:rsidRPr="00F3304D" w:rsidRDefault="00F3304D" w:rsidP="00F3304D">
      <w:pPr>
        <w:pStyle w:val="Reference"/>
      </w:pPr>
      <w:r w:rsidRPr="00F3304D">
        <w:t xml:space="preserve">Klein, S. et al., 2014. </w:t>
      </w:r>
      <w:r w:rsidRPr="00F3304D">
        <w:rPr>
          <w:i/>
          <w:iCs/>
        </w:rPr>
        <w:t xml:space="preserve">TRNSYS 17. </w:t>
      </w:r>
      <w:r>
        <w:t xml:space="preserve">[Online] </w:t>
      </w:r>
      <w:r w:rsidRPr="00F3304D">
        <w:t xml:space="preserve">Available at: </w:t>
      </w:r>
      <w:r w:rsidRPr="00F3304D">
        <w:rPr>
          <w:u w:val="single"/>
        </w:rPr>
        <w:t>http://www.trnsys.com/</w:t>
      </w:r>
    </w:p>
    <w:p w14:paraId="3D9DE935" w14:textId="39DEBBC2" w:rsidR="00F3304D" w:rsidRPr="00F3304D" w:rsidRDefault="00F3304D" w:rsidP="00F3304D">
      <w:pPr>
        <w:pStyle w:val="Reference"/>
      </w:pPr>
      <w:r w:rsidRPr="00F3304D">
        <w:t xml:space="preserve">NREL, 2005. </w:t>
      </w:r>
      <w:r w:rsidRPr="00F3304D">
        <w:rPr>
          <w:i/>
          <w:iCs/>
        </w:rPr>
        <w:t xml:space="preserve">National Solar Radiation Data Base. </w:t>
      </w:r>
      <w:r>
        <w:t xml:space="preserve">[Online] </w:t>
      </w:r>
      <w:r w:rsidRPr="00F3304D">
        <w:t xml:space="preserve">Available at: </w:t>
      </w:r>
      <w:r w:rsidRPr="00F3304D">
        <w:rPr>
          <w:u w:val="single"/>
        </w:rPr>
        <w:t>http://rredc.nrel.gov/solar/old_data/nsrdb/1991-2005/tmy3/by_state_and_city.html</w:t>
      </w:r>
      <w:r>
        <w:t xml:space="preserve"> </w:t>
      </w:r>
      <w:r w:rsidRPr="00F3304D">
        <w:t>[Accessed 2017].</w:t>
      </w:r>
    </w:p>
    <w:p w14:paraId="783057E4" w14:textId="71A8CE58" w:rsidR="00F3304D" w:rsidRDefault="00F3304D" w:rsidP="00F3304D">
      <w:pPr>
        <w:pStyle w:val="Reference"/>
      </w:pPr>
      <w:r w:rsidRPr="008603DE">
        <w:t>Thomas, H.E., 1952. </w:t>
      </w:r>
      <w:r w:rsidRPr="008603DE">
        <w:rPr>
          <w:i/>
          <w:iCs/>
        </w:rPr>
        <w:t>Ground-water Regions of the United States: Their Storage Facilities</w:t>
      </w:r>
      <w:r w:rsidRPr="008603DE">
        <w:t>.</w:t>
      </w:r>
    </w:p>
    <w:p w14:paraId="2C6A7F5B" w14:textId="2115DD8F" w:rsidR="00F3304D" w:rsidRDefault="00F3304D" w:rsidP="00F3304D">
      <w:pPr>
        <w:pStyle w:val="Reference"/>
      </w:pPr>
      <w:r w:rsidRPr="00E030DE">
        <w:t>Schruben, P.G., Arndt, R.E. and Bawiec, W.J., 1997. Geology of the conterminous United States at 1: 2,500,000 Scale–A Digital Representation of the 1974 PB King and HM Beikman Map: US Geol. </w:t>
      </w:r>
      <w:r w:rsidRPr="00E030DE">
        <w:rPr>
          <w:i/>
          <w:iCs/>
        </w:rPr>
        <w:t>Survey Digital Data Series DDS–11 (Release 2), CD-ROM (available on World Wide Web at http://minerals. usgs. gov/kb/)</w:t>
      </w:r>
      <w:r w:rsidRPr="00E030DE">
        <w:t>.</w:t>
      </w:r>
    </w:p>
    <w:p w14:paraId="6E086500" w14:textId="77777777" w:rsidR="00F3304D" w:rsidRPr="00F3304D" w:rsidRDefault="00F3304D" w:rsidP="00F3304D">
      <w:pPr>
        <w:pStyle w:val="Reference"/>
      </w:pPr>
      <w:r w:rsidRPr="00F3304D">
        <w:t xml:space="preserve">Soller, D. R., Reheis, M. C., Garrity, C. P. &amp; Van Sistine, D. R., 2009. </w:t>
      </w:r>
      <w:r w:rsidRPr="00F3304D">
        <w:rPr>
          <w:i/>
          <w:iCs/>
        </w:rPr>
        <w:t xml:space="preserve">Map Database for Surficial Materials in the Conterminous United States, </w:t>
      </w:r>
      <w:r w:rsidRPr="00F3304D">
        <w:t>Reston, VA: United States Geological Survey.</w:t>
      </w:r>
    </w:p>
    <w:p w14:paraId="5317AD88" w14:textId="77777777" w:rsidR="00F3304D" w:rsidRPr="00F3304D" w:rsidRDefault="00F3304D" w:rsidP="00F3304D">
      <w:pPr>
        <w:pStyle w:val="Reference"/>
      </w:pPr>
      <w:r w:rsidRPr="00F3304D">
        <w:t xml:space="preserve">Song, Z., Zhang, X. &amp; Eriksson, C., 2015. Data Center Energy and Cost Saving Evaluation. </w:t>
      </w:r>
      <w:r w:rsidRPr="00F3304D">
        <w:rPr>
          <w:i/>
          <w:iCs/>
        </w:rPr>
        <w:t xml:space="preserve">Energy Procedia, </w:t>
      </w:r>
      <w:r w:rsidRPr="00F3304D">
        <w:t>pp. 1255-1260.</w:t>
      </w:r>
    </w:p>
    <w:p w14:paraId="4E69100C" w14:textId="77777777" w:rsidR="00F3304D" w:rsidRPr="00F3304D" w:rsidRDefault="00F3304D" w:rsidP="00F3304D">
      <w:pPr>
        <w:pStyle w:val="Reference"/>
      </w:pPr>
      <w:r w:rsidRPr="00F3304D">
        <w:t xml:space="preserve">Urchueguía, J. F. et al., 2008. Comparison between the energy performance of a ground coupled water to water heat pump system and an air to water heat pump system for heating and cooling in typical conditions of the European Mediterranean coast. </w:t>
      </w:r>
      <w:r w:rsidRPr="00F3304D">
        <w:rPr>
          <w:i/>
          <w:iCs/>
        </w:rPr>
        <w:t xml:space="preserve">Energy Conversion and Management, </w:t>
      </w:r>
      <w:r w:rsidRPr="00F3304D">
        <w:t>Volume 49, pp. 2917-2923.</w:t>
      </w:r>
    </w:p>
    <w:p w14:paraId="2F998DCD" w14:textId="31849887" w:rsidR="00F3304D" w:rsidRPr="00F3304D" w:rsidRDefault="00F3304D" w:rsidP="00F3304D">
      <w:pPr>
        <w:pStyle w:val="Reference"/>
      </w:pPr>
      <w:r w:rsidRPr="00F3304D">
        <w:t xml:space="preserve">USGS (United States Geological Survey), 2014. </w:t>
      </w:r>
      <w:r w:rsidRPr="00F3304D">
        <w:rPr>
          <w:i/>
          <w:iCs/>
        </w:rPr>
        <w:t xml:space="preserve">Geologic Units Containing Earth Material, Mineral Resources On-Line Spatial Data. </w:t>
      </w:r>
      <w:r>
        <w:t xml:space="preserve">[Online] </w:t>
      </w:r>
      <w:r w:rsidRPr="00F3304D">
        <w:t xml:space="preserve">Available at: </w:t>
      </w:r>
      <w:r w:rsidRPr="00F3304D">
        <w:rPr>
          <w:u w:val="single"/>
        </w:rPr>
        <w:t>http://mrdata.usgs.gov/geology/state/sgmc-lith.php?code=root</w:t>
      </w:r>
    </w:p>
    <w:p w14:paraId="7D0793C1" w14:textId="09D22A8E" w:rsidR="00F3304D" w:rsidRDefault="00F3304D" w:rsidP="00F3304D">
      <w:pPr>
        <w:pStyle w:val="Reference"/>
      </w:pPr>
      <w:r w:rsidRPr="00F3304D">
        <w:t xml:space="preserve">Wilcox, S. &amp; Marion, W., 2008. </w:t>
      </w:r>
      <w:r w:rsidRPr="00F3304D">
        <w:rPr>
          <w:i/>
          <w:iCs/>
        </w:rPr>
        <w:t xml:space="preserve">User's Manual for TMY3 Data Sets. </w:t>
      </w:r>
      <w:r>
        <w:t xml:space="preserve">[Online] </w:t>
      </w:r>
      <w:r w:rsidRPr="00F3304D">
        <w:t xml:space="preserve">Available at: </w:t>
      </w:r>
      <w:r w:rsidRPr="00F3304D">
        <w:rPr>
          <w:u w:val="single"/>
        </w:rPr>
        <w:t>https://www.nrel.gov/docs/fy08osti/43156.pdf</w:t>
      </w:r>
    </w:p>
    <w:p w14:paraId="79C1FF4A" w14:textId="77777777" w:rsidR="00E030DE" w:rsidRPr="00CB781A" w:rsidRDefault="00E030DE" w:rsidP="00E030DE">
      <w:pPr>
        <w:pStyle w:val="Reference"/>
      </w:pPr>
    </w:p>
    <w:sectPr w:rsidR="00E030DE" w:rsidRPr="00CB781A" w:rsidSect="00A86A1E">
      <w:headerReference w:type="even" r:id="rId24"/>
      <w:headerReference w:type="default" r:id="rId25"/>
      <w:footerReference w:type="even" r:id="rId26"/>
      <w:footerReference w:type="default" r:id="rId27"/>
      <w:headerReference w:type="first" r:id="rId28"/>
      <w:footerReference w:type="first" r:id="rId29"/>
      <w:type w:val="continuous"/>
      <w:pgSz w:w="12240" w:h="15840" w:code="1"/>
      <w:pgMar w:top="1138" w:right="1195" w:bottom="1138" w:left="1195" w:header="720" w:footer="720" w:gutter="0"/>
      <w:cols w:space="839"/>
      <w:titlePg/>
      <w:docGrid w:linePitch="2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8F60D" w14:textId="77777777" w:rsidR="00613404" w:rsidRDefault="00613404">
      <w:r>
        <w:separator/>
      </w:r>
    </w:p>
  </w:endnote>
  <w:endnote w:type="continuationSeparator" w:id="0">
    <w:p w14:paraId="54B6CC23" w14:textId="77777777" w:rsidR="00613404" w:rsidRDefault="00613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2058B" w14:textId="77777777" w:rsidR="00D10E82" w:rsidRDefault="00D10E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6CF0">
      <w:rPr>
        <w:rStyle w:val="PageNumber"/>
        <w:noProof/>
      </w:rPr>
      <w:t>2</w:t>
    </w:r>
    <w:r>
      <w:rPr>
        <w:rStyle w:val="PageNumber"/>
      </w:rPr>
      <w:fldChar w:fldCharType="end"/>
    </w:r>
  </w:p>
  <w:p w14:paraId="5F0B5FDD" w14:textId="77777777" w:rsidR="00D10E82" w:rsidRDefault="00D10E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24B52" w14:textId="77777777" w:rsidR="00D10E82" w:rsidRDefault="00D10E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6CF0">
      <w:rPr>
        <w:rStyle w:val="PageNumber"/>
        <w:noProof/>
      </w:rPr>
      <w:t>9</w:t>
    </w:r>
    <w:r>
      <w:rPr>
        <w:rStyle w:val="PageNumber"/>
      </w:rPr>
      <w:fldChar w:fldCharType="end"/>
    </w:r>
  </w:p>
  <w:p w14:paraId="3F90531E" w14:textId="77777777" w:rsidR="00D10E82" w:rsidRDefault="00D10E8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D1A12" w14:textId="77777777" w:rsidR="00D10E82" w:rsidRDefault="00D10E82">
    <w:pPr>
      <w:pStyle w:val="Footer"/>
      <w:jc w:val="center"/>
    </w:pPr>
    <w:r>
      <w:rPr>
        <w:rStyle w:val="PageNumber"/>
      </w:rPr>
      <w:fldChar w:fldCharType="begin"/>
    </w:r>
    <w:r>
      <w:rPr>
        <w:rStyle w:val="PageNumber"/>
      </w:rPr>
      <w:instrText xml:space="preserve"> PAGE </w:instrText>
    </w:r>
    <w:r>
      <w:rPr>
        <w:rStyle w:val="PageNumber"/>
      </w:rPr>
      <w:fldChar w:fldCharType="separate"/>
    </w:r>
    <w:r w:rsidR="00866CF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84AFE" w14:textId="77777777" w:rsidR="00613404" w:rsidRDefault="00613404">
      <w:r>
        <w:separator/>
      </w:r>
    </w:p>
  </w:footnote>
  <w:footnote w:type="continuationSeparator" w:id="0">
    <w:p w14:paraId="1FD3A275" w14:textId="77777777" w:rsidR="00613404" w:rsidRDefault="006134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B5194" w14:textId="77777777" w:rsidR="00D10E82" w:rsidRDefault="00D10E82">
    <w:pPr>
      <w:pStyle w:val="Header"/>
    </w:pPr>
    <w:r>
      <w:t>Zurmuhl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C3D6E" w14:textId="77777777" w:rsidR="00D10E82" w:rsidRDefault="00D10E82">
    <w:pPr>
      <w:pStyle w:val="Header"/>
      <w:jc w:val="right"/>
    </w:pPr>
    <w:r>
      <w:t>Zurmuhl et 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23AEA" w14:textId="77777777" w:rsidR="00D10E82" w:rsidRDefault="00D10E82" w:rsidP="008D7E8F">
    <w:pPr>
      <w:pStyle w:val="SGPworkshop"/>
    </w:pPr>
    <w:r>
      <w:t>PROCEEDINGS, 43rd Workshop on Geothermal Reservoir Engineering</w:t>
    </w:r>
  </w:p>
  <w:p w14:paraId="0D0B16C7" w14:textId="77777777" w:rsidR="00D10E82" w:rsidRDefault="00D10E82" w:rsidP="008D7E8F">
    <w:pPr>
      <w:pStyle w:val="SGPworkshop"/>
    </w:pPr>
    <w:r>
      <w:t xml:space="preserve">Stanford University, Stanford, California, </w:t>
    </w:r>
    <w:r w:rsidRPr="006B5C27">
      <w:t>February</w:t>
    </w:r>
    <w:r>
      <w:t xml:space="preserve"> 12-14, 2018</w:t>
    </w:r>
  </w:p>
  <w:p w14:paraId="7D7575C1" w14:textId="77777777" w:rsidR="00D10E82" w:rsidRPr="008D7E8F" w:rsidRDefault="00D10E82" w:rsidP="008D7E8F">
    <w:pPr>
      <w:pStyle w:val="Header"/>
      <w:rPr>
        <w:sz w:val="14"/>
      </w:rPr>
    </w:pPr>
    <w:r>
      <w:rPr>
        <w:sz w:val="14"/>
      </w:rPr>
      <w:t>SGP-TR-213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6246A"/>
    <w:multiLevelType w:val="singleLevel"/>
    <w:tmpl w:val="AC3E3388"/>
    <w:lvl w:ilvl="0">
      <w:start w:val="1"/>
      <w:numFmt w:val="decimal"/>
      <w:pStyle w:val="References"/>
      <w:lvlText w:val="%1."/>
      <w:lvlJc w:val="left"/>
      <w:pPr>
        <w:tabs>
          <w:tab w:val="num" w:pos="360"/>
        </w:tabs>
        <w:ind w:left="360" w:hanging="360"/>
      </w:pPr>
    </w:lvl>
  </w:abstractNum>
  <w:abstractNum w:abstractNumId="1">
    <w:nsid w:val="7ADE5A33"/>
    <w:multiLevelType w:val="multilevel"/>
    <w:tmpl w:val="DB26E7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148"/>
    <w:rsid w:val="000014AA"/>
    <w:rsid w:val="00003A36"/>
    <w:rsid w:val="00007EE0"/>
    <w:rsid w:val="00016585"/>
    <w:rsid w:val="00032427"/>
    <w:rsid w:val="00037F89"/>
    <w:rsid w:val="000473C6"/>
    <w:rsid w:val="0005558B"/>
    <w:rsid w:val="00057AB1"/>
    <w:rsid w:val="00064040"/>
    <w:rsid w:val="00067C38"/>
    <w:rsid w:val="00074B4A"/>
    <w:rsid w:val="00080054"/>
    <w:rsid w:val="000A21BE"/>
    <w:rsid w:val="000B4DF9"/>
    <w:rsid w:val="000D34FC"/>
    <w:rsid w:val="000F0726"/>
    <w:rsid w:val="000F315D"/>
    <w:rsid w:val="000F3EEC"/>
    <w:rsid w:val="00101018"/>
    <w:rsid w:val="001015E5"/>
    <w:rsid w:val="0010268F"/>
    <w:rsid w:val="00122A34"/>
    <w:rsid w:val="00125B18"/>
    <w:rsid w:val="00126B3F"/>
    <w:rsid w:val="00126F04"/>
    <w:rsid w:val="0013269C"/>
    <w:rsid w:val="0013291C"/>
    <w:rsid w:val="00154461"/>
    <w:rsid w:val="00157A71"/>
    <w:rsid w:val="0016489D"/>
    <w:rsid w:val="001677A3"/>
    <w:rsid w:val="001755E6"/>
    <w:rsid w:val="001769BB"/>
    <w:rsid w:val="00184D0F"/>
    <w:rsid w:val="001850D9"/>
    <w:rsid w:val="00197766"/>
    <w:rsid w:val="001A0985"/>
    <w:rsid w:val="001A108E"/>
    <w:rsid w:val="001A62FA"/>
    <w:rsid w:val="001B5686"/>
    <w:rsid w:val="001D5253"/>
    <w:rsid w:val="001D74CD"/>
    <w:rsid w:val="001F5CAF"/>
    <w:rsid w:val="001F6F27"/>
    <w:rsid w:val="00200723"/>
    <w:rsid w:val="00202D51"/>
    <w:rsid w:val="002146EE"/>
    <w:rsid w:val="0021711E"/>
    <w:rsid w:val="00220CBA"/>
    <w:rsid w:val="002226FA"/>
    <w:rsid w:val="00222DB0"/>
    <w:rsid w:val="00225B65"/>
    <w:rsid w:val="00225F93"/>
    <w:rsid w:val="0022631E"/>
    <w:rsid w:val="00241C6B"/>
    <w:rsid w:val="00253FC3"/>
    <w:rsid w:val="00263530"/>
    <w:rsid w:val="002B3B0F"/>
    <w:rsid w:val="002C6177"/>
    <w:rsid w:val="002D14B1"/>
    <w:rsid w:val="00327260"/>
    <w:rsid w:val="00334F30"/>
    <w:rsid w:val="00337281"/>
    <w:rsid w:val="003639EE"/>
    <w:rsid w:val="003713C3"/>
    <w:rsid w:val="00371DD8"/>
    <w:rsid w:val="0037690D"/>
    <w:rsid w:val="00383BC3"/>
    <w:rsid w:val="0039183A"/>
    <w:rsid w:val="003A4DF4"/>
    <w:rsid w:val="003B080F"/>
    <w:rsid w:val="003B098D"/>
    <w:rsid w:val="003C06BD"/>
    <w:rsid w:val="003C3142"/>
    <w:rsid w:val="003C43ED"/>
    <w:rsid w:val="003D3C37"/>
    <w:rsid w:val="003D5215"/>
    <w:rsid w:val="003D57F4"/>
    <w:rsid w:val="003E6657"/>
    <w:rsid w:val="003E70A7"/>
    <w:rsid w:val="00400C66"/>
    <w:rsid w:val="0040605A"/>
    <w:rsid w:val="004129EB"/>
    <w:rsid w:val="00414201"/>
    <w:rsid w:val="0042335D"/>
    <w:rsid w:val="00432F9D"/>
    <w:rsid w:val="00435626"/>
    <w:rsid w:val="004376C7"/>
    <w:rsid w:val="00443A0C"/>
    <w:rsid w:val="004521B1"/>
    <w:rsid w:val="00457B68"/>
    <w:rsid w:val="004655D5"/>
    <w:rsid w:val="0047168A"/>
    <w:rsid w:val="00473FB7"/>
    <w:rsid w:val="00480BEE"/>
    <w:rsid w:val="00483377"/>
    <w:rsid w:val="00483DCE"/>
    <w:rsid w:val="004943F3"/>
    <w:rsid w:val="00496DCF"/>
    <w:rsid w:val="004A109A"/>
    <w:rsid w:val="004A7756"/>
    <w:rsid w:val="004B2714"/>
    <w:rsid w:val="004B7ABC"/>
    <w:rsid w:val="004D04A9"/>
    <w:rsid w:val="004E034D"/>
    <w:rsid w:val="004E2BD8"/>
    <w:rsid w:val="004E50B8"/>
    <w:rsid w:val="004F07F4"/>
    <w:rsid w:val="004F28CB"/>
    <w:rsid w:val="00503B2A"/>
    <w:rsid w:val="005168FE"/>
    <w:rsid w:val="00547E08"/>
    <w:rsid w:val="005621E4"/>
    <w:rsid w:val="00563637"/>
    <w:rsid w:val="0056442F"/>
    <w:rsid w:val="00586CD0"/>
    <w:rsid w:val="00596618"/>
    <w:rsid w:val="005A2FFF"/>
    <w:rsid w:val="005A658C"/>
    <w:rsid w:val="005A7BD0"/>
    <w:rsid w:val="005D4CC5"/>
    <w:rsid w:val="005E3023"/>
    <w:rsid w:val="005E5941"/>
    <w:rsid w:val="005F5106"/>
    <w:rsid w:val="005F791B"/>
    <w:rsid w:val="0061132D"/>
    <w:rsid w:val="00611684"/>
    <w:rsid w:val="00613404"/>
    <w:rsid w:val="006167FA"/>
    <w:rsid w:val="00635BCD"/>
    <w:rsid w:val="0064208A"/>
    <w:rsid w:val="006439CD"/>
    <w:rsid w:val="00654735"/>
    <w:rsid w:val="00655FF3"/>
    <w:rsid w:val="00656550"/>
    <w:rsid w:val="006627C6"/>
    <w:rsid w:val="00694C11"/>
    <w:rsid w:val="006A09BF"/>
    <w:rsid w:val="006A2BB4"/>
    <w:rsid w:val="006A7F6A"/>
    <w:rsid w:val="006B5C27"/>
    <w:rsid w:val="006B6EF2"/>
    <w:rsid w:val="006E146D"/>
    <w:rsid w:val="006E26FA"/>
    <w:rsid w:val="00714205"/>
    <w:rsid w:val="00715163"/>
    <w:rsid w:val="00724533"/>
    <w:rsid w:val="007271A5"/>
    <w:rsid w:val="00727F44"/>
    <w:rsid w:val="00731D63"/>
    <w:rsid w:val="00740711"/>
    <w:rsid w:val="0076060C"/>
    <w:rsid w:val="00771AB2"/>
    <w:rsid w:val="007830DB"/>
    <w:rsid w:val="007874CC"/>
    <w:rsid w:val="007A7B8C"/>
    <w:rsid w:val="007B443A"/>
    <w:rsid w:val="007C1210"/>
    <w:rsid w:val="007C2069"/>
    <w:rsid w:val="007C39DD"/>
    <w:rsid w:val="007D7583"/>
    <w:rsid w:val="007E14AE"/>
    <w:rsid w:val="00813A7D"/>
    <w:rsid w:val="00813FB7"/>
    <w:rsid w:val="00815783"/>
    <w:rsid w:val="0081662B"/>
    <w:rsid w:val="00821449"/>
    <w:rsid w:val="008259D1"/>
    <w:rsid w:val="00830D90"/>
    <w:rsid w:val="008335CC"/>
    <w:rsid w:val="008346F5"/>
    <w:rsid w:val="00836557"/>
    <w:rsid w:val="00836AA3"/>
    <w:rsid w:val="00843BBC"/>
    <w:rsid w:val="0084407B"/>
    <w:rsid w:val="00844833"/>
    <w:rsid w:val="008534D7"/>
    <w:rsid w:val="008575D3"/>
    <w:rsid w:val="008603DE"/>
    <w:rsid w:val="00864E97"/>
    <w:rsid w:val="00866CF0"/>
    <w:rsid w:val="00867E39"/>
    <w:rsid w:val="00867E79"/>
    <w:rsid w:val="008736C0"/>
    <w:rsid w:val="00893742"/>
    <w:rsid w:val="00893C93"/>
    <w:rsid w:val="008961BD"/>
    <w:rsid w:val="008C314C"/>
    <w:rsid w:val="008C508B"/>
    <w:rsid w:val="008D7E8F"/>
    <w:rsid w:val="0090114A"/>
    <w:rsid w:val="00910A66"/>
    <w:rsid w:val="0091214C"/>
    <w:rsid w:val="009138E7"/>
    <w:rsid w:val="00924D53"/>
    <w:rsid w:val="00924DF7"/>
    <w:rsid w:val="009277F8"/>
    <w:rsid w:val="00933826"/>
    <w:rsid w:val="009507BA"/>
    <w:rsid w:val="00956F94"/>
    <w:rsid w:val="009746A8"/>
    <w:rsid w:val="00980109"/>
    <w:rsid w:val="00980148"/>
    <w:rsid w:val="00980F3D"/>
    <w:rsid w:val="009875A0"/>
    <w:rsid w:val="00990BA5"/>
    <w:rsid w:val="00992142"/>
    <w:rsid w:val="009A0683"/>
    <w:rsid w:val="009A086E"/>
    <w:rsid w:val="009A20C8"/>
    <w:rsid w:val="009A43C6"/>
    <w:rsid w:val="009A6250"/>
    <w:rsid w:val="009A740E"/>
    <w:rsid w:val="009B69BB"/>
    <w:rsid w:val="009C0F65"/>
    <w:rsid w:val="009C2045"/>
    <w:rsid w:val="009C6360"/>
    <w:rsid w:val="009E31EC"/>
    <w:rsid w:val="009F0E02"/>
    <w:rsid w:val="009F3F8D"/>
    <w:rsid w:val="009F5290"/>
    <w:rsid w:val="00A0046A"/>
    <w:rsid w:val="00A03661"/>
    <w:rsid w:val="00A242F8"/>
    <w:rsid w:val="00A26911"/>
    <w:rsid w:val="00A308AC"/>
    <w:rsid w:val="00A31BE5"/>
    <w:rsid w:val="00A42B1D"/>
    <w:rsid w:val="00A45788"/>
    <w:rsid w:val="00A51867"/>
    <w:rsid w:val="00A5672B"/>
    <w:rsid w:val="00A64E87"/>
    <w:rsid w:val="00A73EE0"/>
    <w:rsid w:val="00A818DA"/>
    <w:rsid w:val="00A86A1E"/>
    <w:rsid w:val="00AA135B"/>
    <w:rsid w:val="00AA492B"/>
    <w:rsid w:val="00AB598D"/>
    <w:rsid w:val="00AD2AAC"/>
    <w:rsid w:val="00AD6F79"/>
    <w:rsid w:val="00AE4556"/>
    <w:rsid w:val="00AF4ECD"/>
    <w:rsid w:val="00B02942"/>
    <w:rsid w:val="00B1097B"/>
    <w:rsid w:val="00B317A8"/>
    <w:rsid w:val="00B37B77"/>
    <w:rsid w:val="00B37DC0"/>
    <w:rsid w:val="00B42829"/>
    <w:rsid w:val="00B5717B"/>
    <w:rsid w:val="00B655A4"/>
    <w:rsid w:val="00B722EB"/>
    <w:rsid w:val="00B800B1"/>
    <w:rsid w:val="00B862D6"/>
    <w:rsid w:val="00BC0AB8"/>
    <w:rsid w:val="00BC2CD0"/>
    <w:rsid w:val="00BE2E7C"/>
    <w:rsid w:val="00BF2C93"/>
    <w:rsid w:val="00BF5BEA"/>
    <w:rsid w:val="00BF69E4"/>
    <w:rsid w:val="00C15A7D"/>
    <w:rsid w:val="00C231E8"/>
    <w:rsid w:val="00C241A4"/>
    <w:rsid w:val="00C413A1"/>
    <w:rsid w:val="00C53D00"/>
    <w:rsid w:val="00C61550"/>
    <w:rsid w:val="00C61A80"/>
    <w:rsid w:val="00C65D8E"/>
    <w:rsid w:val="00C83A62"/>
    <w:rsid w:val="00C92BFF"/>
    <w:rsid w:val="00CB378A"/>
    <w:rsid w:val="00CB781A"/>
    <w:rsid w:val="00CC0EE8"/>
    <w:rsid w:val="00CC7302"/>
    <w:rsid w:val="00CD4F4B"/>
    <w:rsid w:val="00CF1303"/>
    <w:rsid w:val="00CF5F75"/>
    <w:rsid w:val="00CF6C6D"/>
    <w:rsid w:val="00CF6E3E"/>
    <w:rsid w:val="00D00E09"/>
    <w:rsid w:val="00D03227"/>
    <w:rsid w:val="00D05540"/>
    <w:rsid w:val="00D10C46"/>
    <w:rsid w:val="00D10E82"/>
    <w:rsid w:val="00D11F3B"/>
    <w:rsid w:val="00D221D1"/>
    <w:rsid w:val="00D30E11"/>
    <w:rsid w:val="00D33DB0"/>
    <w:rsid w:val="00D37B39"/>
    <w:rsid w:val="00D41C15"/>
    <w:rsid w:val="00D4625B"/>
    <w:rsid w:val="00D4654C"/>
    <w:rsid w:val="00D53DC3"/>
    <w:rsid w:val="00D63634"/>
    <w:rsid w:val="00D63875"/>
    <w:rsid w:val="00D66EE4"/>
    <w:rsid w:val="00D74AE7"/>
    <w:rsid w:val="00D76D5F"/>
    <w:rsid w:val="00D86B2D"/>
    <w:rsid w:val="00D92E0B"/>
    <w:rsid w:val="00DA6C74"/>
    <w:rsid w:val="00DA7115"/>
    <w:rsid w:val="00DA72A4"/>
    <w:rsid w:val="00DB14A7"/>
    <w:rsid w:val="00DC07A9"/>
    <w:rsid w:val="00DC5241"/>
    <w:rsid w:val="00DC7041"/>
    <w:rsid w:val="00DD0BF1"/>
    <w:rsid w:val="00DF4BB3"/>
    <w:rsid w:val="00DF53E1"/>
    <w:rsid w:val="00E008A8"/>
    <w:rsid w:val="00E0191B"/>
    <w:rsid w:val="00E030DE"/>
    <w:rsid w:val="00E15890"/>
    <w:rsid w:val="00E16B20"/>
    <w:rsid w:val="00E269E7"/>
    <w:rsid w:val="00E3029D"/>
    <w:rsid w:val="00E34189"/>
    <w:rsid w:val="00E43EEE"/>
    <w:rsid w:val="00E75D4C"/>
    <w:rsid w:val="00E82208"/>
    <w:rsid w:val="00EA7E5D"/>
    <w:rsid w:val="00EC59B7"/>
    <w:rsid w:val="00EC5B61"/>
    <w:rsid w:val="00EC5E69"/>
    <w:rsid w:val="00EC6528"/>
    <w:rsid w:val="00EE7A62"/>
    <w:rsid w:val="00EF339B"/>
    <w:rsid w:val="00EF3EC0"/>
    <w:rsid w:val="00F02475"/>
    <w:rsid w:val="00F041BD"/>
    <w:rsid w:val="00F04878"/>
    <w:rsid w:val="00F20BEA"/>
    <w:rsid w:val="00F2128A"/>
    <w:rsid w:val="00F21EB7"/>
    <w:rsid w:val="00F22F44"/>
    <w:rsid w:val="00F27253"/>
    <w:rsid w:val="00F30BF7"/>
    <w:rsid w:val="00F3304D"/>
    <w:rsid w:val="00F3765E"/>
    <w:rsid w:val="00F46806"/>
    <w:rsid w:val="00F57EED"/>
    <w:rsid w:val="00F713DB"/>
    <w:rsid w:val="00F74426"/>
    <w:rsid w:val="00F80856"/>
    <w:rsid w:val="00F8616C"/>
    <w:rsid w:val="00F87C73"/>
    <w:rsid w:val="00F917F4"/>
    <w:rsid w:val="00FA74F1"/>
    <w:rsid w:val="00FA7DF6"/>
    <w:rsid w:val="00FB437D"/>
    <w:rsid w:val="00FB45E5"/>
    <w:rsid w:val="00FC1262"/>
    <w:rsid w:val="00FD34D3"/>
    <w:rsid w:val="00FD43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2E70F7"/>
  <w15:chartTrackingRefBased/>
  <w15:docId w15:val="{F5CE9575-F888-4086-96BA-5575EA18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B378A"/>
    <w:pPr>
      <w:spacing w:after="180"/>
      <w:jc w:val="both"/>
    </w:pPr>
    <w:rPr>
      <w:sz w:val="18"/>
    </w:rPr>
  </w:style>
  <w:style w:type="paragraph" w:styleId="Heading1">
    <w:name w:val="heading 1"/>
    <w:basedOn w:val="Normal"/>
    <w:next w:val="Normal"/>
    <w:link w:val="Heading1Char"/>
    <w:uiPriority w:val="9"/>
    <w:qFormat/>
    <w:pPr>
      <w:keepNext/>
      <w:spacing w:before="60" w:after="60"/>
      <w:outlineLvl w:val="0"/>
    </w:pPr>
    <w:rPr>
      <w:b/>
      <w:caps/>
      <w:kern w:val="28"/>
    </w:rPr>
  </w:style>
  <w:style w:type="paragraph" w:styleId="Heading2">
    <w:name w:val="heading 2"/>
    <w:basedOn w:val="Normal"/>
    <w:next w:val="Normal"/>
    <w:qFormat/>
    <w:pPr>
      <w:keepNext/>
      <w:spacing w:before="60" w:after="60"/>
      <w:outlineLvl w:val="1"/>
    </w:pPr>
    <w:rPr>
      <w:b/>
    </w:rPr>
  </w:style>
  <w:style w:type="paragraph" w:styleId="Heading3">
    <w:name w:val="heading 3"/>
    <w:basedOn w:val="Normal"/>
    <w:next w:val="Normal"/>
    <w:qFormat/>
    <w:pPr>
      <w:keepNext/>
      <w:spacing w:before="60" w:after="60"/>
      <w:outlineLvl w:val="2"/>
    </w:pPr>
    <w:rPr>
      <w:u w:val="single"/>
    </w:rPr>
  </w:style>
  <w:style w:type="paragraph" w:styleId="Heading5">
    <w:name w:val="heading 5"/>
    <w:basedOn w:val="Normal"/>
    <w:next w:val="BodyText"/>
    <w:qFormat/>
    <w:pPr>
      <w:keepNext/>
      <w:numPr>
        <w:ilvl w:val="4"/>
        <w:numId w:val="2"/>
      </w:numPr>
      <w:tabs>
        <w:tab w:val="right" w:pos="8309"/>
      </w:tabs>
      <w:spacing w:after="0" w:line="360" w:lineRule="auto"/>
      <w:jc w:val="center"/>
      <w:outlineLvl w:val="4"/>
    </w:pPr>
    <w:rPr>
      <w:i/>
      <w:kern w:val="28"/>
      <w:sz w:val="24"/>
    </w:rPr>
  </w:style>
  <w:style w:type="paragraph" w:styleId="Heading6">
    <w:name w:val="heading 6"/>
    <w:basedOn w:val="Normal"/>
    <w:next w:val="BodyText"/>
    <w:qFormat/>
    <w:pPr>
      <w:keepNext/>
      <w:numPr>
        <w:ilvl w:val="5"/>
        <w:numId w:val="2"/>
      </w:numPr>
      <w:tabs>
        <w:tab w:val="right" w:pos="8309"/>
      </w:tabs>
      <w:spacing w:before="120" w:after="80"/>
      <w:jc w:val="center"/>
      <w:outlineLvl w:val="5"/>
    </w:pPr>
    <w:rPr>
      <w:smallCaps/>
      <w:spacing w:val="20"/>
      <w:kern w:val="28"/>
      <w:sz w:val="24"/>
    </w:rPr>
  </w:style>
  <w:style w:type="paragraph" w:styleId="Heading7">
    <w:name w:val="heading 7"/>
    <w:basedOn w:val="Normal"/>
    <w:next w:val="BodyText"/>
    <w:qFormat/>
    <w:pPr>
      <w:keepNext/>
      <w:numPr>
        <w:ilvl w:val="6"/>
        <w:numId w:val="2"/>
      </w:numPr>
      <w:tabs>
        <w:tab w:val="right" w:pos="8309"/>
      </w:tabs>
      <w:spacing w:before="80" w:after="60"/>
      <w:outlineLvl w:val="6"/>
    </w:pPr>
    <w:rPr>
      <w:caps/>
      <w:kern w:val="28"/>
      <w:sz w:val="24"/>
    </w:rPr>
  </w:style>
  <w:style w:type="paragraph" w:styleId="Heading8">
    <w:name w:val="heading 8"/>
    <w:basedOn w:val="Normal"/>
    <w:next w:val="BodyText"/>
    <w:qFormat/>
    <w:pPr>
      <w:keepNext/>
      <w:numPr>
        <w:ilvl w:val="7"/>
        <w:numId w:val="2"/>
      </w:numPr>
      <w:tabs>
        <w:tab w:val="right" w:pos="8309"/>
      </w:tabs>
      <w:spacing w:after="0" w:line="360" w:lineRule="auto"/>
      <w:jc w:val="center"/>
      <w:outlineLvl w:val="7"/>
    </w:pPr>
    <w:rPr>
      <w:kern w:val="28"/>
      <w:sz w:val="24"/>
    </w:rPr>
  </w:style>
  <w:style w:type="paragraph" w:styleId="Heading9">
    <w:name w:val="heading 9"/>
    <w:basedOn w:val="Normal"/>
    <w:next w:val="BodyText"/>
    <w:qFormat/>
    <w:pPr>
      <w:keepNext/>
      <w:numPr>
        <w:ilvl w:val="8"/>
        <w:numId w:val="2"/>
      </w:numPr>
      <w:tabs>
        <w:tab w:val="right" w:pos="8309"/>
      </w:tabs>
      <w:spacing w:after="0" w:line="360" w:lineRule="auto"/>
      <w:outlineLvl w:val="8"/>
    </w:pPr>
    <w:rPr>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40" w:after="0"/>
    </w:pPr>
    <w:rPr>
      <w:sz w:val="24"/>
    </w:rPr>
  </w:style>
  <w:style w:type="paragraph" w:styleId="Caption">
    <w:name w:val="caption"/>
    <w:basedOn w:val="Normal"/>
    <w:next w:val="Normal"/>
    <w:qFormat/>
    <w:pPr>
      <w:spacing w:before="120" w:after="120"/>
    </w:pPr>
    <w:rPr>
      <w:b/>
    </w:rPr>
  </w:style>
  <w:style w:type="paragraph" w:styleId="Title">
    <w:name w:val="Title"/>
    <w:basedOn w:val="Normal"/>
    <w:qFormat/>
    <w:rsid w:val="00CB378A"/>
    <w:pPr>
      <w:spacing w:before="240" w:after="60"/>
      <w:jc w:val="center"/>
      <w:outlineLvl w:val="0"/>
    </w:pPr>
    <w:rPr>
      <w:b/>
      <w:kern w:val="28"/>
      <w:sz w:val="24"/>
    </w:rPr>
  </w:style>
  <w:style w:type="paragraph" w:styleId="Header">
    <w:name w:val="header"/>
    <w:basedOn w:val="Normal"/>
    <w:link w:val="HeaderChar"/>
    <w:pPr>
      <w:tabs>
        <w:tab w:val="center" w:pos="4320"/>
        <w:tab w:val="right" w:pos="8640"/>
      </w:tabs>
    </w:pPr>
  </w:style>
  <w:style w:type="paragraph" w:customStyle="1" w:styleId="Author">
    <w:name w:val="Author"/>
    <w:basedOn w:val="Title"/>
    <w:pPr>
      <w:spacing w:after="120"/>
    </w:pPr>
    <w:rPr>
      <w:b w:val="0"/>
      <w:sz w:val="20"/>
    </w:rPr>
  </w:style>
  <w:style w:type="paragraph" w:customStyle="1" w:styleId="Address">
    <w:name w:val="Address"/>
    <w:basedOn w:val="Normal"/>
    <w:rsid w:val="00CB378A"/>
    <w:pPr>
      <w:spacing w:after="120"/>
      <w:jc w:val="center"/>
    </w:pPr>
  </w:style>
  <w:style w:type="paragraph" w:customStyle="1" w:styleId="Equation">
    <w:name w:val="Equation"/>
    <w:basedOn w:val="Normal"/>
    <w:pPr>
      <w:jc w:val="right"/>
    </w:pPr>
  </w:style>
  <w:style w:type="paragraph" w:customStyle="1" w:styleId="Figure">
    <w:name w:val="Figure"/>
    <w:basedOn w:val="Normal"/>
    <w:pPr>
      <w:keepNext/>
      <w:keepLines/>
      <w:jc w:val="center"/>
    </w:pPr>
  </w:style>
  <w:style w:type="paragraph" w:customStyle="1" w:styleId="Reference">
    <w:name w:val="Reference"/>
    <w:basedOn w:val="Normal"/>
    <w:pPr>
      <w:spacing w:after="120"/>
      <w:ind w:left="360" w:hanging="36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References">
    <w:name w:val="References"/>
    <w:basedOn w:val="para"/>
    <w:pPr>
      <w:numPr>
        <w:numId w:val="1"/>
      </w:numPr>
      <w:tabs>
        <w:tab w:val="clear" w:pos="360"/>
        <w:tab w:val="left" w:pos="245"/>
      </w:tabs>
    </w:pPr>
    <w:rPr>
      <w:sz w:val="18"/>
    </w:rPr>
  </w:style>
  <w:style w:type="paragraph" w:customStyle="1" w:styleId="para">
    <w:name w:val="para"/>
    <w:basedOn w:val="Normal"/>
    <w:next w:val="Normal"/>
    <w:pPr>
      <w:spacing w:after="0"/>
    </w:pPr>
    <w:rPr>
      <w:sz w:val="24"/>
    </w:rPr>
  </w:style>
  <w:style w:type="paragraph" w:customStyle="1" w:styleId="FigCaption">
    <w:name w:val="FigCaption"/>
    <w:basedOn w:val="Caption"/>
    <w:next w:val="Normal"/>
    <w:rsid w:val="00432F9D"/>
    <w:pPr>
      <w:ind w:left="540" w:hanging="540"/>
    </w:pPr>
  </w:style>
  <w:style w:type="character" w:customStyle="1" w:styleId="HeaderChar">
    <w:name w:val="Header Char"/>
    <w:link w:val="Header"/>
    <w:rsid w:val="008D7E8F"/>
    <w:rPr>
      <w:sz w:val="18"/>
    </w:rPr>
  </w:style>
  <w:style w:type="paragraph" w:customStyle="1" w:styleId="SGPworkshop">
    <w:name w:val="SGPworkshop"/>
    <w:basedOn w:val="Header"/>
    <w:rsid w:val="008D7E8F"/>
    <w:pPr>
      <w:spacing w:after="0"/>
    </w:pPr>
    <w:rPr>
      <w:sz w:val="14"/>
    </w:rPr>
  </w:style>
  <w:style w:type="character" w:styleId="Hyperlink">
    <w:name w:val="Hyperlink"/>
    <w:rsid w:val="00D63875"/>
    <w:rPr>
      <w:color w:val="0563C1"/>
      <w:u w:val="single"/>
    </w:rPr>
  </w:style>
  <w:style w:type="table" w:styleId="TableGrid">
    <w:name w:val="Table Grid"/>
    <w:basedOn w:val="TableNormal"/>
    <w:rsid w:val="00924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A64E87"/>
    <w:rPr>
      <w:sz w:val="16"/>
      <w:szCs w:val="16"/>
    </w:rPr>
  </w:style>
  <w:style w:type="paragraph" w:styleId="CommentText">
    <w:name w:val="annotation text"/>
    <w:basedOn w:val="Normal"/>
    <w:link w:val="CommentTextChar"/>
    <w:rsid w:val="00A64E87"/>
    <w:rPr>
      <w:sz w:val="20"/>
    </w:rPr>
  </w:style>
  <w:style w:type="character" w:customStyle="1" w:styleId="CommentTextChar">
    <w:name w:val="Comment Text Char"/>
    <w:basedOn w:val="DefaultParagraphFont"/>
    <w:link w:val="CommentText"/>
    <w:rsid w:val="00A64E87"/>
  </w:style>
  <w:style w:type="paragraph" w:styleId="CommentSubject">
    <w:name w:val="annotation subject"/>
    <w:basedOn w:val="CommentText"/>
    <w:next w:val="CommentText"/>
    <w:link w:val="CommentSubjectChar"/>
    <w:rsid w:val="00A64E87"/>
    <w:rPr>
      <w:b/>
      <w:bCs/>
    </w:rPr>
  </w:style>
  <w:style w:type="character" w:customStyle="1" w:styleId="CommentSubjectChar">
    <w:name w:val="Comment Subject Char"/>
    <w:link w:val="CommentSubject"/>
    <w:rsid w:val="00A64E87"/>
    <w:rPr>
      <w:b/>
      <w:bCs/>
    </w:rPr>
  </w:style>
  <w:style w:type="paragraph" w:styleId="BalloonText">
    <w:name w:val="Balloon Text"/>
    <w:basedOn w:val="Normal"/>
    <w:link w:val="BalloonTextChar"/>
    <w:rsid w:val="00A64E87"/>
    <w:pPr>
      <w:spacing w:after="0"/>
    </w:pPr>
    <w:rPr>
      <w:rFonts w:ascii="Segoe UI" w:hAnsi="Segoe UI" w:cs="Segoe UI"/>
      <w:szCs w:val="18"/>
    </w:rPr>
  </w:style>
  <w:style w:type="character" w:customStyle="1" w:styleId="BalloonTextChar">
    <w:name w:val="Balloon Text Char"/>
    <w:link w:val="BalloonText"/>
    <w:rsid w:val="00A64E87"/>
    <w:rPr>
      <w:rFonts w:ascii="Segoe UI" w:hAnsi="Segoe UI" w:cs="Segoe UI"/>
      <w:sz w:val="18"/>
      <w:szCs w:val="18"/>
    </w:rPr>
  </w:style>
  <w:style w:type="character" w:customStyle="1" w:styleId="Heading1Char">
    <w:name w:val="Heading 1 Char"/>
    <w:link w:val="Heading1"/>
    <w:uiPriority w:val="9"/>
    <w:rsid w:val="00F3304D"/>
    <w:rPr>
      <w:b/>
      <w:caps/>
      <w:kern w:val="28"/>
      <w:sz w:val="18"/>
    </w:rPr>
  </w:style>
  <w:style w:type="paragraph" w:styleId="Bibliography">
    <w:name w:val="Bibliography"/>
    <w:basedOn w:val="Normal"/>
    <w:next w:val="Normal"/>
    <w:uiPriority w:val="37"/>
    <w:unhideWhenUsed/>
    <w:rsid w:val="00F33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2398">
      <w:bodyDiv w:val="1"/>
      <w:marLeft w:val="0"/>
      <w:marRight w:val="0"/>
      <w:marTop w:val="0"/>
      <w:marBottom w:val="0"/>
      <w:divBdr>
        <w:top w:val="none" w:sz="0" w:space="0" w:color="auto"/>
        <w:left w:val="none" w:sz="0" w:space="0" w:color="auto"/>
        <w:bottom w:val="none" w:sz="0" w:space="0" w:color="auto"/>
        <w:right w:val="none" w:sz="0" w:space="0" w:color="auto"/>
      </w:divBdr>
    </w:div>
    <w:div w:id="167329763">
      <w:bodyDiv w:val="1"/>
      <w:marLeft w:val="0"/>
      <w:marRight w:val="0"/>
      <w:marTop w:val="0"/>
      <w:marBottom w:val="0"/>
      <w:divBdr>
        <w:top w:val="none" w:sz="0" w:space="0" w:color="auto"/>
        <w:left w:val="none" w:sz="0" w:space="0" w:color="auto"/>
        <w:bottom w:val="none" w:sz="0" w:space="0" w:color="auto"/>
        <w:right w:val="none" w:sz="0" w:space="0" w:color="auto"/>
      </w:divBdr>
    </w:div>
    <w:div w:id="188955214">
      <w:bodyDiv w:val="1"/>
      <w:marLeft w:val="0"/>
      <w:marRight w:val="0"/>
      <w:marTop w:val="0"/>
      <w:marBottom w:val="0"/>
      <w:divBdr>
        <w:top w:val="none" w:sz="0" w:space="0" w:color="auto"/>
        <w:left w:val="none" w:sz="0" w:space="0" w:color="auto"/>
        <w:bottom w:val="none" w:sz="0" w:space="0" w:color="auto"/>
        <w:right w:val="none" w:sz="0" w:space="0" w:color="auto"/>
      </w:divBdr>
    </w:div>
    <w:div w:id="348996542">
      <w:bodyDiv w:val="1"/>
      <w:marLeft w:val="0"/>
      <w:marRight w:val="0"/>
      <w:marTop w:val="0"/>
      <w:marBottom w:val="0"/>
      <w:divBdr>
        <w:top w:val="none" w:sz="0" w:space="0" w:color="auto"/>
        <w:left w:val="none" w:sz="0" w:space="0" w:color="auto"/>
        <w:bottom w:val="none" w:sz="0" w:space="0" w:color="auto"/>
        <w:right w:val="none" w:sz="0" w:space="0" w:color="auto"/>
      </w:divBdr>
    </w:div>
    <w:div w:id="375546996">
      <w:bodyDiv w:val="1"/>
      <w:marLeft w:val="0"/>
      <w:marRight w:val="0"/>
      <w:marTop w:val="0"/>
      <w:marBottom w:val="0"/>
      <w:divBdr>
        <w:top w:val="none" w:sz="0" w:space="0" w:color="auto"/>
        <w:left w:val="none" w:sz="0" w:space="0" w:color="auto"/>
        <w:bottom w:val="none" w:sz="0" w:space="0" w:color="auto"/>
        <w:right w:val="none" w:sz="0" w:space="0" w:color="auto"/>
      </w:divBdr>
    </w:div>
    <w:div w:id="464078568">
      <w:bodyDiv w:val="1"/>
      <w:marLeft w:val="0"/>
      <w:marRight w:val="0"/>
      <w:marTop w:val="0"/>
      <w:marBottom w:val="0"/>
      <w:divBdr>
        <w:top w:val="none" w:sz="0" w:space="0" w:color="auto"/>
        <w:left w:val="none" w:sz="0" w:space="0" w:color="auto"/>
        <w:bottom w:val="none" w:sz="0" w:space="0" w:color="auto"/>
        <w:right w:val="none" w:sz="0" w:space="0" w:color="auto"/>
      </w:divBdr>
    </w:div>
    <w:div w:id="546602189">
      <w:bodyDiv w:val="1"/>
      <w:marLeft w:val="0"/>
      <w:marRight w:val="0"/>
      <w:marTop w:val="0"/>
      <w:marBottom w:val="0"/>
      <w:divBdr>
        <w:top w:val="none" w:sz="0" w:space="0" w:color="auto"/>
        <w:left w:val="none" w:sz="0" w:space="0" w:color="auto"/>
        <w:bottom w:val="none" w:sz="0" w:space="0" w:color="auto"/>
        <w:right w:val="none" w:sz="0" w:space="0" w:color="auto"/>
      </w:divBdr>
    </w:div>
    <w:div w:id="606693859">
      <w:bodyDiv w:val="1"/>
      <w:marLeft w:val="0"/>
      <w:marRight w:val="0"/>
      <w:marTop w:val="0"/>
      <w:marBottom w:val="0"/>
      <w:divBdr>
        <w:top w:val="none" w:sz="0" w:space="0" w:color="auto"/>
        <w:left w:val="none" w:sz="0" w:space="0" w:color="auto"/>
        <w:bottom w:val="none" w:sz="0" w:space="0" w:color="auto"/>
        <w:right w:val="none" w:sz="0" w:space="0" w:color="auto"/>
      </w:divBdr>
    </w:div>
    <w:div w:id="649863531">
      <w:bodyDiv w:val="1"/>
      <w:marLeft w:val="0"/>
      <w:marRight w:val="0"/>
      <w:marTop w:val="0"/>
      <w:marBottom w:val="0"/>
      <w:divBdr>
        <w:top w:val="none" w:sz="0" w:space="0" w:color="auto"/>
        <w:left w:val="none" w:sz="0" w:space="0" w:color="auto"/>
        <w:bottom w:val="none" w:sz="0" w:space="0" w:color="auto"/>
        <w:right w:val="none" w:sz="0" w:space="0" w:color="auto"/>
      </w:divBdr>
    </w:div>
    <w:div w:id="924194366">
      <w:bodyDiv w:val="1"/>
      <w:marLeft w:val="0"/>
      <w:marRight w:val="0"/>
      <w:marTop w:val="0"/>
      <w:marBottom w:val="0"/>
      <w:divBdr>
        <w:top w:val="none" w:sz="0" w:space="0" w:color="auto"/>
        <w:left w:val="none" w:sz="0" w:space="0" w:color="auto"/>
        <w:bottom w:val="none" w:sz="0" w:space="0" w:color="auto"/>
        <w:right w:val="none" w:sz="0" w:space="0" w:color="auto"/>
      </w:divBdr>
    </w:div>
    <w:div w:id="982347991">
      <w:bodyDiv w:val="1"/>
      <w:marLeft w:val="0"/>
      <w:marRight w:val="0"/>
      <w:marTop w:val="0"/>
      <w:marBottom w:val="0"/>
      <w:divBdr>
        <w:top w:val="none" w:sz="0" w:space="0" w:color="auto"/>
        <w:left w:val="none" w:sz="0" w:space="0" w:color="auto"/>
        <w:bottom w:val="none" w:sz="0" w:space="0" w:color="auto"/>
        <w:right w:val="none" w:sz="0" w:space="0" w:color="auto"/>
      </w:divBdr>
    </w:div>
    <w:div w:id="1227185373">
      <w:bodyDiv w:val="1"/>
      <w:marLeft w:val="0"/>
      <w:marRight w:val="0"/>
      <w:marTop w:val="0"/>
      <w:marBottom w:val="0"/>
      <w:divBdr>
        <w:top w:val="none" w:sz="0" w:space="0" w:color="auto"/>
        <w:left w:val="none" w:sz="0" w:space="0" w:color="auto"/>
        <w:bottom w:val="none" w:sz="0" w:space="0" w:color="auto"/>
        <w:right w:val="none" w:sz="0" w:space="0" w:color="auto"/>
      </w:divBdr>
    </w:div>
    <w:div w:id="1288047565">
      <w:bodyDiv w:val="1"/>
      <w:marLeft w:val="0"/>
      <w:marRight w:val="0"/>
      <w:marTop w:val="0"/>
      <w:marBottom w:val="0"/>
      <w:divBdr>
        <w:top w:val="none" w:sz="0" w:space="0" w:color="auto"/>
        <w:left w:val="none" w:sz="0" w:space="0" w:color="auto"/>
        <w:bottom w:val="none" w:sz="0" w:space="0" w:color="auto"/>
        <w:right w:val="none" w:sz="0" w:space="0" w:color="auto"/>
      </w:divBdr>
      <w:divsChild>
        <w:div w:id="717320756">
          <w:marLeft w:val="300"/>
          <w:marRight w:val="0"/>
          <w:marTop w:val="330"/>
          <w:marBottom w:val="300"/>
          <w:divBdr>
            <w:top w:val="none" w:sz="0" w:space="0" w:color="auto"/>
            <w:left w:val="none" w:sz="0" w:space="0" w:color="auto"/>
            <w:bottom w:val="none" w:sz="0" w:space="0" w:color="auto"/>
            <w:right w:val="none" w:sz="0" w:space="0" w:color="auto"/>
          </w:divBdr>
        </w:div>
        <w:div w:id="1283733251">
          <w:marLeft w:val="300"/>
          <w:marRight w:val="0"/>
          <w:marTop w:val="330"/>
          <w:marBottom w:val="300"/>
          <w:divBdr>
            <w:top w:val="none" w:sz="0" w:space="0" w:color="auto"/>
            <w:left w:val="none" w:sz="0" w:space="0" w:color="auto"/>
            <w:bottom w:val="none" w:sz="0" w:space="0" w:color="auto"/>
            <w:right w:val="none" w:sz="0" w:space="0" w:color="auto"/>
          </w:divBdr>
        </w:div>
        <w:div w:id="421343682">
          <w:marLeft w:val="300"/>
          <w:marRight w:val="0"/>
          <w:marTop w:val="330"/>
          <w:marBottom w:val="300"/>
          <w:divBdr>
            <w:top w:val="none" w:sz="0" w:space="0" w:color="auto"/>
            <w:left w:val="none" w:sz="0" w:space="0" w:color="auto"/>
            <w:bottom w:val="none" w:sz="0" w:space="0" w:color="auto"/>
            <w:right w:val="none" w:sz="0" w:space="0" w:color="auto"/>
          </w:divBdr>
        </w:div>
        <w:div w:id="95250206">
          <w:marLeft w:val="300"/>
          <w:marRight w:val="0"/>
          <w:marTop w:val="330"/>
          <w:marBottom w:val="300"/>
          <w:divBdr>
            <w:top w:val="none" w:sz="0" w:space="0" w:color="auto"/>
            <w:left w:val="none" w:sz="0" w:space="0" w:color="auto"/>
            <w:bottom w:val="none" w:sz="0" w:space="0" w:color="auto"/>
            <w:right w:val="none" w:sz="0" w:space="0" w:color="auto"/>
          </w:divBdr>
        </w:div>
        <w:div w:id="2138790948">
          <w:marLeft w:val="300"/>
          <w:marRight w:val="0"/>
          <w:marTop w:val="330"/>
          <w:marBottom w:val="300"/>
          <w:divBdr>
            <w:top w:val="none" w:sz="0" w:space="0" w:color="auto"/>
            <w:left w:val="none" w:sz="0" w:space="0" w:color="auto"/>
            <w:bottom w:val="none" w:sz="0" w:space="0" w:color="auto"/>
            <w:right w:val="none" w:sz="0" w:space="0" w:color="auto"/>
          </w:divBdr>
        </w:div>
        <w:div w:id="2134789770">
          <w:marLeft w:val="300"/>
          <w:marRight w:val="0"/>
          <w:marTop w:val="330"/>
          <w:marBottom w:val="300"/>
          <w:divBdr>
            <w:top w:val="none" w:sz="0" w:space="0" w:color="auto"/>
            <w:left w:val="none" w:sz="0" w:space="0" w:color="auto"/>
            <w:bottom w:val="none" w:sz="0" w:space="0" w:color="auto"/>
            <w:right w:val="none" w:sz="0" w:space="0" w:color="auto"/>
          </w:divBdr>
        </w:div>
        <w:div w:id="793476346">
          <w:marLeft w:val="300"/>
          <w:marRight w:val="0"/>
          <w:marTop w:val="330"/>
          <w:marBottom w:val="300"/>
          <w:divBdr>
            <w:top w:val="none" w:sz="0" w:space="0" w:color="auto"/>
            <w:left w:val="none" w:sz="0" w:space="0" w:color="auto"/>
            <w:bottom w:val="none" w:sz="0" w:space="0" w:color="auto"/>
            <w:right w:val="none" w:sz="0" w:space="0" w:color="auto"/>
          </w:divBdr>
        </w:div>
        <w:div w:id="1024135082">
          <w:marLeft w:val="300"/>
          <w:marRight w:val="0"/>
          <w:marTop w:val="330"/>
          <w:marBottom w:val="300"/>
          <w:divBdr>
            <w:top w:val="none" w:sz="0" w:space="0" w:color="auto"/>
            <w:left w:val="none" w:sz="0" w:space="0" w:color="auto"/>
            <w:bottom w:val="none" w:sz="0" w:space="0" w:color="auto"/>
            <w:right w:val="none" w:sz="0" w:space="0" w:color="auto"/>
          </w:divBdr>
        </w:div>
        <w:div w:id="1781752466">
          <w:marLeft w:val="300"/>
          <w:marRight w:val="0"/>
          <w:marTop w:val="330"/>
          <w:marBottom w:val="300"/>
          <w:divBdr>
            <w:top w:val="none" w:sz="0" w:space="0" w:color="auto"/>
            <w:left w:val="none" w:sz="0" w:space="0" w:color="auto"/>
            <w:bottom w:val="none" w:sz="0" w:space="0" w:color="auto"/>
            <w:right w:val="none" w:sz="0" w:space="0" w:color="auto"/>
          </w:divBdr>
        </w:div>
        <w:div w:id="401489456">
          <w:marLeft w:val="300"/>
          <w:marRight w:val="0"/>
          <w:marTop w:val="330"/>
          <w:marBottom w:val="300"/>
          <w:divBdr>
            <w:top w:val="none" w:sz="0" w:space="0" w:color="auto"/>
            <w:left w:val="none" w:sz="0" w:space="0" w:color="auto"/>
            <w:bottom w:val="none" w:sz="0" w:space="0" w:color="auto"/>
            <w:right w:val="none" w:sz="0" w:space="0" w:color="auto"/>
          </w:divBdr>
        </w:div>
        <w:div w:id="1357463007">
          <w:marLeft w:val="300"/>
          <w:marRight w:val="0"/>
          <w:marTop w:val="330"/>
          <w:marBottom w:val="300"/>
          <w:divBdr>
            <w:top w:val="none" w:sz="0" w:space="0" w:color="auto"/>
            <w:left w:val="none" w:sz="0" w:space="0" w:color="auto"/>
            <w:bottom w:val="none" w:sz="0" w:space="0" w:color="auto"/>
            <w:right w:val="none" w:sz="0" w:space="0" w:color="auto"/>
          </w:divBdr>
        </w:div>
        <w:div w:id="1099956936">
          <w:marLeft w:val="300"/>
          <w:marRight w:val="0"/>
          <w:marTop w:val="330"/>
          <w:marBottom w:val="300"/>
          <w:divBdr>
            <w:top w:val="none" w:sz="0" w:space="0" w:color="auto"/>
            <w:left w:val="none" w:sz="0" w:space="0" w:color="auto"/>
            <w:bottom w:val="none" w:sz="0" w:space="0" w:color="auto"/>
            <w:right w:val="none" w:sz="0" w:space="0" w:color="auto"/>
          </w:divBdr>
        </w:div>
      </w:divsChild>
    </w:div>
    <w:div w:id="1329673846">
      <w:bodyDiv w:val="1"/>
      <w:marLeft w:val="0"/>
      <w:marRight w:val="0"/>
      <w:marTop w:val="0"/>
      <w:marBottom w:val="0"/>
      <w:divBdr>
        <w:top w:val="none" w:sz="0" w:space="0" w:color="auto"/>
        <w:left w:val="none" w:sz="0" w:space="0" w:color="auto"/>
        <w:bottom w:val="none" w:sz="0" w:space="0" w:color="auto"/>
        <w:right w:val="none" w:sz="0" w:space="0" w:color="auto"/>
      </w:divBdr>
    </w:div>
    <w:div w:id="1501234146">
      <w:bodyDiv w:val="1"/>
      <w:marLeft w:val="0"/>
      <w:marRight w:val="0"/>
      <w:marTop w:val="0"/>
      <w:marBottom w:val="0"/>
      <w:divBdr>
        <w:top w:val="none" w:sz="0" w:space="0" w:color="auto"/>
        <w:left w:val="none" w:sz="0" w:space="0" w:color="auto"/>
        <w:bottom w:val="none" w:sz="0" w:space="0" w:color="auto"/>
        <w:right w:val="none" w:sz="0" w:space="0" w:color="auto"/>
      </w:divBdr>
    </w:div>
    <w:div w:id="1679380804">
      <w:bodyDiv w:val="1"/>
      <w:marLeft w:val="0"/>
      <w:marRight w:val="0"/>
      <w:marTop w:val="0"/>
      <w:marBottom w:val="0"/>
      <w:divBdr>
        <w:top w:val="none" w:sz="0" w:space="0" w:color="auto"/>
        <w:left w:val="none" w:sz="0" w:space="0" w:color="auto"/>
        <w:bottom w:val="none" w:sz="0" w:space="0" w:color="auto"/>
        <w:right w:val="none" w:sz="0" w:space="0" w:color="auto"/>
      </w:divBdr>
    </w:div>
    <w:div w:id="183155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emf"/><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image" Target="media/image16.emf"/><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png"/><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sgw2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Agu17</b:Tag>
    <b:SourceType>ConferenceProceedings</b:SourceType>
    <b:Guid>{B0F0EA72-FC31-4FCF-8AAB-D62D156C53A3}</b:Guid>
    <b:Title>Hybrid Ground-Source Heat Pumps for Cooling Cellular Tower Shelters : from Campus Living Laboratory to Nationwide Deployment</b:Title>
    <b:Year>2017</b:Year>
    <b:City>Stanford, CA</b:City>
    <b:Author>
      <b:Author>
        <b:NameList>
          <b:Person>
            <b:Last>Aguirre</b:Last>
            <b:First>Gloria</b:First>
            <b:Middle>Andrea</b:Middle>
          </b:Person>
          <b:Person>
            <b:Last>Beckers</b:Last>
            <b:First>Koenraad</b:First>
            <b:Middle>F.</b:Middle>
          </b:Person>
          <b:Person>
            <b:Last>Lukawski</b:Last>
            <b:First>Maciej</b:First>
            <b:Middle>Z.</b:Middle>
          </b:Person>
          <b:Person>
            <b:Last>Tester</b:Last>
            <b:First>Jefferson</b:First>
            <b:Middle>W.</b:Middle>
          </b:Person>
        </b:NameList>
      </b:Author>
    </b:Author>
    <b:ConferenceName>Stanford Geothermal Workshop</b:ConferenceName>
    <b:RefOrder>1</b:RefOrder>
  </b:Source>
  <b:Source>
    <b:Tag>Bat13</b:Tag>
    <b:SourceType>Report</b:SourceType>
    <b:Guid>{4E6C1B51-CA54-4438-809F-B5B255BCA4B3}</b:Guid>
    <b:Title>Measuring the costs and benefits of nationwide geothermal heat pump deployment</b:Title>
    <b:Year>2013</b:Year>
    <b:City>Davis, CA</b:City>
    <b:Publisher>U.S. Department of Energy, Geothermal Technologies Program under Award Number DE-EE0002741</b:Publisher>
    <b:Author>
      <b:Author>
        <b:NameList>
          <b:Person>
            <b:Last>Battocletti</b:Last>
            <b:First>Elizabeth</b:First>
            <b:Middle>C.</b:Middle>
          </b:Person>
          <b:Person>
            <b:Last>Glassley</b:Last>
            <b:First>William</b:First>
            <b:Middle>E.</b:Middle>
          </b:Person>
        </b:NameList>
      </b:Author>
    </b:Author>
    <b:RefOrder>2</b:RefOrder>
  </b:Source>
  <b:Source>
    <b:Tag>Bec14</b:Tag>
    <b:SourceType>ConferenceProceedings</b:SourceType>
    <b:Guid>{5CE38EA0-CDF9-40D9-90D8-798E143E449B}</b:Guid>
    <b:Author>
      <b:Author>
        <b:NameList>
          <b:Person>
            <b:Last>Beckers</b:Last>
            <b:First>K.</b:First>
            <b:Middle>F.</b:Middle>
          </b:Person>
          <b:Person>
            <b:Last>Yavuzturk</b:Last>
            <b:First>C.</b:First>
            <b:Middle>C.</b:Middle>
          </b:Person>
          <b:Person>
            <b:Last>Tester</b:Last>
            <b:First>J.</b:First>
            <b:Middle>W.</b:Middle>
          </b:Person>
        </b:NameList>
      </b:Author>
    </b:Author>
    <b:Title>Techno-Economic Modeling and Monitoring of Hybrid Ground-Source Heat Pump System with Borehole Heat Exchangers for Cooling-Dominated Cellular Tower Application</b:Title>
    <b:Year>2014</b:Year>
    <b:City>Montréal (Québec) Canada</b:City>
    <b:ConferenceName>11th IEA Heat Pump Conference</b:ConferenceName>
    <b:RefOrder>3</b:RefOrder>
  </b:Source>
  <b:Source>
    <b:Tag>Bec16</b:Tag>
    <b:SourceType>Misc</b:SourceType>
    <b:Guid>{A8723667-678E-4AE8-BD69-A85C39217619}</b:Guid>
    <b:Title>Low-temperature geothermal energy: systems modeling, reservoir simulation, and economic analysis</b:Title>
    <b:Year>2016</b:Year>
    <b:City>Ithaca, NY</b:City>
    <b:Publisher>Cornell University</b:Publisher>
    <b:Author>
      <b:Author>
        <b:NameList>
          <b:Person>
            <b:Last>Beckers</b:Last>
            <b:First>Koenraad</b:First>
            <b:Middle>Johan Hilde Ferdinand</b:Middle>
          </b:Person>
        </b:NameList>
      </b:Author>
    </b:Author>
    <b:RefOrder>4</b:RefOrder>
  </b:Source>
  <b:Source>
    <b:Tag>Cli17</b:Tag>
    <b:SourceType>DocumentFromInternetSite</b:SourceType>
    <b:Guid>{2290AEDE-E1E9-43BB-AC3C-5E525630309F}</b:Guid>
    <b:Title>ClimateMaster Tranquility Compact Belt Drive (TC) Series</b:Title>
    <b:Year>2017</b:Year>
    <b:Author>
      <b:Author>
        <b:Corporate>ClimateMaster</b:Corporate>
      </b:Author>
    </b:Author>
    <b:Month>February</b:Month>
    <b:Day>10</b:Day>
    <b:YearAccessed>2017</b:YearAccessed>
    <b:URL>http://www.climatemaster.com/commercial/?cm_product=compact-belt-drive-heat-pump-tranquility-compact-tc-belt-drive-series</b:URL>
    <b:RefOrder>5</b:RefOrder>
  </b:Source>
  <b:Source>
    <b:Tag>Kle14</b:Tag>
    <b:SourceType>DocumentFromInternetSite</b:SourceType>
    <b:Guid>{A2D42B90-5ACB-4BB7-BBA1-A9B0D9215E47}</b:Guid>
    <b:Author>
      <b:Author>
        <b:NameList>
          <b:Person>
            <b:Last>Klein</b:Last>
            <b:First>S.A.</b:First>
          </b:Person>
          <b:Person>
            <b:Last>Beckman</b:Last>
            <b:First>W.A.</b:First>
          </b:Person>
          <b:Person>
            <b:Last>Mitchell</b:Last>
            <b:First>J.W.</b:First>
          </b:Person>
          <b:Person>
            <b:Last>Duffie</b:Last>
            <b:First>J.A.</b:First>
          </b:Person>
          <b:Person>
            <b:Last>Duffie</b:Last>
            <b:First>N.A.</b:First>
          </b:Person>
          <b:Person>
            <b:Last>Freeman</b:Last>
            <b:First>T.L.</b:First>
          </b:Person>
          <b:Person>
            <b:Last>Mitchell</b:Last>
            <b:First>J.C.</b:First>
          </b:Person>
          <b:Person>
            <b:Last>Braun</b:Last>
            <b:First>J.E.</b:First>
          </b:Person>
          <b:Person>
            <b:Last>Evans</b:Last>
            <b:First>B.L.</b:First>
          </b:Person>
          <b:Person>
            <b:Last>Krummer</b:Last>
            <b:First>J.P.</b:First>
          </b:Person>
          <b:Person>
            <b:Last>Urban</b:Last>
            <b:First>R.E.</b:First>
          </b:Person>
          <b:Person>
            <b:Last>Fiksel</b:Last>
            <b:First>A.</b:First>
          </b:Person>
          <b:Person>
            <b:Last>Thornton</b:Last>
            <b:First>J.W.</b:First>
          </b:Person>
          <b:Person>
            <b:Last>Blair</b:Last>
            <b:First>N.J.</b:First>
          </b:Person>
          <b:Person>
            <b:Last>Williams</b:Last>
            <b:First>P.M.</b:First>
          </b:Person>
          <b:Person>
            <b:Last>Bradley</b:Last>
            <b:First>D.E.</b:First>
          </b:Person>
          <b:Person>
            <b:Last>McDowell</b:Last>
            <b:First>T.P.</b:First>
          </b:Person>
          <b:Person>
            <b:Last>Krummert</b:Last>
            <b:First>M.</b:First>
          </b:Person>
          <b:Person>
            <b:Last>Arias</b:Last>
            <b:Middle>A.</b:Middle>
            <b:First>D.</b:First>
          </b:Person>
        </b:NameList>
      </b:Author>
    </b:Author>
    <b:Title>TRNSYS 17</b:Title>
    <b:Year>2014</b:Year>
    <b:URL>http://www.trnsys.com/</b:URL>
    <b:RefOrder>6</b:RefOrder>
  </b:Source>
  <b:Source>
    <b:Tag>Son15</b:Tag>
    <b:SourceType>JournalArticle</b:SourceType>
    <b:Guid>{5CC6F77A-FED8-4DE1-B491-B02562292C1E}</b:Guid>
    <b:Title>Data Center Energy and Cost Saving Evaluation</b:Title>
    <b:Year>2015</b:Year>
    <b:Author>
      <b:Author>
        <b:NameList>
          <b:Person>
            <b:Last>Song</b:Last>
            <b:First>Z.</b:First>
          </b:Person>
          <b:Person>
            <b:Last>Zhang</b:Last>
            <b:First>X.</b:First>
          </b:Person>
          <b:Person>
            <b:Last>Eriksson</b:Last>
            <b:First>C.</b:First>
          </b:Person>
        </b:NameList>
      </b:Author>
    </b:Author>
    <b:JournalName>Energy Procedia</b:JournalName>
    <b:Pages>1255-1260</b:Pages>
    <b:RefOrder>7</b:RefOrder>
  </b:Source>
  <b:Source>
    <b:Tag>Urc08</b:Tag>
    <b:SourceType>JournalArticle</b:SourceType>
    <b:Guid>{858C349B-FDAE-4117-B28A-A7D7110BB41F}</b:Guid>
    <b:Author>
      <b:Author>
        <b:NameList>
          <b:Person>
            <b:Last>Urchueguía</b:Last>
            <b:First>J.</b:First>
            <b:Middle>F.</b:Middle>
          </b:Person>
          <b:Person>
            <b:Last>Zacarés</b:Last>
            <b:First>M.</b:First>
          </b:Person>
          <b:Person>
            <b:Last>Corberán</b:Last>
            <b:First>J.</b:First>
            <b:Middle>M.</b:Middle>
          </b:Person>
          <b:Person>
            <b:Last>Montero</b:Last>
            <b:First>Á.</b:First>
          </b:Person>
          <b:Person>
            <b:Last>Martos</b:Last>
            <b:First>J.</b:First>
          </b:Person>
          <b:Person>
            <b:Last>Witte</b:Last>
            <b:First>H.</b:First>
          </b:Person>
        </b:NameList>
      </b:Author>
    </b:Author>
    <b:Title>Comparison between the energy performance of a ground coupled water to water heat pump system and an air to water heat pump system for heating and cooling in typical conditions of the European Mediterranean coast</b:Title>
    <b:JournalName>Energy Conversion and Management</b:JournalName>
    <b:Year>2008</b:Year>
    <b:Pages>2917-2923</b:Pages>
    <b:Volume>49</b:Volume>
    <b:RefOrder>8</b:RefOrder>
  </b:Source>
  <b:Source>
    <b:Tag>Wil08</b:Tag>
    <b:SourceType>DocumentFromInternetSite</b:SourceType>
    <b:Guid>{E5C76AE6-3F9C-4A47-A830-476104E9F487}</b:Guid>
    <b:Title>User's Manual for TMY3 Data Sets</b:Title>
    <b:Year>2008</b:Year>
    <b:Author>
      <b:Author>
        <b:NameList>
          <b:Person>
            <b:Last>Wilcox</b:Last>
            <b:First>S</b:First>
          </b:Person>
          <b:Person>
            <b:Last>Marion</b:Last>
            <b:First>W</b:First>
          </b:Person>
        </b:NameList>
      </b:Author>
    </b:Author>
    <b:Month>May</b:Month>
    <b:URL>https://www.nrel.gov/docs/fy08osti/43156.pdf</b:URL>
    <b:RefOrder>9</b:RefOrder>
  </b:Source>
  <b:Source>
    <b:Tag>EIA17</b:Tag>
    <b:SourceType>DocumentFromInternetSite</b:SourceType>
    <b:Guid>{2A2AB0CA-2EB9-4D62-A9BF-0112E3181768}</b:Guid>
    <b:Title>Electric Power Monthly with Data for October 2017</b:Title>
    <b:Year>2017</b:Year>
    <b:Author>
      <b:Author>
        <b:Corporate>EIA</b:Corporate>
      </b:Author>
    </b:Author>
    <b:Publisher>U.S. Energy Information Administration</b:Publisher>
    <b:City>Washington, DC</b:City>
    <b:Month>December</b:Month>
    <b:YearAccessed>2018</b:YearAccessed>
    <b:MonthAccessed>January</b:MonthAccessed>
    <b:URL>https://www.eia.gov/electricity/monthly/archive/december2017.pdf</b:URL>
    <b:RefOrder>10</b:RefOrder>
  </b:Source>
  <b:Source>
    <b:Tag>NRE05</b:Tag>
    <b:SourceType>DocumentFromInternetSite</b:SourceType>
    <b:Guid>{961CFF62-F781-4BC3-91DE-DD5AA2896C91}</b:Guid>
    <b:Author>
      <b:Author>
        <b:Corporate>NREL</b:Corporate>
      </b:Author>
    </b:Author>
    <b:Title>National Solar Radiation Data Base</b:Title>
    <b:Year>2005</b:Year>
    <b:URL>http://rredc.nrel.gov/solar/old_data/nsrdb/1991-2005/tmy3/by_state_and_city.html</b:URL>
    <b:YearAccessed>2017</b:YearAccessed>
    <b:RefOrder>11</b:RefOrder>
  </b:Source>
  <b:Source>
    <b:Tag>Hea84</b:Tag>
    <b:SourceType>Book</b:SourceType>
    <b:Guid>{DC44D5B2-8C58-46D9-BBFF-9E974013B3CB}</b:Guid>
    <b:Title>Ground-Water Regions of the United States</b:Title>
    <b:Year>1984</b:Year>
    <b:Author>
      <b:Author>
        <b:NameList>
          <b:Person>
            <b:Last>Heath</b:Last>
            <b:First>R.</b:First>
            <b:Middle>C.</b:Middle>
          </b:Person>
        </b:NameList>
      </b:Author>
    </b:Author>
    <b:City>Washington, DC</b:City>
    <b:Publisher>United States Geological Survey</b:Publisher>
    <b:RefOrder>12</b:RefOrder>
  </b:Source>
  <b:Source>
    <b:Tag>Sol09</b:Tag>
    <b:SourceType>Report</b:SourceType>
    <b:Guid>{E74A4C79-064A-4491-B5A8-DCF515A60DE7}</b:Guid>
    <b:Author>
      <b:Author>
        <b:NameList>
          <b:Person>
            <b:Last>Soller</b:Last>
            <b:First>David</b:First>
            <b:Middle>R.</b:Middle>
          </b:Person>
          <b:Person>
            <b:Last>Reheis</b:Last>
            <b:First>Marith</b:First>
            <b:Middle>C.</b:Middle>
          </b:Person>
          <b:Person>
            <b:Last>Garrity</b:Last>
            <b:First>Christopher</b:First>
            <b:Middle>P.</b:Middle>
          </b:Person>
          <b:Person>
            <b:Last>Van Sistine</b:Last>
            <b:First>Darren</b:First>
            <b:Middle>R.</b:Middle>
          </b:Person>
        </b:NameList>
      </b:Author>
    </b:Author>
    <b:Title>Map Database for Surficial Materials in the Conterminous United States</b:Title>
    <b:Year>2009</b:Year>
    <b:City>Reston, VA</b:City>
    <b:Publisher>United States Geological Survey</b:Publisher>
    <b:RefOrder>13</b:RefOrder>
  </b:Source>
  <b:Source>
    <b:Tag>USG14</b:Tag>
    <b:SourceType>InternetSite</b:SourceType>
    <b:Guid>{CDE614AA-B6FF-4D96-B70D-E6060C20B03F}</b:Guid>
    <b:Title>Geologic Units Containing Earth Material, Mineral Resources On-Line Spatial Data</b:Title>
    <b:Year>2014</b:Year>
    <b:Author>
      <b:Author>
        <b:Corporate>USGS (United States Geological Survey)</b:Corporate>
      </b:Author>
    </b:Author>
    <b:URL>http://mrdata.usgs.gov/geology/state/sgmc-lith.php?code=root</b:URL>
    <b:RefOrder>14</b:RefOrder>
  </b:Source>
</b:Sources>
</file>

<file path=customXml/itemProps1.xml><?xml version="1.0" encoding="utf-8"?>
<ds:datastoreItem xmlns:ds="http://schemas.openxmlformats.org/officeDocument/2006/customXml" ds:itemID="{939F6B9B-2BC8-554E-B8AC-8E8AAC56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C:\Users\david\AppData\Roaming\Microsoft\Templates\sgw2018.dot</Template>
  <TotalTime>0</TotalTime>
  <Pages>11</Pages>
  <Words>5064</Words>
  <Characters>27501</Characters>
  <Application>Microsoft Macintosh Word</Application>
  <DocSecurity>0</DocSecurity>
  <Lines>687</Lines>
  <Paragraphs>417</Paragraphs>
  <ScaleCrop>false</ScaleCrop>
  <HeadingPairs>
    <vt:vector size="2" baseType="variant">
      <vt:variant>
        <vt:lpstr>Title</vt:lpstr>
      </vt:variant>
      <vt:variant>
        <vt:i4>1</vt:i4>
      </vt:variant>
    </vt:vector>
  </HeadingPairs>
  <TitlesOfParts>
    <vt:vector size="1" baseType="lpstr">
      <vt:lpstr>Steam-Water Relative Permeability</vt:lpstr>
    </vt:vector>
  </TitlesOfParts>
  <Company>Petroleum Engineering</Company>
  <LinksUpToDate>false</LinksUpToDate>
  <CharactersWithSpaces>32148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Steam-Water Relative Permeability</dc:title>
  <dc:subject/>
  <dc:creator>David Zurmuhl</dc:creator>
  <cp:keywords/>
  <dc:description/>
  <cp:lastModifiedBy>C. Anderson</cp:lastModifiedBy>
  <cp:revision>2</cp:revision>
  <cp:lastPrinted>2018-01-12T16:39:00Z</cp:lastPrinted>
  <dcterms:created xsi:type="dcterms:W3CDTF">2018-06-15T16:12:00Z</dcterms:created>
  <dcterms:modified xsi:type="dcterms:W3CDTF">2018-06-15T16:12:00Z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6e1a264a-657d-34ba-860e-bf8036757936</vt:lpwstr>
  </property>
  <property fmtid="{D5CDD505-2E9C-101B-9397-08002B2CF9AE}" pid="4" name="Mendeley Citation Style_1">
    <vt:lpwstr>http://www.zotero.org/styles/council-of-science-editors-author-date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http://www.zotero.org/styles/council-of-science-editors-author-date</vt:lpwstr>
  </property>
  <property fmtid="{D5CDD505-2E9C-101B-9397-08002B2CF9AE}" pid="18" name="Mendeley Recent Style Name 6_1">
    <vt:lpwstr>Council of Science Editors, Name-Year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http://www.zotero.org/styles/taylor-and-francis-council-of-science-editors-author-date</vt:lpwstr>
  </property>
  <property fmtid="{D5CDD505-2E9C-101B-9397-08002B2CF9AE}" pid="24" name="Mendeley Recent Style Name 9_1">
    <vt:lpwstr>Taylor &amp; Francis - Council of Science Editors (author-date)</vt:lpwstr>
  </property>
</Properties>
</file>