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dr.-lewis-martin"/>
    <w:p>
      <w:pPr>
        <w:pStyle w:val="Heading1"/>
      </w:pPr>
      <w:r>
        <w:t xml:space="preserve">Dr. Lewis Martin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Postdoctoral Researcher specializing in computational chemistry, molecular dynamics, protein-ligand interactions and drug discovery</w:t>
      </w:r>
    </w:p>
    <w:p>
      <w:r>
        <w:pict>
          <v:rect style="width:0;height:1.5pt" o:hralign="center" o:hrstd="t" o:hr="t"/>
        </w:pict>
      </w:r>
    </w:p>
    <w:bookmarkStart w:id="23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t xml:space="preserve">I use python libraries to study the interactions between molecules and proteins. This includes custom data visualization of large datasets,</w:t>
      </w:r>
      <w:r>
        <w:t xml:space="preserve"> </w:t>
      </w:r>
      <w:r>
        <w:t xml:space="preserve">non-linear curve fitting with Bayesian estimation, clustering in high dimensions, predicting new drugs with new structures, and cost-benefit analyses</w:t>
      </w:r>
      <w:r>
        <w:t xml:space="preserve"> </w:t>
      </w:r>
      <w:r>
        <w:t xml:space="preserve">to bring drug discovery to academics.</w:t>
      </w:r>
    </w:p>
    <w:p>
      <w:pPr>
        <w:pStyle w:val="BodyText"/>
      </w:pPr>
      <w:r>
        <w:t xml:space="preserve">For examples see:</w:t>
      </w:r>
    </w:p>
    <w:p>
      <w:pPr>
        <w:numPr>
          <w:ilvl w:val="0"/>
          <w:numId w:val="1001"/>
        </w:numPr>
        <w:pStyle w:val="Compact"/>
      </w:pPr>
      <w:r>
        <w:t xml:space="preserve">molecular dynamics simulations of ligands bound to the active site of proteins (</w:t>
      </w:r>
      <w:hyperlink r:id="rId20">
        <w:r>
          <w:rPr>
            <w:rStyle w:val="Hyperlink"/>
          </w:rPr>
          <w:t xml:space="preserve">cannabinoid1_scra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validating the best way to describe ligands to predict their activity with machine learning (</w:t>
      </w:r>
      <w:hyperlink r:id="rId21">
        <w:r>
          <w:rPr>
            <w:rStyle w:val="Hyperlink"/>
          </w:rPr>
          <w:t xml:space="preserve">molecular_fingerprints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comparing frequentist and Bayesian confidence intervals (</w:t>
      </w:r>
      <w:hyperlink r:id="rId22">
        <w:r>
          <w:rPr>
            <w:rStyle w:val="Hyperlink"/>
          </w:rPr>
          <w:t xml:space="preserve">timeseries_CI</w:t>
        </w:r>
      </w:hyperlink>
      <w:r>
        <w:t xml:space="preserve">)</w:t>
      </w:r>
    </w:p>
    <w:bookmarkEnd w:id="23"/>
    <w:bookmarkStart w:id="24" w:name="publications"/>
    <w:p>
      <w:pPr>
        <w:pStyle w:val="Heading2"/>
      </w:pPr>
      <w:r>
        <w:t xml:space="preserve">Publications</w:t>
      </w:r>
    </w:p>
    <w:p>
      <w:pPr>
        <w:pStyle w:val="DefinitionTerm"/>
      </w:pPr>
      <w:r>
        <w:t xml:space="preserve">2020</w:t>
      </w:r>
    </w:p>
    <w:p>
      <w:pPr>
        <w:pStyle w:val="Definition"/>
      </w:pPr>
      <w:r>
        <w:t xml:space="preserve">Martin, Lewis James, and Michael T. Bowen.</w:t>
      </w:r>
      <w:r>
        <w:t xml:space="preserve"> </w:t>
      </w:r>
      <w:r>
        <w:t xml:space="preserve">“</w:t>
      </w:r>
      <w:r>
        <w:t xml:space="preserve">Comparing fingerprints for ligand-based virtual screening: a fast, scalable approach for unbiased evaluation.</w:t>
      </w:r>
      <w:r>
        <w:t xml:space="preserve">”</w:t>
      </w:r>
      <w:r>
        <w:t xml:space="preserve"> </w:t>
      </w:r>
      <w:r>
        <w:t xml:space="preserve">Journal of Chemical Information and Modeling (2020).</w:t>
      </w:r>
    </w:p>
    <w:p>
      <w:pPr>
        <w:pStyle w:val="DefinitionTerm"/>
      </w:pPr>
      <w:r>
        <w:t xml:space="preserve">2018</w:t>
      </w:r>
    </w:p>
    <w:p>
      <w:pPr>
        <w:pStyle w:val="Definition"/>
      </w:pPr>
      <w:r>
        <w:t xml:space="preserve">Martin, Lewis J., Behnam Akhavan, and Marcela MM Bilek.</w:t>
      </w:r>
      <w:r>
        <w:t xml:space="preserve"> </w:t>
      </w:r>
      <w:r>
        <w:t xml:space="preserve">“</w:t>
      </w:r>
      <w:r>
        <w:t xml:space="preserve">Electric fields control the orientation of peptides irreversibly immobilized on radical-functionalized surfaces.</w:t>
      </w:r>
      <w:r>
        <w:t xml:space="preserve">”</w:t>
      </w:r>
      <w:r>
        <w:t xml:space="preserve"> </w:t>
      </w:r>
      <w:r>
        <w:t xml:space="preserve">Nature communications 9.1 (2018): 1-11.</w:t>
      </w:r>
    </w:p>
    <w:p>
      <w:pPr>
        <w:pStyle w:val="DefinitionTerm"/>
      </w:pPr>
      <w:r>
        <w:t xml:space="preserve">2016</w:t>
      </w:r>
    </w:p>
    <w:p>
      <w:pPr>
        <w:pStyle w:val="Definition"/>
      </w:pPr>
      <w:r>
        <w:t xml:space="preserve">Martin, Lewis, et al. </w:t>
      </w:r>
      <w:r>
        <w:t xml:space="preserve">“</w:t>
      </w:r>
      <w:r>
        <w:t xml:space="preserve">Force fields for simulating the interaction of surfaces with biological molecules.</w:t>
      </w:r>
      <w:r>
        <w:t xml:space="preserve">”</w:t>
      </w:r>
      <w:r>
        <w:t xml:space="preserve"> </w:t>
      </w:r>
      <w:r>
        <w:t xml:space="preserve">Interface Focus 6.1 (2016): 20150045.</w:t>
      </w:r>
    </w:p>
    <w:p>
      <w:pPr>
        <w:pStyle w:val="DefinitionTerm"/>
      </w:pPr>
      <w:r>
        <w:t xml:space="preserve">2014</w:t>
      </w:r>
    </w:p>
    <w:p>
      <w:pPr>
        <w:pStyle w:val="Definition"/>
      </w:pPr>
      <w:r>
        <w:t xml:space="preserve">Martin, Lewis J., and Ben Corry.</w:t>
      </w:r>
      <w:r>
        <w:t xml:space="preserve"> </w:t>
      </w:r>
      <w:r>
        <w:t xml:space="preserve">“</w:t>
      </w:r>
      <w:r>
        <w:t xml:space="preserve">Locating the route of entry and binding sites of benzocaine and phenytoin in a bacterial voltage gated sodium channel.</w:t>
      </w:r>
      <w:r>
        <w:t xml:space="preserve">”</w:t>
      </w:r>
      <w:r>
        <w:t xml:space="preserve"> </w:t>
      </w:r>
      <w:r>
        <w:t xml:space="preserve">PLoS Comput Biol 10.7 (2014): e1003688.</w:t>
      </w:r>
    </w:p>
    <w:p>
      <w:pPr>
        <w:pStyle w:val="DefinitionTerm"/>
      </w:pPr>
      <w:r>
        <w:t xml:space="preserve">2014</w:t>
      </w:r>
    </w:p>
    <w:p>
      <w:pPr>
        <w:pStyle w:val="Definition"/>
      </w:pPr>
      <w:r>
        <w:t xml:space="preserve">Martin, Lewis J., Rebecca Chao, and Ben Corry.</w:t>
      </w:r>
      <w:r>
        <w:t xml:space="preserve"> </w:t>
      </w:r>
      <w:r>
        <w:t xml:space="preserve">“</w:t>
      </w:r>
      <w:r>
        <w:t xml:space="preserve">Molecular dynamics simulation of the partitioning of benzocaine and phenytoin into a lipid bilayer.</w:t>
      </w:r>
      <w:r>
        <w:t xml:space="preserve">”</w:t>
      </w:r>
      <w:r>
        <w:t xml:space="preserve"> </w:t>
      </w:r>
      <w:r>
        <w:t xml:space="preserve">Biophysical Chemistry 185 (2014): 98-107.</w:t>
      </w:r>
    </w:p>
    <w:bookmarkEnd w:id="24"/>
    <w:bookmarkStart w:id="25" w:name="supporting-publications"/>
    <w:p>
      <w:pPr>
        <w:pStyle w:val="Heading2"/>
      </w:pPr>
      <w:r>
        <w:t xml:space="preserve">Supporting Publications</w:t>
      </w:r>
    </w:p>
    <w:p>
      <w:pPr>
        <w:pStyle w:val="DefinitionTerm"/>
      </w:pPr>
      <w:r>
        <w:t xml:space="preserve">2020</w:t>
      </w:r>
    </w:p>
    <w:p>
      <w:pPr>
        <w:pStyle w:val="Definition"/>
      </w:pPr>
      <w:r>
        <w:t xml:space="preserve">Ametovski, Adam, et al. </w:t>
      </w:r>
      <w:r>
        <w:t xml:space="preserve">“</w:t>
      </w:r>
      <w:r>
        <w:t xml:space="preserve">Exploring Stereochemical and Conformational Requirements at Cannabinoid Receptors for Synthetic Cannabinoids Related to SDB-006, 5F-SDB-006, CUMYL-PICA, and 5F-CUMYL-PICA.</w:t>
      </w:r>
      <w:r>
        <w:t xml:space="preserve">”</w:t>
      </w:r>
      <w:r>
        <w:t xml:space="preserve"> </w:t>
      </w:r>
      <w:r>
        <w:t xml:space="preserve">ACS Chemical Neuroscience (2020).</w:t>
      </w:r>
    </w:p>
    <w:p>
      <w:pPr>
        <w:pStyle w:val="DefinitionTerm"/>
      </w:pPr>
      <w:r>
        <w:t xml:space="preserve">2020</w:t>
      </w:r>
    </w:p>
    <w:p>
      <w:pPr>
        <w:pStyle w:val="Definition"/>
      </w:pPr>
      <w:r>
        <w:t xml:space="preserve">Benson, Melissa J., et al. </w:t>
      </w:r>
      <w:r>
        <w:t xml:space="preserve">“</w:t>
      </w:r>
      <w:r>
        <w:t xml:space="preserve">Medicinal Cannabis for Inflammatory Bowel Disease: A Survey of Perspectives, Experiences, and Current Use in Australian Patients.</w:t>
      </w:r>
      <w:r>
        <w:t xml:space="preserve">”</w:t>
      </w:r>
      <w:r>
        <w:t xml:space="preserve"> </w:t>
      </w:r>
      <w:r>
        <w:t xml:space="preserve">Crohn’s &amp; Colitis 360 2.2 (2020): otaa015.</w:t>
      </w:r>
    </w:p>
    <w:p>
      <w:pPr>
        <w:pStyle w:val="DefinitionTerm"/>
      </w:pPr>
      <w:r>
        <w:t xml:space="preserve">2019</w:t>
      </w:r>
    </w:p>
    <w:p>
      <w:pPr>
        <w:pStyle w:val="Definition"/>
      </w:pPr>
      <w:r>
        <w:t xml:space="preserve">Anderson, Lyndsey L., et al. </w:t>
      </w:r>
      <w:r>
        <w:t xml:space="preserve">“</w:t>
      </w:r>
      <w:r>
        <w:t xml:space="preserve">Coadministered cannabidiol and clobazam: Preclinical evidence for both pharmacodynamic and pharmacokinetic interactions.</w:t>
      </w:r>
      <w:r>
        <w:t xml:space="preserve">”</w:t>
      </w:r>
      <w:r>
        <w:t xml:space="preserve"> </w:t>
      </w:r>
      <w:r>
        <w:t xml:space="preserve">Epilepsia 60.11 (2019): 2224-2234.</w:t>
      </w:r>
    </w:p>
    <w:p>
      <w:pPr>
        <w:pStyle w:val="DefinitionTerm"/>
      </w:pPr>
      <w:r>
        <w:t xml:space="preserve">2019</w:t>
      </w:r>
    </w:p>
    <w:p>
      <w:pPr>
        <w:pStyle w:val="Definition"/>
      </w:pPr>
      <w:r>
        <w:t xml:space="preserve">Banister, Samuel D., et al. </w:t>
      </w:r>
      <w:r>
        <w:t xml:space="preserve">“</w:t>
      </w:r>
      <w:r>
        <w:t xml:space="preserve">The chemistry and pharmacology of putative synthetic cannabinoid receptor agonist (SCRA) new psychoactive substances (NPS) 5F‐PY‐PICA, 5F‐PY‐PINACA, and their analogs.</w:t>
      </w:r>
      <w:r>
        <w:t xml:space="preserve">”</w:t>
      </w:r>
      <w:r>
        <w:t xml:space="preserve"> </w:t>
      </w:r>
      <w:r>
        <w:t xml:space="preserve">Drug testing and analysis 11.7 (2019): 976-989.</w:t>
      </w:r>
    </w:p>
    <w:p>
      <w:pPr>
        <w:pStyle w:val="DefinitionTerm"/>
      </w:pPr>
      <w:r>
        <w:t xml:space="preserve">2018</w:t>
      </w:r>
    </w:p>
    <w:p>
      <w:pPr>
        <w:pStyle w:val="Definition"/>
      </w:pPr>
      <w:r>
        <w:t xml:space="preserve">Akhavan, Behnam, et al. </w:t>
      </w:r>
      <w:r>
        <w:t xml:space="preserve">“</w:t>
      </w:r>
      <w:r>
        <w:t xml:space="preserve">Plasma activated coatings with dual action against fungi and bacteria.</w:t>
      </w:r>
      <w:r>
        <w:t xml:space="preserve">”</w:t>
      </w:r>
      <w:r>
        <w:t xml:space="preserve"> </w:t>
      </w:r>
      <w:r>
        <w:t xml:space="preserve">Applied Materials Today 12 (2018): 72-84.</w:t>
      </w:r>
    </w:p>
    <w:bookmarkEnd w:id="25"/>
    <w:bookmarkStart w:id="26" w:name="qualifications"/>
    <w:p>
      <w:pPr>
        <w:pStyle w:val="Heading2"/>
      </w:pPr>
      <w:r>
        <w:t xml:space="preserve">Qualifications</w:t>
      </w:r>
    </w:p>
    <w:p>
      <w:pPr>
        <w:pStyle w:val="DefinitionTerm"/>
      </w:pPr>
      <w:r>
        <w:t xml:space="preserve">2018</w:t>
      </w:r>
    </w:p>
    <w:p>
      <w:pPr>
        <w:pStyle w:val="Definition"/>
      </w:pPr>
      <w:r>
        <w:t xml:space="preserve">PhD, School of Physics, Faculty of Science, University of Sydney</w:t>
      </w:r>
    </w:p>
    <w:p>
      <w:pPr>
        <w:pStyle w:val="DefinitionTerm"/>
      </w:pPr>
      <w:r>
        <w:t xml:space="preserve">2013</w:t>
      </w:r>
    </w:p>
    <w:p>
      <w:pPr>
        <w:pStyle w:val="Definition"/>
      </w:pPr>
      <w:r>
        <w:t xml:space="preserve">BSc. Hons. 1st class, Research School of Biology, Australian National University</w:t>
      </w:r>
    </w:p>
    <w:bookmarkEnd w:id="26"/>
    <w:bookmarkStart w:id="27" w:name="prizes-and-presentations"/>
    <w:p>
      <w:pPr>
        <w:pStyle w:val="Heading2"/>
      </w:pPr>
      <w:r>
        <w:t xml:space="preserve">Prizes and Presentations</w:t>
      </w:r>
    </w:p>
    <w:p>
      <w:pPr>
        <w:pStyle w:val="DefinitionTerm"/>
      </w:pPr>
      <w:r>
        <w:t xml:space="preserve">2019</w:t>
      </w:r>
    </w:p>
    <w:p>
      <w:pPr>
        <w:pStyle w:val="Definition"/>
      </w:pPr>
      <w:r>
        <w:rPr>
          <w:i/>
        </w:rPr>
        <w:t xml:space="preserve">Predictive modelling of cannabinoid-protein interactions with machine learning and molecular dynamics</w:t>
      </w:r>
    </w:p>
    <w:p>
      <w:pPr>
        <w:pStyle w:val="Definition"/>
      </w:pPr>
      <w:r>
        <w:t xml:space="preserve">Featured postdoc presentation at the annual Brain and Mind Centre symposium</w:t>
      </w:r>
    </w:p>
    <w:p>
      <w:pPr>
        <w:pStyle w:val="DefinitionTerm"/>
      </w:pPr>
      <w:r>
        <w:t xml:space="preserve">2018</w:t>
      </w:r>
    </w:p>
    <w:p>
      <w:pPr>
        <w:pStyle w:val="Definition"/>
      </w:pPr>
      <w:r>
        <w:rPr>
          <w:i/>
        </w:rPr>
        <w:t xml:space="preserve">Canon Information Systems Research Australia (CiSRA) prize</w:t>
      </w:r>
    </w:p>
    <w:p>
      <w:pPr>
        <w:pStyle w:val="Definition"/>
      </w:pPr>
      <w:r>
        <w:t xml:space="preserve">Awarded to the postgraduate student producing the best refereed publication in a leading international journal</w:t>
      </w:r>
    </w:p>
    <w:bookmarkEnd w:id="27"/>
    <w:bookmarkStart w:id="28" w:name="teaching-and-education"/>
    <w:p>
      <w:pPr>
        <w:pStyle w:val="Heading2"/>
      </w:pPr>
      <w:r>
        <w:t xml:space="preserve">Teaching and education</w:t>
      </w:r>
    </w:p>
    <w:p>
      <w:pPr>
        <w:pStyle w:val="DefinitionTerm"/>
      </w:pPr>
      <w:r>
        <w:t xml:space="preserve">2019</w:t>
      </w:r>
    </w:p>
    <w:p>
      <w:pPr>
        <w:pStyle w:val="Definition"/>
      </w:pPr>
      <w:r>
        <w:rPr>
          <w:i/>
        </w:rPr>
        <w:t xml:space="preserve">Predicting novel drug-protein interactions using recommender systems from Netflix</w:t>
      </w:r>
    </w:p>
    <w:p>
      <w:pPr>
        <w:pStyle w:val="Definition"/>
      </w:pPr>
      <w:r>
        <w:t xml:space="preserve">A one semester coding project for a Masters of Neuroscience student who was interested in</w:t>
      </w:r>
      <w:r>
        <w:t xml:space="preserve"> </w:t>
      </w:r>
      <w:r>
        <w:t xml:space="preserve">psychopharmacology. (Manuscript in preparation)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ljmartin/cannabinoid1_scra" TargetMode="External" /><Relationship Type="http://schemas.openxmlformats.org/officeDocument/2006/relationships/hyperlink" Id="rId21" Target="https://github.com/ljmartin/fp_low_ave" TargetMode="External" /><Relationship Type="http://schemas.openxmlformats.org/officeDocument/2006/relationships/hyperlink" Id="rId22" Target="https://ljmartin.github.io/technical-notes/stats/estimators-autocorrelated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github.com/ljmartin/cannabinoid1_scra" TargetMode="External" /><Relationship Type="http://schemas.openxmlformats.org/officeDocument/2006/relationships/hyperlink" Id="rId21" Target="https://github.com/ljmartin/fp_low_ave" TargetMode="External" /><Relationship Type="http://schemas.openxmlformats.org/officeDocument/2006/relationships/hyperlink" Id="rId22" Target="https://ljmartin.github.io/technical-notes/stats/estimators-autocorrelate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2020-11-03T05:05:36Z</dcterms:created>
  <dcterms:modified xsi:type="dcterms:W3CDTF">2020-11-03T05:05:36Z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