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5F7A2" w14:textId="77777777" w:rsidR="00D721B6" w:rsidRDefault="00AB3AC1" w:rsidP="00D721B6">
      <w:pPr>
        <w:spacing w:before="600" w:after="0" w:line="360" w:lineRule="auto"/>
        <w:outlineLvl w:val="0"/>
        <w:rPr>
          <w:rFonts w:asciiTheme="majorHAnsi" w:eastAsiaTheme="majorEastAsia" w:hAnsiTheme="majorHAnsi" w:cstheme="majorBidi"/>
          <w:b/>
          <w:bCs/>
          <w:iCs/>
          <w:sz w:val="32"/>
          <w:szCs w:val="32"/>
          <w:u w:val="single"/>
          <w:lang w:val="en-GB"/>
        </w:rPr>
      </w:pPr>
      <w:r w:rsidRPr="00AB3AC1">
        <w:rPr>
          <w:rFonts w:asciiTheme="majorHAnsi" w:eastAsiaTheme="majorEastAsia" w:hAnsiTheme="majorHAnsi" w:cstheme="majorBidi"/>
          <w:b/>
          <w:bCs/>
          <w:iCs/>
          <w:sz w:val="32"/>
          <w:szCs w:val="32"/>
          <w:u w:val="single"/>
          <w:lang w:val="en-GB"/>
        </w:rPr>
        <w:t>Supplementary methods</w:t>
      </w:r>
    </w:p>
    <w:p w14:paraId="36D8553C" w14:textId="7499CC67" w:rsidR="00D721B6" w:rsidRDefault="00D721B6" w:rsidP="00D721B6">
      <w:pPr>
        <w:spacing w:after="0" w:line="360" w:lineRule="auto"/>
        <w:outlineLvl w:val="0"/>
        <w:rPr>
          <w:rFonts w:asciiTheme="majorHAnsi" w:eastAsiaTheme="majorEastAsia" w:hAnsiTheme="majorHAnsi" w:cstheme="majorBidi"/>
          <w:b/>
          <w:bCs/>
          <w:i/>
          <w:iCs/>
          <w:sz w:val="32"/>
          <w:szCs w:val="32"/>
          <w:lang w:val="en-GB"/>
        </w:rPr>
      </w:pPr>
      <w:r>
        <w:rPr>
          <w:rFonts w:asciiTheme="majorHAnsi" w:eastAsiaTheme="majorEastAsia" w:hAnsiTheme="majorHAnsi" w:cstheme="majorBidi"/>
          <w:b/>
          <w:bCs/>
          <w:i/>
          <w:iCs/>
          <w:sz w:val="32"/>
          <w:szCs w:val="32"/>
          <w:lang w:val="en-GB"/>
        </w:rPr>
        <w:t>What if we would use a diagnostic m</w:t>
      </w:r>
      <w:r w:rsidRPr="00111556">
        <w:rPr>
          <w:rFonts w:asciiTheme="majorHAnsi" w:eastAsiaTheme="majorEastAsia" w:hAnsiTheme="majorHAnsi" w:cstheme="majorBidi"/>
          <w:b/>
          <w:bCs/>
          <w:i/>
          <w:iCs/>
          <w:sz w:val="32"/>
          <w:szCs w:val="32"/>
          <w:lang w:val="en-GB"/>
        </w:rPr>
        <w:t>ulti-cancer</w:t>
      </w:r>
      <w:r>
        <w:rPr>
          <w:rFonts w:asciiTheme="majorHAnsi" w:eastAsiaTheme="majorEastAsia" w:hAnsiTheme="majorHAnsi" w:cstheme="majorBidi"/>
          <w:b/>
          <w:bCs/>
          <w:i/>
          <w:iCs/>
          <w:sz w:val="32"/>
          <w:szCs w:val="32"/>
          <w:lang w:val="en-GB"/>
        </w:rPr>
        <w:t xml:space="preserve"> </w:t>
      </w:r>
      <w:r w:rsidRPr="00111556">
        <w:rPr>
          <w:rFonts w:asciiTheme="majorHAnsi" w:eastAsiaTheme="majorEastAsia" w:hAnsiTheme="majorHAnsi" w:cstheme="majorBidi"/>
          <w:b/>
          <w:bCs/>
          <w:i/>
          <w:iCs/>
          <w:sz w:val="32"/>
          <w:szCs w:val="32"/>
          <w:lang w:val="en-GB"/>
        </w:rPr>
        <w:t xml:space="preserve">gene panel </w:t>
      </w:r>
      <w:r>
        <w:rPr>
          <w:rFonts w:asciiTheme="majorHAnsi" w:eastAsiaTheme="majorEastAsia" w:hAnsiTheme="majorHAnsi" w:cstheme="majorBidi"/>
          <w:b/>
          <w:bCs/>
          <w:i/>
          <w:iCs/>
          <w:sz w:val="32"/>
          <w:szCs w:val="32"/>
          <w:lang w:val="en-GB"/>
        </w:rPr>
        <w:t>for opportunistic screening? A study in</w:t>
      </w:r>
      <w:r w:rsidRPr="00111556">
        <w:rPr>
          <w:rFonts w:asciiTheme="majorHAnsi" w:eastAsiaTheme="majorEastAsia" w:hAnsiTheme="majorHAnsi" w:cstheme="majorBidi"/>
          <w:b/>
          <w:bCs/>
          <w:i/>
          <w:iCs/>
          <w:sz w:val="32"/>
          <w:szCs w:val="32"/>
          <w:lang w:val="en-GB"/>
        </w:rPr>
        <w:t xml:space="preserve"> </w:t>
      </w:r>
      <w:r>
        <w:rPr>
          <w:rFonts w:asciiTheme="majorHAnsi" w:eastAsiaTheme="majorEastAsia" w:hAnsiTheme="majorHAnsi" w:cstheme="majorBidi"/>
          <w:b/>
          <w:bCs/>
          <w:i/>
          <w:iCs/>
          <w:sz w:val="32"/>
          <w:szCs w:val="32"/>
          <w:lang w:val="en-GB"/>
        </w:rPr>
        <w:t>2,090</w:t>
      </w:r>
      <w:r w:rsidRPr="00111556">
        <w:rPr>
          <w:rFonts w:asciiTheme="majorHAnsi" w:eastAsiaTheme="majorEastAsia" w:hAnsiTheme="majorHAnsi" w:cstheme="majorBidi"/>
          <w:b/>
          <w:bCs/>
          <w:i/>
          <w:iCs/>
          <w:sz w:val="32"/>
          <w:szCs w:val="32"/>
          <w:lang w:val="en-GB"/>
        </w:rPr>
        <w:t xml:space="preserve"> Dutch familial cancer patients</w:t>
      </w:r>
    </w:p>
    <w:p w14:paraId="570830B7" w14:textId="3B15FF71" w:rsidR="001E491B" w:rsidRPr="000423BA" w:rsidRDefault="001E491B" w:rsidP="001E491B">
      <w:pPr>
        <w:spacing w:line="480" w:lineRule="auto"/>
        <w:rPr>
          <w:lang w:val="en-GB"/>
        </w:rPr>
      </w:pPr>
      <w:r w:rsidRPr="002A435E">
        <w:rPr>
          <w:lang w:val="en-GB"/>
        </w:rPr>
        <w:t>L.F. Johansson</w:t>
      </w:r>
      <w:r w:rsidRPr="002A435E">
        <w:rPr>
          <w:vertAlign w:val="superscript"/>
          <w:lang w:val="en-GB"/>
        </w:rPr>
        <w:t>1</w:t>
      </w:r>
      <w:r w:rsidRPr="002A435E">
        <w:rPr>
          <w:lang w:val="en-GB"/>
        </w:rPr>
        <w:t>, K.K. van Dijk-Bos</w:t>
      </w:r>
      <w:r w:rsidRPr="002A435E">
        <w:rPr>
          <w:vertAlign w:val="superscript"/>
          <w:lang w:val="en-GB"/>
        </w:rPr>
        <w:t>1</w:t>
      </w:r>
      <w:r w:rsidRPr="002A435E">
        <w:rPr>
          <w:lang w:val="en-GB"/>
        </w:rPr>
        <w:t>, A.H. van der Hout</w:t>
      </w:r>
      <w:r w:rsidRPr="002A435E">
        <w:rPr>
          <w:vertAlign w:val="superscript"/>
          <w:lang w:val="en-GB"/>
        </w:rPr>
        <w:t>1</w:t>
      </w:r>
      <w:r w:rsidRPr="002A435E">
        <w:rPr>
          <w:lang w:val="en-GB"/>
        </w:rPr>
        <w:t>, A.P. Knopperts</w:t>
      </w:r>
      <w:r w:rsidRPr="002A435E">
        <w:rPr>
          <w:vertAlign w:val="superscript"/>
          <w:lang w:val="en-GB"/>
        </w:rPr>
        <w:t>1</w:t>
      </w:r>
      <w:r w:rsidRPr="002A435E">
        <w:rPr>
          <w:lang w:val="en-GB"/>
        </w:rPr>
        <w:t xml:space="preserve">, B. </w:t>
      </w:r>
      <w:r w:rsidRPr="00D42FEB">
        <w:rPr>
          <w:lang w:val="en-GB"/>
        </w:rPr>
        <w:t>Leegte</w:t>
      </w:r>
      <w:r w:rsidRPr="00D42FEB">
        <w:rPr>
          <w:vertAlign w:val="superscript"/>
          <w:lang w:val="en-GB"/>
        </w:rPr>
        <w:t>1</w:t>
      </w:r>
      <w:r w:rsidRPr="00D42FEB">
        <w:rPr>
          <w:lang w:val="en-GB"/>
        </w:rPr>
        <w:t>,</w:t>
      </w:r>
      <w:r w:rsidRPr="002A435E">
        <w:rPr>
          <w:lang w:val="en-GB"/>
        </w:rPr>
        <w:t xml:space="preserve"> P.C. van den Akker</w:t>
      </w:r>
      <w:r w:rsidRPr="002A435E">
        <w:rPr>
          <w:vertAlign w:val="superscript"/>
          <w:lang w:val="en-GB"/>
        </w:rPr>
        <w:t>1</w:t>
      </w:r>
      <w:r w:rsidRPr="002A435E">
        <w:rPr>
          <w:lang w:val="en-GB"/>
        </w:rPr>
        <w:t>, K. Kok</w:t>
      </w:r>
      <w:r w:rsidRPr="002A435E">
        <w:rPr>
          <w:vertAlign w:val="superscript"/>
          <w:lang w:val="en-GB"/>
        </w:rPr>
        <w:t>1</w:t>
      </w:r>
      <w:r w:rsidRPr="002A435E">
        <w:rPr>
          <w:lang w:val="en-GB"/>
        </w:rPr>
        <w:t>, I.M. van Langen</w:t>
      </w:r>
      <w:r w:rsidRPr="002A435E">
        <w:rPr>
          <w:vertAlign w:val="superscript"/>
          <w:lang w:val="en-GB"/>
        </w:rPr>
        <w:t xml:space="preserve">1 </w:t>
      </w:r>
      <w:r w:rsidRPr="002A435E">
        <w:rPr>
          <w:lang w:val="en-GB"/>
        </w:rPr>
        <w:t>, M.A. Swertz</w:t>
      </w:r>
      <w:r w:rsidRPr="002A435E">
        <w:rPr>
          <w:vertAlign w:val="superscript"/>
          <w:lang w:val="en-GB"/>
        </w:rPr>
        <w:t>1</w:t>
      </w:r>
      <w:r w:rsidRPr="002A435E">
        <w:rPr>
          <w:lang w:val="en-GB"/>
        </w:rPr>
        <w:t>, R. K. Weersma</w:t>
      </w:r>
      <w:r w:rsidRPr="002A435E">
        <w:rPr>
          <w:vertAlign w:val="superscript"/>
          <w:lang w:val="en-GB"/>
        </w:rPr>
        <w:t>2</w:t>
      </w:r>
      <w:r w:rsidRPr="002A435E">
        <w:rPr>
          <w:lang w:val="en-GB"/>
        </w:rPr>
        <w:t>, R.J. Sinke</w:t>
      </w:r>
      <w:r w:rsidRPr="002A435E">
        <w:rPr>
          <w:vertAlign w:val="superscript"/>
          <w:lang w:val="en-GB"/>
        </w:rPr>
        <w:t>1</w:t>
      </w:r>
      <w:r w:rsidRPr="002A435E">
        <w:rPr>
          <w:lang w:val="en-GB"/>
        </w:rPr>
        <w:t>, B. Sikkema-Raddatz</w:t>
      </w:r>
      <w:r w:rsidRPr="002A435E">
        <w:rPr>
          <w:vertAlign w:val="superscript"/>
          <w:lang w:val="en-GB"/>
        </w:rPr>
        <w:t>1</w:t>
      </w:r>
      <w:r w:rsidRPr="002A435E">
        <w:rPr>
          <w:lang w:val="en-GB"/>
        </w:rPr>
        <w:t>, H. Westers</w:t>
      </w:r>
      <w:r w:rsidRPr="002A435E">
        <w:rPr>
          <w:vertAlign w:val="superscript"/>
          <w:lang w:val="en-GB"/>
        </w:rPr>
        <w:t>1</w:t>
      </w:r>
      <w:bookmarkStart w:id="0" w:name="_GoBack"/>
      <w:bookmarkEnd w:id="0"/>
      <w:r w:rsidRPr="002A435E">
        <w:rPr>
          <w:lang w:val="en-GB"/>
        </w:rPr>
        <w:t>*, R.H. Sijmons</w:t>
      </w:r>
      <w:r w:rsidRPr="002A435E">
        <w:rPr>
          <w:vertAlign w:val="superscript"/>
          <w:lang w:val="en-GB"/>
        </w:rPr>
        <w:t>1</w:t>
      </w:r>
      <w:r w:rsidRPr="002A435E">
        <w:rPr>
          <w:lang w:val="en-GB"/>
        </w:rPr>
        <w:t>*</w:t>
      </w:r>
    </w:p>
    <w:p w14:paraId="7041CC32" w14:textId="02E3C11F" w:rsidR="001E491B" w:rsidRPr="00D721B6" w:rsidRDefault="00D721B6" w:rsidP="00D721B6">
      <w:pPr>
        <w:spacing w:after="240" w:line="480" w:lineRule="auto"/>
        <w:contextualSpacing/>
        <w:rPr>
          <w:rFonts w:eastAsiaTheme="minorEastAsia"/>
          <w:lang w:val="en-US"/>
        </w:rPr>
      </w:pPr>
      <w:r w:rsidRPr="00D721B6">
        <w:rPr>
          <w:rFonts w:eastAsiaTheme="minorEastAsia"/>
          <w:iCs/>
          <w:vertAlign w:val="superscript"/>
          <w:lang w:val="en-US" w:eastAsia="en-GB"/>
        </w:rPr>
        <w:t>1</w:t>
      </w:r>
      <w:r w:rsidRPr="00D721B6">
        <w:rPr>
          <w:rFonts w:eastAsiaTheme="minorEastAsia"/>
          <w:iCs/>
          <w:lang w:val="en-US" w:eastAsia="en-GB"/>
        </w:rPr>
        <w:t xml:space="preserve"> </w:t>
      </w:r>
      <w:r w:rsidR="001E491B" w:rsidRPr="00D721B6">
        <w:rPr>
          <w:rFonts w:eastAsiaTheme="minorEastAsia"/>
          <w:iCs/>
          <w:lang w:val="en-US" w:eastAsia="en-GB"/>
        </w:rPr>
        <w:t>University of Groningen, University Medical Center Groningen, Department of Genetics, Groningen, the Netherlands</w:t>
      </w:r>
    </w:p>
    <w:p w14:paraId="274393B3" w14:textId="76747C2E" w:rsidR="001E491B" w:rsidRPr="00D721B6" w:rsidRDefault="00D721B6" w:rsidP="00D721B6">
      <w:pPr>
        <w:spacing w:after="240" w:line="480" w:lineRule="auto"/>
        <w:contextualSpacing/>
        <w:rPr>
          <w:rFonts w:eastAsiaTheme="minorEastAsia"/>
          <w:lang w:val="en-US"/>
        </w:rPr>
      </w:pPr>
      <w:r w:rsidRPr="00D721B6">
        <w:rPr>
          <w:rFonts w:eastAsiaTheme="minorEastAsia"/>
          <w:iCs/>
          <w:vertAlign w:val="superscript"/>
          <w:lang w:val="en-US" w:eastAsia="en-GB"/>
        </w:rPr>
        <w:t xml:space="preserve">2 </w:t>
      </w:r>
      <w:r w:rsidR="001E491B" w:rsidRPr="00D721B6">
        <w:rPr>
          <w:rFonts w:eastAsiaTheme="minorEastAsia"/>
          <w:iCs/>
          <w:lang w:val="en-US" w:eastAsia="en-GB"/>
        </w:rPr>
        <w:t>University of Groningen, University Medical Center Groningen, Department of Gastroenterology, Groningen, the Netherlands</w:t>
      </w:r>
    </w:p>
    <w:p w14:paraId="66860554" w14:textId="6DCCDA36" w:rsidR="001E491B" w:rsidRPr="00D721B6" w:rsidRDefault="001E491B" w:rsidP="00D721B6">
      <w:pPr>
        <w:spacing w:after="240" w:line="480" w:lineRule="auto"/>
        <w:contextualSpacing/>
        <w:rPr>
          <w:rFonts w:eastAsiaTheme="minorEastAsia"/>
          <w:lang w:val="en-US"/>
        </w:rPr>
      </w:pPr>
      <w:r w:rsidRPr="00D721B6">
        <w:rPr>
          <w:rFonts w:eastAsiaTheme="minorEastAsia"/>
          <w:iCs/>
          <w:lang w:val="en-US" w:eastAsia="en-GB"/>
        </w:rPr>
        <w:t>* these authors contributed equally to the paper</w:t>
      </w:r>
    </w:p>
    <w:p w14:paraId="5E82D4BB" w14:textId="77777777" w:rsidR="00595BE1" w:rsidRDefault="00595BE1">
      <w:pPr>
        <w:rPr>
          <w:lang w:val="en-GB"/>
        </w:rPr>
      </w:pPr>
      <w:r>
        <w:rPr>
          <w:lang w:val="en-GB"/>
        </w:rPr>
        <w:br w:type="page"/>
      </w:r>
    </w:p>
    <w:p w14:paraId="2D71C910" w14:textId="7AC7CFFB" w:rsidR="001950A3" w:rsidRPr="00F54898" w:rsidRDefault="001950A3" w:rsidP="001950A3">
      <w:pPr>
        <w:pStyle w:val="Kop2"/>
        <w:rPr>
          <w:rFonts w:eastAsiaTheme="minorEastAsia"/>
          <w:b/>
          <w:color w:val="auto"/>
          <w:lang w:val="en-US"/>
        </w:rPr>
      </w:pPr>
      <w:r w:rsidRPr="00F54898">
        <w:rPr>
          <w:rFonts w:eastAsiaTheme="minorEastAsia"/>
          <w:b/>
          <w:color w:val="auto"/>
          <w:lang w:val="en-US"/>
        </w:rPr>
        <w:lastRenderedPageBreak/>
        <w:t>Selection of control samples</w:t>
      </w:r>
      <w:r w:rsidR="005E2A10">
        <w:rPr>
          <w:rFonts w:eastAsiaTheme="minorEastAsia"/>
          <w:b/>
          <w:color w:val="auto"/>
          <w:lang w:val="en-US"/>
        </w:rPr>
        <w:t>:</w:t>
      </w:r>
      <w:r w:rsidRPr="00F54898">
        <w:rPr>
          <w:rFonts w:eastAsiaTheme="minorEastAsia"/>
          <w:b/>
          <w:color w:val="auto"/>
          <w:lang w:val="en-US"/>
        </w:rPr>
        <w:t xml:space="preserve"> Lifelines Deep cohort</w:t>
      </w:r>
    </w:p>
    <w:p w14:paraId="013B4448" w14:textId="4B6F7DC1" w:rsidR="001950A3" w:rsidRPr="00472555" w:rsidRDefault="001950A3" w:rsidP="001950A3">
      <w:pPr>
        <w:spacing w:after="240" w:line="480" w:lineRule="auto"/>
        <w:rPr>
          <w:rFonts w:eastAsiaTheme="minorEastAsia"/>
          <w:lang w:val="en-US"/>
        </w:rPr>
      </w:pPr>
      <w:r w:rsidRPr="00472555">
        <w:rPr>
          <w:rFonts w:eastAsiaTheme="minorEastAsia"/>
          <w:lang w:val="en-US"/>
        </w:rPr>
        <w:t xml:space="preserve">The LifeLines Deep (LLD) cohort consists of individuals from the general population in the northern Netherlands [Tigchelaar, 2015]. </w:t>
      </w:r>
      <w:r w:rsidR="005E2A10">
        <w:rPr>
          <w:rFonts w:eastAsiaTheme="minorEastAsia"/>
          <w:lang w:val="en-US"/>
        </w:rPr>
        <w:t>For</w:t>
      </w:r>
      <w:r w:rsidRPr="00472555">
        <w:rPr>
          <w:rFonts w:eastAsiaTheme="minorEastAsia"/>
          <w:lang w:val="en-US"/>
        </w:rPr>
        <w:t xml:space="preserve"> 1000 </w:t>
      </w:r>
      <w:r w:rsidR="00D5678A">
        <w:rPr>
          <w:rFonts w:eastAsiaTheme="minorEastAsia"/>
          <w:lang w:val="en-US"/>
        </w:rPr>
        <w:t xml:space="preserve">LLD </w:t>
      </w:r>
      <w:r w:rsidR="005E2A10" w:rsidRPr="00472555">
        <w:rPr>
          <w:rFonts w:eastAsiaTheme="minorEastAsia"/>
          <w:lang w:val="en-US"/>
        </w:rPr>
        <w:t>p</w:t>
      </w:r>
      <w:r w:rsidR="005E2A10">
        <w:rPr>
          <w:rFonts w:eastAsiaTheme="minorEastAsia"/>
          <w:lang w:val="en-US"/>
        </w:rPr>
        <w:t>artic</w:t>
      </w:r>
      <w:r w:rsidR="00C92B46">
        <w:rPr>
          <w:rFonts w:eastAsiaTheme="minorEastAsia"/>
          <w:lang w:val="en-US"/>
        </w:rPr>
        <w:t>i</w:t>
      </w:r>
      <w:r w:rsidR="005E2A10">
        <w:rPr>
          <w:rFonts w:eastAsiaTheme="minorEastAsia"/>
          <w:lang w:val="en-US"/>
        </w:rPr>
        <w:t>pants,</w:t>
      </w:r>
      <w:r w:rsidR="005E2A10" w:rsidRPr="00472555">
        <w:rPr>
          <w:rFonts w:eastAsiaTheme="minorEastAsia"/>
          <w:lang w:val="en-US"/>
        </w:rPr>
        <w:t xml:space="preserve"> </w:t>
      </w:r>
      <w:r w:rsidRPr="00472555">
        <w:rPr>
          <w:rFonts w:eastAsiaTheme="minorEastAsia"/>
          <w:lang w:val="en-US"/>
        </w:rPr>
        <w:t xml:space="preserve">exome sequencing data was available. </w:t>
      </w:r>
      <w:r w:rsidR="005E2A10">
        <w:rPr>
          <w:rFonts w:eastAsiaTheme="minorEastAsia"/>
          <w:lang w:val="en-US"/>
        </w:rPr>
        <w:t>A subset</w:t>
      </w:r>
      <w:r w:rsidR="005E2A10" w:rsidRPr="00472555">
        <w:rPr>
          <w:rFonts w:eastAsiaTheme="minorEastAsia"/>
          <w:lang w:val="en-US"/>
        </w:rPr>
        <w:t xml:space="preserve"> </w:t>
      </w:r>
      <w:r w:rsidRPr="00472555">
        <w:rPr>
          <w:rFonts w:eastAsiaTheme="minorEastAsia"/>
          <w:lang w:val="en-US"/>
        </w:rPr>
        <w:t>of the</w:t>
      </w:r>
      <w:r w:rsidR="005E2A10">
        <w:rPr>
          <w:rFonts w:eastAsiaTheme="minorEastAsia"/>
          <w:lang w:val="en-US"/>
        </w:rPr>
        <w:t>se</w:t>
      </w:r>
      <w:r w:rsidRPr="00472555">
        <w:rPr>
          <w:rFonts w:eastAsiaTheme="minorEastAsia"/>
          <w:lang w:val="en-US"/>
        </w:rPr>
        <w:t xml:space="preserve"> participants (508</w:t>
      </w:r>
      <w:r w:rsidR="005E2A10">
        <w:rPr>
          <w:rFonts w:eastAsiaTheme="minorEastAsia"/>
          <w:lang w:val="en-US"/>
        </w:rPr>
        <w:t xml:space="preserve"> individuals</w:t>
      </w:r>
      <w:r w:rsidRPr="00472555">
        <w:rPr>
          <w:rFonts w:eastAsiaTheme="minorEastAsia"/>
          <w:lang w:val="en-US"/>
        </w:rPr>
        <w:t>)</w:t>
      </w:r>
      <w:r w:rsidR="00D5678A">
        <w:rPr>
          <w:rFonts w:eastAsiaTheme="minorEastAsia"/>
          <w:lang w:val="en-US"/>
        </w:rPr>
        <w:t xml:space="preserve"> had</w:t>
      </w:r>
      <w:r w:rsidRPr="00472555">
        <w:rPr>
          <w:rFonts w:eastAsiaTheme="minorEastAsia"/>
          <w:lang w:val="en-US"/>
        </w:rPr>
        <w:t xml:space="preserve"> filled in a questionnaire on </w:t>
      </w:r>
      <w:r w:rsidR="005E2A10">
        <w:rPr>
          <w:rFonts w:eastAsiaTheme="minorEastAsia"/>
          <w:lang w:val="en-US"/>
        </w:rPr>
        <w:t>i</w:t>
      </w:r>
      <w:r w:rsidR="005E2A10" w:rsidRPr="00472555">
        <w:rPr>
          <w:rFonts w:eastAsiaTheme="minorEastAsia"/>
          <w:lang w:val="en-US"/>
        </w:rPr>
        <w:t xml:space="preserve">rritable </w:t>
      </w:r>
      <w:r w:rsidR="005E2A10">
        <w:rPr>
          <w:rFonts w:eastAsiaTheme="minorEastAsia"/>
          <w:lang w:val="en-US"/>
        </w:rPr>
        <w:t>b</w:t>
      </w:r>
      <w:r w:rsidR="005E2A10" w:rsidRPr="00472555">
        <w:rPr>
          <w:rFonts w:eastAsiaTheme="minorEastAsia"/>
          <w:lang w:val="en-US"/>
        </w:rPr>
        <w:t xml:space="preserve">owel </w:t>
      </w:r>
      <w:r w:rsidR="005E2A10">
        <w:rPr>
          <w:rFonts w:eastAsiaTheme="minorEastAsia"/>
          <w:lang w:val="en-US"/>
        </w:rPr>
        <w:t>s</w:t>
      </w:r>
      <w:r w:rsidR="005E2A10" w:rsidRPr="00472555">
        <w:rPr>
          <w:rFonts w:eastAsiaTheme="minorEastAsia"/>
          <w:lang w:val="en-US"/>
        </w:rPr>
        <w:t xml:space="preserve">yndrome </w:t>
      </w:r>
      <w:r w:rsidRPr="00472555">
        <w:rPr>
          <w:rFonts w:eastAsiaTheme="minorEastAsia"/>
          <w:lang w:val="en-US"/>
        </w:rPr>
        <w:t>(IBS)</w:t>
      </w:r>
      <w:r w:rsidR="00C92B46">
        <w:rPr>
          <w:rFonts w:eastAsiaTheme="minorEastAsia"/>
          <w:lang w:val="en-US"/>
        </w:rPr>
        <w:t xml:space="preserve">, and </w:t>
      </w:r>
      <w:r w:rsidRPr="00472555">
        <w:rPr>
          <w:rFonts w:eastAsiaTheme="minorEastAsia"/>
          <w:lang w:val="en-US"/>
        </w:rPr>
        <w:t xml:space="preserve">172 </w:t>
      </w:r>
      <w:r w:rsidR="00D5678A">
        <w:rPr>
          <w:rFonts w:eastAsiaTheme="minorEastAsia"/>
          <w:lang w:val="en-US"/>
        </w:rPr>
        <w:t xml:space="preserve">of them </w:t>
      </w:r>
      <w:r w:rsidRPr="00472555">
        <w:rPr>
          <w:rFonts w:eastAsiaTheme="minorEastAsia"/>
          <w:lang w:val="en-US"/>
        </w:rPr>
        <w:t>were considered to have self-reported IBS according to ROME III criteria [Longstreth, 2006]</w:t>
      </w:r>
      <w:r w:rsidR="00C92B46">
        <w:rPr>
          <w:rFonts w:eastAsiaTheme="minorEastAsia"/>
          <w:lang w:val="en-US"/>
        </w:rPr>
        <w:t xml:space="preserve">. We </w:t>
      </w:r>
      <w:r w:rsidR="00C92B46" w:rsidRPr="00472555">
        <w:rPr>
          <w:rFonts w:eastAsiaTheme="minorEastAsia"/>
          <w:lang w:val="en-US"/>
        </w:rPr>
        <w:t>excluded</w:t>
      </w:r>
      <w:r w:rsidR="00C92B46">
        <w:rPr>
          <w:rFonts w:eastAsiaTheme="minorEastAsia"/>
          <w:lang w:val="en-US"/>
        </w:rPr>
        <w:t xml:space="preserve"> </w:t>
      </w:r>
      <w:r w:rsidR="005E2A10">
        <w:rPr>
          <w:rFonts w:eastAsiaTheme="minorEastAsia"/>
          <w:lang w:val="en-US"/>
        </w:rPr>
        <w:t>these 172</w:t>
      </w:r>
      <w:r w:rsidRPr="00472555">
        <w:rPr>
          <w:rFonts w:eastAsiaTheme="minorEastAsia"/>
          <w:lang w:val="en-US"/>
        </w:rPr>
        <w:t xml:space="preserve"> </w:t>
      </w:r>
      <w:r w:rsidR="00C92B46">
        <w:rPr>
          <w:rFonts w:eastAsiaTheme="minorEastAsia"/>
          <w:lang w:val="en-US"/>
        </w:rPr>
        <w:t>from our</w:t>
      </w:r>
      <w:r w:rsidR="005E2A10">
        <w:rPr>
          <w:rFonts w:eastAsiaTheme="minorEastAsia"/>
          <w:lang w:val="en-US"/>
        </w:rPr>
        <w:t xml:space="preserve"> </w:t>
      </w:r>
      <w:r w:rsidR="00C92B46">
        <w:rPr>
          <w:rFonts w:eastAsiaTheme="minorEastAsia"/>
          <w:lang w:val="en-US"/>
        </w:rPr>
        <w:t>control set</w:t>
      </w:r>
      <w:r w:rsidR="005E2A10">
        <w:rPr>
          <w:rFonts w:eastAsiaTheme="minorEastAsia"/>
          <w:lang w:val="en-US"/>
        </w:rPr>
        <w:t xml:space="preserve"> </w:t>
      </w:r>
      <w:r w:rsidRPr="00472555">
        <w:rPr>
          <w:rFonts w:eastAsiaTheme="minorEastAsia"/>
          <w:lang w:val="en-US"/>
        </w:rPr>
        <w:t xml:space="preserve">because of </w:t>
      </w:r>
      <w:r w:rsidR="00C92B46">
        <w:rPr>
          <w:rFonts w:eastAsiaTheme="minorEastAsia"/>
          <w:lang w:val="en-US"/>
        </w:rPr>
        <w:t xml:space="preserve">the </w:t>
      </w:r>
      <w:r w:rsidRPr="00472555">
        <w:rPr>
          <w:rFonts w:eastAsiaTheme="minorEastAsia"/>
          <w:lang w:val="en-US"/>
        </w:rPr>
        <w:t>similarity in symptoms between IBS and colorectal cancer [Hsiao, 2014</w:t>
      </w:r>
      <w:r w:rsidR="005E2A10" w:rsidRPr="00472555">
        <w:rPr>
          <w:rFonts w:eastAsiaTheme="minorEastAsia"/>
          <w:lang w:val="en-US"/>
        </w:rPr>
        <w:t>]</w:t>
      </w:r>
      <w:r w:rsidR="005E2A10">
        <w:rPr>
          <w:rFonts w:eastAsiaTheme="minorEastAsia"/>
          <w:lang w:val="en-US"/>
        </w:rPr>
        <w:t>. This</w:t>
      </w:r>
      <w:r w:rsidR="005E2A10" w:rsidRPr="00472555">
        <w:rPr>
          <w:rFonts w:eastAsiaTheme="minorEastAsia"/>
          <w:lang w:val="en-US"/>
        </w:rPr>
        <w:t xml:space="preserve"> le</w:t>
      </w:r>
      <w:r w:rsidR="005E2A10">
        <w:rPr>
          <w:rFonts w:eastAsiaTheme="minorEastAsia"/>
          <w:lang w:val="en-US"/>
        </w:rPr>
        <w:t>ft</w:t>
      </w:r>
      <w:r w:rsidR="005E2A10" w:rsidRPr="00472555">
        <w:rPr>
          <w:rFonts w:eastAsiaTheme="minorEastAsia"/>
          <w:lang w:val="en-US"/>
        </w:rPr>
        <w:t xml:space="preserve"> </w:t>
      </w:r>
      <w:r w:rsidRPr="00472555">
        <w:rPr>
          <w:rFonts w:eastAsiaTheme="minorEastAsia"/>
          <w:lang w:val="en-US"/>
        </w:rPr>
        <w:t xml:space="preserve">828 </w:t>
      </w:r>
      <w:r w:rsidR="005E2A10">
        <w:rPr>
          <w:rFonts w:eastAsiaTheme="minorEastAsia"/>
          <w:lang w:val="en-US"/>
        </w:rPr>
        <w:t xml:space="preserve">LLD </w:t>
      </w:r>
      <w:r w:rsidRPr="00472555">
        <w:rPr>
          <w:rFonts w:eastAsiaTheme="minorEastAsia"/>
          <w:lang w:val="en-US"/>
        </w:rPr>
        <w:t xml:space="preserve">samples </w:t>
      </w:r>
      <w:r w:rsidR="005E2A10" w:rsidRPr="00472555">
        <w:rPr>
          <w:rFonts w:eastAsiaTheme="minorEastAsia"/>
          <w:lang w:val="en-US"/>
        </w:rPr>
        <w:t>t</w:t>
      </w:r>
      <w:r w:rsidR="005E2A10">
        <w:rPr>
          <w:rFonts w:eastAsiaTheme="minorEastAsia"/>
          <w:lang w:val="en-US"/>
        </w:rPr>
        <w:t>hat could</w:t>
      </w:r>
      <w:r w:rsidR="005E2A10" w:rsidRPr="00472555">
        <w:rPr>
          <w:rFonts w:eastAsiaTheme="minorEastAsia"/>
          <w:lang w:val="en-US"/>
        </w:rPr>
        <w:t xml:space="preserve"> </w:t>
      </w:r>
      <w:r w:rsidRPr="00472555">
        <w:rPr>
          <w:rFonts w:eastAsiaTheme="minorEastAsia"/>
          <w:lang w:val="en-US"/>
        </w:rPr>
        <w:t xml:space="preserve">be used as controls. </w:t>
      </w:r>
      <w:r w:rsidR="00C92B46">
        <w:rPr>
          <w:rFonts w:eastAsiaTheme="minorEastAsia"/>
          <w:lang w:val="en-US"/>
        </w:rPr>
        <w:t>However, p</w:t>
      </w:r>
      <w:r w:rsidR="00C92B46" w:rsidRPr="00472555">
        <w:rPr>
          <w:rFonts w:eastAsiaTheme="minorEastAsia"/>
          <w:lang w:val="en-US"/>
        </w:rPr>
        <w:t xml:space="preserve">ossible </w:t>
      </w:r>
      <w:r w:rsidRPr="00472555">
        <w:rPr>
          <w:rFonts w:eastAsiaTheme="minorEastAsia"/>
          <w:lang w:val="en-US"/>
        </w:rPr>
        <w:t xml:space="preserve">cancer phenotypes of </w:t>
      </w:r>
      <w:r w:rsidR="00D5678A">
        <w:rPr>
          <w:rFonts w:eastAsiaTheme="minorEastAsia"/>
          <w:lang w:val="en-US"/>
        </w:rPr>
        <w:t xml:space="preserve">Genome of the Netherlands (GoNL) </w:t>
      </w:r>
      <w:r w:rsidRPr="00472555">
        <w:rPr>
          <w:rFonts w:eastAsiaTheme="minorEastAsia"/>
          <w:lang w:val="en-US"/>
        </w:rPr>
        <w:t>or LLD participants were unknown to the researchers and can</w:t>
      </w:r>
      <w:r w:rsidR="005E2A10" w:rsidRPr="00472555">
        <w:rPr>
          <w:rFonts w:eastAsiaTheme="minorEastAsia"/>
          <w:lang w:val="en-US"/>
        </w:rPr>
        <w:t xml:space="preserve">not </w:t>
      </w:r>
      <w:r w:rsidRPr="00472555">
        <w:rPr>
          <w:rFonts w:eastAsiaTheme="minorEastAsia"/>
          <w:lang w:val="en-US"/>
        </w:rPr>
        <w:t>therefore be excluded.</w:t>
      </w:r>
    </w:p>
    <w:p w14:paraId="7D98F269" w14:textId="25386E0B" w:rsidR="00E11AA3" w:rsidRPr="00F54898" w:rsidRDefault="008642AC" w:rsidP="0075489E">
      <w:pPr>
        <w:pStyle w:val="Kop2"/>
        <w:rPr>
          <w:b/>
          <w:color w:val="auto"/>
          <w:lang w:val="en-US"/>
        </w:rPr>
      </w:pPr>
      <w:r w:rsidRPr="00F54898">
        <w:rPr>
          <w:b/>
          <w:color w:val="auto"/>
          <w:lang w:val="en-US"/>
        </w:rPr>
        <w:t>A</w:t>
      </w:r>
      <w:r w:rsidR="00E11AA3" w:rsidRPr="00F54898">
        <w:rPr>
          <w:b/>
          <w:color w:val="auto"/>
          <w:lang w:val="en-US"/>
        </w:rPr>
        <w:t>lignment procedure</w:t>
      </w:r>
      <w:r w:rsidR="00FB282B" w:rsidRPr="00F54898">
        <w:rPr>
          <w:b/>
          <w:color w:val="auto"/>
          <w:lang w:val="en-US"/>
        </w:rPr>
        <w:t xml:space="preserve"> and variant calling</w:t>
      </w:r>
    </w:p>
    <w:p w14:paraId="6F989CE7" w14:textId="07795B98" w:rsidR="00E11AA3" w:rsidRDefault="00E11AA3" w:rsidP="008642AC">
      <w:pPr>
        <w:spacing w:after="240" w:line="480" w:lineRule="auto"/>
        <w:jc w:val="both"/>
        <w:rPr>
          <w:rFonts w:eastAsiaTheme="minorEastAsia"/>
          <w:lang w:val="en-US"/>
        </w:rPr>
      </w:pPr>
      <w:r w:rsidRPr="00472555">
        <w:rPr>
          <w:rFonts w:eastAsiaTheme="minorEastAsia"/>
          <w:lang w:val="en-US"/>
        </w:rPr>
        <w:t xml:space="preserve">Using the Burrows-Wheeler Aligner (BWA) v0.7.12 [Li and Durbin, 2010], sequence data were first aligned to the human reference genome build b37 as released by the 1000 Genomes Project </w:t>
      </w:r>
      <w:r w:rsidR="00C92B46">
        <w:rPr>
          <w:rFonts w:eastAsiaTheme="minorEastAsia"/>
          <w:lang w:val="en-US"/>
        </w:rPr>
        <w:t>[</w:t>
      </w:r>
      <w:r w:rsidRPr="00472555">
        <w:rPr>
          <w:rFonts w:eastAsiaTheme="minorEastAsia"/>
          <w:lang w:val="en-US"/>
        </w:rPr>
        <w:t>1000 Genomes Consortium, 2010</w:t>
      </w:r>
      <w:r w:rsidR="00C92B46">
        <w:rPr>
          <w:rFonts w:eastAsiaTheme="minorEastAsia"/>
          <w:lang w:val="en-US"/>
        </w:rPr>
        <w:t>]</w:t>
      </w:r>
      <w:r w:rsidR="00C92B46" w:rsidRPr="00472555">
        <w:rPr>
          <w:rFonts w:eastAsiaTheme="minorEastAsia"/>
          <w:lang w:val="en-US"/>
        </w:rPr>
        <w:t xml:space="preserve">. </w:t>
      </w:r>
      <w:r w:rsidRPr="00472555">
        <w:rPr>
          <w:rFonts w:eastAsiaTheme="minorEastAsia"/>
          <w:lang w:val="en-US"/>
        </w:rPr>
        <w:t xml:space="preserve">Duplicates were marked using </w:t>
      </w:r>
      <w:r w:rsidR="00D5678A">
        <w:rPr>
          <w:rFonts w:eastAsiaTheme="minorEastAsia"/>
          <w:lang w:val="en-US"/>
        </w:rPr>
        <w:t>S</w:t>
      </w:r>
      <w:r w:rsidR="00D5678A" w:rsidRPr="00472555">
        <w:rPr>
          <w:rFonts w:eastAsiaTheme="minorEastAsia"/>
          <w:lang w:val="en-US"/>
        </w:rPr>
        <w:t xml:space="preserve">ambamba </w:t>
      </w:r>
      <w:r w:rsidRPr="00472555">
        <w:rPr>
          <w:rFonts w:eastAsiaTheme="minorEastAsia"/>
          <w:lang w:val="en-US"/>
        </w:rPr>
        <w:t xml:space="preserve">v0.6.3 [Tarasov et al., 2015]. These steps were part of a production pipeline created in MOLGENIS compute </w:t>
      </w:r>
      <w:r w:rsidR="00C92B46">
        <w:rPr>
          <w:rFonts w:eastAsiaTheme="minorEastAsia"/>
          <w:lang w:val="en-US"/>
        </w:rPr>
        <w:t>[</w:t>
      </w:r>
      <w:r w:rsidRPr="00472555">
        <w:rPr>
          <w:rFonts w:eastAsiaTheme="minorEastAsia"/>
          <w:lang w:val="en-US"/>
        </w:rPr>
        <w:t>Byelas et al., 2013</w:t>
      </w:r>
      <w:r w:rsidR="00C92B46">
        <w:rPr>
          <w:rFonts w:eastAsiaTheme="minorEastAsia"/>
          <w:lang w:val="en-US"/>
        </w:rPr>
        <w:t>]</w:t>
      </w:r>
      <w:r w:rsidR="00C92B46" w:rsidRPr="00472555">
        <w:rPr>
          <w:rFonts w:eastAsiaTheme="minorEastAsia"/>
          <w:lang w:val="en-US"/>
        </w:rPr>
        <w:t xml:space="preserve">. </w:t>
      </w:r>
      <w:r w:rsidRPr="00472555">
        <w:rPr>
          <w:rFonts w:eastAsiaTheme="minorEastAsia"/>
          <w:lang w:val="en-US"/>
        </w:rPr>
        <w:t>A Browser Extendible Data (BED) file was used to specify regions of interest by listing</w:t>
      </w:r>
      <w:r w:rsidR="005E2A10">
        <w:rPr>
          <w:rFonts w:eastAsiaTheme="minorEastAsia"/>
          <w:lang w:val="en-US"/>
        </w:rPr>
        <w:t xml:space="preserve"> the</w:t>
      </w:r>
      <w:r w:rsidRPr="00472555">
        <w:rPr>
          <w:rFonts w:eastAsiaTheme="minorEastAsia"/>
          <w:lang w:val="en-US"/>
        </w:rPr>
        <w:t xml:space="preserve"> chromosome, start position, end position and gene </w:t>
      </w:r>
      <w:r w:rsidR="005E2A10" w:rsidRPr="00472555">
        <w:rPr>
          <w:rFonts w:eastAsiaTheme="minorEastAsia"/>
          <w:lang w:val="en-US"/>
        </w:rPr>
        <w:t xml:space="preserve">for all targets </w:t>
      </w:r>
      <w:r w:rsidRPr="00472555">
        <w:rPr>
          <w:rFonts w:eastAsiaTheme="minorEastAsia"/>
          <w:lang w:val="en-US"/>
        </w:rPr>
        <w:t xml:space="preserve">in a tab-delimited file. The Binary Alignment Map (BAM) files </w:t>
      </w:r>
      <w:r w:rsidR="005E2A10" w:rsidRPr="00472555">
        <w:rPr>
          <w:rFonts w:eastAsiaTheme="minorEastAsia"/>
          <w:lang w:val="en-US"/>
        </w:rPr>
        <w:t xml:space="preserve">created </w:t>
      </w:r>
      <w:r w:rsidR="00D52F95">
        <w:rPr>
          <w:rFonts w:eastAsiaTheme="minorEastAsia"/>
          <w:lang w:val="en-US"/>
        </w:rPr>
        <w:t>[</w:t>
      </w:r>
      <w:r w:rsidRPr="00472555">
        <w:rPr>
          <w:rFonts w:eastAsiaTheme="minorEastAsia"/>
          <w:lang w:val="en-US"/>
        </w:rPr>
        <w:t>Li et al., 2009</w:t>
      </w:r>
      <w:r w:rsidR="00D52F95">
        <w:rPr>
          <w:rFonts w:eastAsiaTheme="minorEastAsia"/>
          <w:lang w:val="en-US"/>
        </w:rPr>
        <w:t>]</w:t>
      </w:r>
      <w:r w:rsidR="00D52F95" w:rsidRPr="00472555">
        <w:rPr>
          <w:rFonts w:eastAsiaTheme="minorEastAsia"/>
          <w:lang w:val="en-US"/>
        </w:rPr>
        <w:t xml:space="preserve">, </w:t>
      </w:r>
      <w:r w:rsidRPr="00472555">
        <w:rPr>
          <w:rFonts w:eastAsiaTheme="minorEastAsia"/>
          <w:lang w:val="en-US"/>
        </w:rPr>
        <w:t xml:space="preserve">together with the relevant BED file, were used as input for two CNV calling algorithms: CoNVaDING [Johansson et al., 2016] and XHMM [Fromer et al., 2012]. SNVs and </w:t>
      </w:r>
      <w:r w:rsidR="0054090A">
        <w:rPr>
          <w:rFonts w:eastAsiaTheme="minorEastAsia"/>
          <w:lang w:val="en-US"/>
        </w:rPr>
        <w:t>i</w:t>
      </w:r>
      <w:r w:rsidRPr="00472555">
        <w:rPr>
          <w:rFonts w:eastAsiaTheme="minorEastAsia"/>
          <w:lang w:val="en-US"/>
        </w:rPr>
        <w:t xml:space="preserve">ndels were called using </w:t>
      </w:r>
      <w:r w:rsidR="00C92B46">
        <w:rPr>
          <w:rFonts w:eastAsiaTheme="minorEastAsia"/>
          <w:lang w:val="en-US"/>
        </w:rPr>
        <w:t xml:space="preserve">the </w:t>
      </w:r>
      <w:r w:rsidRPr="00472555">
        <w:rPr>
          <w:rFonts w:eastAsiaTheme="minorEastAsia"/>
          <w:lang w:val="en-US"/>
        </w:rPr>
        <w:t>GATK Haplotype Caller v3.5. Variants in the GoNL and LLD datasets for targeted regions were retrieved as described above.</w:t>
      </w:r>
    </w:p>
    <w:p w14:paraId="76814FD8" w14:textId="3BE09BE6" w:rsidR="00E7624E" w:rsidRDefault="00C438D1" w:rsidP="00435101">
      <w:pPr>
        <w:spacing w:after="240" w:line="480" w:lineRule="auto"/>
        <w:jc w:val="both"/>
        <w:rPr>
          <w:rFonts w:eastAsiaTheme="minorEastAsia"/>
          <w:lang w:val="en-US"/>
        </w:rPr>
      </w:pPr>
      <w:r>
        <w:rPr>
          <w:rFonts w:eastAsiaTheme="minorEastAsia"/>
          <w:lang w:val="en-US"/>
        </w:rPr>
        <w:t>T</w:t>
      </w:r>
      <w:r w:rsidR="00E7624E">
        <w:rPr>
          <w:rFonts w:eastAsiaTheme="minorEastAsia"/>
          <w:lang w:val="en-US"/>
        </w:rPr>
        <w:t xml:space="preserve">he GoNL </w:t>
      </w:r>
      <w:r>
        <w:rPr>
          <w:rFonts w:eastAsiaTheme="minorEastAsia"/>
          <w:lang w:val="en-US"/>
        </w:rPr>
        <w:t>p</w:t>
      </w:r>
      <w:r w:rsidR="00E7624E">
        <w:rPr>
          <w:rFonts w:eastAsiaTheme="minorEastAsia"/>
          <w:lang w:val="en-US"/>
        </w:rPr>
        <w:t xml:space="preserve">roject </w:t>
      </w:r>
      <w:r>
        <w:rPr>
          <w:rFonts w:eastAsiaTheme="minorEastAsia"/>
          <w:lang w:val="en-US"/>
        </w:rPr>
        <w:t>consists of</w:t>
      </w:r>
      <w:r w:rsidR="00E7624E">
        <w:rPr>
          <w:rFonts w:eastAsiaTheme="minorEastAsia"/>
          <w:lang w:val="en-US"/>
        </w:rPr>
        <w:t xml:space="preserve"> 769 </w:t>
      </w:r>
      <w:r w:rsidR="005E2A10">
        <w:rPr>
          <w:rFonts w:eastAsiaTheme="minorEastAsia"/>
          <w:lang w:val="en-US"/>
        </w:rPr>
        <w:t xml:space="preserve">individuals </w:t>
      </w:r>
      <w:r w:rsidR="00E7624E">
        <w:rPr>
          <w:rFonts w:eastAsiaTheme="minorEastAsia"/>
          <w:lang w:val="en-US"/>
        </w:rPr>
        <w:t>from 250 families of Dutch ancestry analyzed using WGS, with a 12x coverage</w:t>
      </w:r>
      <w:r w:rsidR="00E7624E" w:rsidRPr="00472555" w:rsidDel="001F6445">
        <w:rPr>
          <w:rFonts w:eastAsiaTheme="minorEastAsia"/>
          <w:lang w:val="en-US"/>
        </w:rPr>
        <w:t xml:space="preserve"> </w:t>
      </w:r>
      <w:r w:rsidR="005E2A10">
        <w:rPr>
          <w:rFonts w:eastAsiaTheme="minorEastAsia"/>
          <w:lang w:val="en-US"/>
        </w:rPr>
        <w:t xml:space="preserve">on average </w:t>
      </w:r>
      <w:r w:rsidR="00E7624E" w:rsidRPr="00472555">
        <w:rPr>
          <w:rFonts w:eastAsiaTheme="minorEastAsia"/>
          <w:lang w:val="en-US"/>
        </w:rPr>
        <w:t>[The genome of the Netherlands consortium, 2014; Kloosterman et al., 2015; Francioli et al., 2015]. High confidence calls were made publicly available (</w:t>
      </w:r>
      <w:hyperlink r:id="rId8" w:history="1">
        <w:r w:rsidR="00E7624E" w:rsidRPr="00472555">
          <w:rPr>
            <w:rStyle w:val="Hyperlink"/>
            <w:rFonts w:eastAsiaTheme="minorEastAsia"/>
            <w:lang w:val="en-US"/>
          </w:rPr>
          <w:t>http://www.nlgenome.nl/</w:t>
        </w:r>
      </w:hyperlink>
      <w:r w:rsidR="00E7624E" w:rsidRPr="00472555">
        <w:rPr>
          <w:rFonts w:eastAsiaTheme="minorEastAsia"/>
          <w:lang w:val="en-US"/>
        </w:rPr>
        <w:t>). Variant calls for SNPs and</w:t>
      </w:r>
      <w:r w:rsidR="00E7624E">
        <w:rPr>
          <w:rFonts w:eastAsiaTheme="minorEastAsia"/>
          <w:lang w:val="en-US"/>
        </w:rPr>
        <w:t xml:space="preserve"> </w:t>
      </w:r>
      <w:r w:rsidR="00472555">
        <w:rPr>
          <w:rFonts w:eastAsiaTheme="minorEastAsia"/>
          <w:lang w:val="en-US"/>
        </w:rPr>
        <w:t>i</w:t>
      </w:r>
      <w:r w:rsidR="00E7624E">
        <w:rPr>
          <w:rFonts w:eastAsiaTheme="minorEastAsia"/>
          <w:lang w:val="en-US"/>
        </w:rPr>
        <w:t xml:space="preserve">ndels (release 5) and </w:t>
      </w:r>
      <w:r w:rsidR="00286125">
        <w:rPr>
          <w:rFonts w:eastAsiaTheme="minorEastAsia"/>
          <w:lang w:val="en-US"/>
        </w:rPr>
        <w:t>structural variants (</w:t>
      </w:r>
      <w:r w:rsidR="00E7624E">
        <w:rPr>
          <w:rFonts w:eastAsiaTheme="minorEastAsia"/>
          <w:lang w:val="en-US"/>
        </w:rPr>
        <w:t>SVs</w:t>
      </w:r>
      <w:r w:rsidR="00286125">
        <w:rPr>
          <w:rFonts w:eastAsiaTheme="minorEastAsia"/>
          <w:lang w:val="en-US"/>
        </w:rPr>
        <w:t>)</w:t>
      </w:r>
      <w:r w:rsidR="00E7624E">
        <w:rPr>
          <w:rFonts w:eastAsiaTheme="minorEastAsia"/>
          <w:lang w:val="en-US"/>
        </w:rPr>
        <w:t xml:space="preserve"> (release 6) were included </w:t>
      </w:r>
      <w:r w:rsidR="00C92B46">
        <w:rPr>
          <w:rFonts w:eastAsiaTheme="minorEastAsia"/>
          <w:lang w:val="en-US"/>
        </w:rPr>
        <w:t xml:space="preserve">in our </w:t>
      </w:r>
      <w:r w:rsidR="00E7624E">
        <w:rPr>
          <w:rFonts w:eastAsiaTheme="minorEastAsia"/>
          <w:lang w:val="en-US"/>
        </w:rPr>
        <w:t xml:space="preserve">analysis when </w:t>
      </w:r>
      <w:r w:rsidR="00C92B46">
        <w:rPr>
          <w:rFonts w:eastAsiaTheme="minorEastAsia"/>
          <w:lang w:val="en-US"/>
        </w:rPr>
        <w:t xml:space="preserve">they overlapped </w:t>
      </w:r>
      <w:r w:rsidR="00E7624E">
        <w:rPr>
          <w:rFonts w:eastAsiaTheme="minorEastAsia"/>
          <w:lang w:val="en-US"/>
        </w:rPr>
        <w:t xml:space="preserve">with one of the genes included in our </w:t>
      </w:r>
      <w:r w:rsidR="00E7624E">
        <w:rPr>
          <w:rFonts w:eastAsiaTheme="minorEastAsia"/>
          <w:lang w:val="en-US"/>
        </w:rPr>
        <w:lastRenderedPageBreak/>
        <w:t xml:space="preserve">gene panels. For SNP and </w:t>
      </w:r>
      <w:r w:rsidR="003E7090">
        <w:rPr>
          <w:rFonts w:eastAsiaTheme="minorEastAsia"/>
          <w:lang w:val="en-US"/>
        </w:rPr>
        <w:t>i</w:t>
      </w:r>
      <w:r w:rsidR="00E7624E">
        <w:rPr>
          <w:rFonts w:eastAsiaTheme="minorEastAsia"/>
          <w:lang w:val="en-US"/>
        </w:rPr>
        <w:t>ndel analyses only</w:t>
      </w:r>
      <w:r w:rsidR="005E2A10">
        <w:rPr>
          <w:rFonts w:eastAsiaTheme="minorEastAsia"/>
          <w:lang w:val="en-US"/>
        </w:rPr>
        <w:t>,</w:t>
      </w:r>
      <w:r w:rsidR="00E7624E">
        <w:rPr>
          <w:rFonts w:eastAsiaTheme="minorEastAsia"/>
          <w:lang w:val="en-US"/>
        </w:rPr>
        <w:t xml:space="preserve"> calls from 498 unrelated parents are </w:t>
      </w:r>
      <w:r w:rsidR="00827F72">
        <w:rPr>
          <w:rFonts w:eastAsiaTheme="minorEastAsia"/>
          <w:lang w:val="en-US"/>
        </w:rPr>
        <w:t>used</w:t>
      </w:r>
      <w:r w:rsidR="00E7624E">
        <w:rPr>
          <w:rFonts w:eastAsiaTheme="minorEastAsia"/>
          <w:lang w:val="en-US"/>
        </w:rPr>
        <w:t>, while the SV list is an aggregate of calls made in all participants.</w:t>
      </w:r>
    </w:p>
    <w:p w14:paraId="57EE4946" w14:textId="37C116D3" w:rsidR="00E7624E" w:rsidRDefault="00E7624E" w:rsidP="00435101">
      <w:pPr>
        <w:spacing w:after="240" w:line="480" w:lineRule="auto"/>
        <w:rPr>
          <w:rFonts w:eastAsiaTheme="minorEastAsia"/>
          <w:lang w:val="en-US"/>
        </w:rPr>
      </w:pPr>
      <w:r w:rsidRPr="00472555">
        <w:rPr>
          <w:rFonts w:eastAsiaTheme="minorEastAsia"/>
          <w:lang w:val="en-US"/>
        </w:rPr>
        <w:t xml:space="preserve">For the </w:t>
      </w:r>
      <w:r w:rsidR="005E2A10">
        <w:rPr>
          <w:rFonts w:eastAsiaTheme="minorEastAsia"/>
          <w:lang w:val="en-US"/>
        </w:rPr>
        <w:t>LLD</w:t>
      </w:r>
      <w:r w:rsidRPr="00472555">
        <w:rPr>
          <w:rFonts w:eastAsiaTheme="minorEastAsia"/>
          <w:lang w:val="en-US"/>
        </w:rPr>
        <w:t xml:space="preserve"> samples</w:t>
      </w:r>
      <w:r w:rsidR="005E2A10">
        <w:rPr>
          <w:rFonts w:eastAsiaTheme="minorEastAsia"/>
          <w:lang w:val="en-US"/>
        </w:rPr>
        <w:t>,</w:t>
      </w:r>
      <w:r w:rsidRPr="00472555">
        <w:rPr>
          <w:rFonts w:eastAsiaTheme="minorEastAsia"/>
          <w:lang w:val="en-US"/>
        </w:rPr>
        <w:t xml:space="preserve"> read alignment and variant calling was performed as described in Rivas et al., 2018 [Rivas et al.</w:t>
      </w:r>
      <w:r w:rsidR="00472555" w:rsidRPr="00472555">
        <w:rPr>
          <w:rFonts w:eastAsiaTheme="minorEastAsia"/>
          <w:lang w:val="en-US"/>
        </w:rPr>
        <w:t>,</w:t>
      </w:r>
      <w:r w:rsidRPr="00472555">
        <w:rPr>
          <w:rFonts w:eastAsiaTheme="minorEastAsia"/>
          <w:lang w:val="en-US"/>
        </w:rPr>
        <w:t xml:space="preserve"> 2018]. The average coverage of the samples was 89x (sd 4x)</w:t>
      </w:r>
      <w:r w:rsidR="00C92B46">
        <w:rPr>
          <w:rFonts w:eastAsiaTheme="minorEastAsia"/>
          <w:lang w:val="en-US"/>
        </w:rPr>
        <w:t>,</w:t>
      </w:r>
      <w:r w:rsidRPr="00472555">
        <w:rPr>
          <w:rFonts w:eastAsiaTheme="minorEastAsia"/>
          <w:lang w:val="en-US"/>
        </w:rPr>
        <w:t xml:space="preserve"> and 89% of the exons</w:t>
      </w:r>
      <w:r w:rsidR="005E2A10">
        <w:rPr>
          <w:rFonts w:eastAsiaTheme="minorEastAsia"/>
          <w:lang w:val="en-US"/>
        </w:rPr>
        <w:t>,</w:t>
      </w:r>
      <w:r w:rsidRPr="00472555">
        <w:rPr>
          <w:rFonts w:eastAsiaTheme="minorEastAsia"/>
          <w:lang w:val="en-US"/>
        </w:rPr>
        <w:t xml:space="preserve"> </w:t>
      </w:r>
      <w:r w:rsidR="005E2A10" w:rsidRPr="00472555">
        <w:rPr>
          <w:rFonts w:eastAsiaTheme="minorEastAsia"/>
          <w:lang w:val="en-US"/>
        </w:rPr>
        <w:t>on average</w:t>
      </w:r>
      <w:r w:rsidR="005E2A10">
        <w:rPr>
          <w:rFonts w:eastAsiaTheme="minorEastAsia"/>
          <w:lang w:val="en-US"/>
        </w:rPr>
        <w:t>,</w:t>
      </w:r>
      <w:r w:rsidR="005E2A10" w:rsidRPr="00472555">
        <w:rPr>
          <w:rFonts w:eastAsiaTheme="minorEastAsia"/>
          <w:lang w:val="en-US"/>
        </w:rPr>
        <w:t xml:space="preserve"> </w:t>
      </w:r>
      <w:r w:rsidRPr="00472555">
        <w:rPr>
          <w:rFonts w:eastAsiaTheme="minorEastAsia"/>
          <w:lang w:val="en-US"/>
        </w:rPr>
        <w:t>were covered by at least 20 reads.</w:t>
      </w:r>
    </w:p>
    <w:p w14:paraId="4CC84660" w14:textId="36A4938E" w:rsidR="00E11AA3" w:rsidRPr="00F54898" w:rsidRDefault="00E11AA3" w:rsidP="0075489E">
      <w:pPr>
        <w:pStyle w:val="Kop2"/>
        <w:rPr>
          <w:b/>
          <w:color w:val="auto"/>
          <w:lang w:val="en-US"/>
        </w:rPr>
      </w:pPr>
      <w:r w:rsidRPr="00F54898">
        <w:rPr>
          <w:b/>
          <w:color w:val="auto"/>
          <w:lang w:val="en-US"/>
        </w:rPr>
        <w:t xml:space="preserve">CNV </w:t>
      </w:r>
      <w:r w:rsidR="00E17B71" w:rsidRPr="00F54898">
        <w:rPr>
          <w:b/>
          <w:color w:val="auto"/>
          <w:lang w:val="en-US"/>
        </w:rPr>
        <w:t>calling</w:t>
      </w:r>
    </w:p>
    <w:p w14:paraId="009CFB8C" w14:textId="07870D0A" w:rsidR="00DC13CB" w:rsidRPr="0075633C" w:rsidRDefault="00E11AA3" w:rsidP="00C67711">
      <w:pPr>
        <w:spacing w:after="120" w:line="480" w:lineRule="auto"/>
        <w:jc w:val="both"/>
        <w:rPr>
          <w:rFonts w:eastAsiaTheme="minorEastAsia"/>
          <w:lang w:val="en-US"/>
        </w:rPr>
      </w:pPr>
      <w:r w:rsidRPr="0075633C">
        <w:rPr>
          <w:rFonts w:eastAsiaTheme="minorEastAsia"/>
          <w:lang w:val="en-US"/>
        </w:rPr>
        <w:t>For both gene panels</w:t>
      </w:r>
      <w:r w:rsidR="00C92B46">
        <w:rPr>
          <w:rFonts w:eastAsiaTheme="minorEastAsia"/>
          <w:lang w:val="en-US"/>
        </w:rPr>
        <w:t>,</w:t>
      </w:r>
      <w:r w:rsidRPr="0075633C">
        <w:rPr>
          <w:rFonts w:eastAsiaTheme="minorEastAsia"/>
          <w:lang w:val="en-US"/>
        </w:rPr>
        <w:t xml:space="preserve"> a folder was created in which the BAM files of all samples were placed for the respective capture design. For both folders</w:t>
      </w:r>
      <w:r w:rsidR="00C92B46">
        <w:rPr>
          <w:rFonts w:eastAsiaTheme="minorEastAsia"/>
          <w:lang w:val="en-US"/>
        </w:rPr>
        <w:t>,</w:t>
      </w:r>
      <w:r w:rsidRPr="0075633C">
        <w:rPr>
          <w:rFonts w:eastAsiaTheme="minorEastAsia"/>
          <w:lang w:val="en-US"/>
        </w:rPr>
        <w:t xml:space="preserve"> CoNVaDING analysis was performed. If a parameter is not named</w:t>
      </w:r>
      <w:r w:rsidR="00D42F22">
        <w:rPr>
          <w:rFonts w:eastAsiaTheme="minorEastAsia"/>
          <w:lang w:val="en-US"/>
        </w:rPr>
        <w:t xml:space="preserve"> in the text below</w:t>
      </w:r>
      <w:r w:rsidRPr="0075633C">
        <w:rPr>
          <w:rFonts w:eastAsiaTheme="minorEastAsia"/>
          <w:lang w:val="en-US"/>
        </w:rPr>
        <w:t xml:space="preserve">, default settings were used. </w:t>
      </w:r>
      <w:r w:rsidR="00D5678A">
        <w:rPr>
          <w:rFonts w:eastAsiaTheme="minorEastAsia"/>
          <w:lang w:val="en-US"/>
        </w:rPr>
        <w:t>To start</w:t>
      </w:r>
      <w:r w:rsidR="00D5678A" w:rsidRPr="0075633C">
        <w:rPr>
          <w:rFonts w:eastAsiaTheme="minorEastAsia"/>
          <w:lang w:val="en-US"/>
        </w:rPr>
        <w:t xml:space="preserve"> </w:t>
      </w:r>
      <w:r w:rsidR="00D5678A">
        <w:rPr>
          <w:rFonts w:eastAsiaTheme="minorEastAsia"/>
          <w:lang w:val="en-US"/>
        </w:rPr>
        <w:t>we used</w:t>
      </w:r>
      <w:r w:rsidR="00D5678A" w:rsidRPr="0075633C">
        <w:rPr>
          <w:rFonts w:eastAsiaTheme="minorEastAsia"/>
          <w:lang w:val="en-US"/>
        </w:rPr>
        <w:t xml:space="preserve"> </w:t>
      </w:r>
      <w:r w:rsidR="00605598">
        <w:rPr>
          <w:rFonts w:eastAsiaTheme="minorEastAsia"/>
          <w:lang w:val="en-US"/>
        </w:rPr>
        <w:t xml:space="preserve">the </w:t>
      </w:r>
      <w:r w:rsidRPr="0075633C">
        <w:rPr>
          <w:rFonts w:eastAsiaTheme="minorEastAsia"/>
          <w:lang w:val="en-US"/>
        </w:rPr>
        <w:t xml:space="preserve">StartWithBam mode, using the rmdup and useSampleAsControl parameters, to </w:t>
      </w:r>
      <w:r w:rsidR="00D5678A">
        <w:rPr>
          <w:rFonts w:eastAsiaTheme="minorEastAsia"/>
          <w:lang w:val="en-US"/>
        </w:rPr>
        <w:t xml:space="preserve">produce </w:t>
      </w:r>
      <w:r w:rsidRPr="0075633C">
        <w:rPr>
          <w:rFonts w:eastAsiaTheme="minorEastAsia"/>
          <w:lang w:val="en-US"/>
        </w:rPr>
        <w:t>a sample group and a control group consisting of the same samples. A BED file was used to define the targets and genes per panel, as described above. Subsequent analysis was divided in</w:t>
      </w:r>
      <w:r w:rsidR="005E2A10">
        <w:rPr>
          <w:rFonts w:eastAsiaTheme="minorEastAsia"/>
          <w:lang w:val="en-US"/>
        </w:rPr>
        <w:t>to</w:t>
      </w:r>
      <w:r w:rsidRPr="0075633C">
        <w:rPr>
          <w:rFonts w:eastAsiaTheme="minorEastAsia"/>
          <w:lang w:val="en-US"/>
        </w:rPr>
        <w:t xml:space="preserve"> two steps</w:t>
      </w:r>
      <w:r w:rsidR="005E2A10">
        <w:rPr>
          <w:rFonts w:eastAsiaTheme="minorEastAsia"/>
          <w:lang w:val="en-US"/>
        </w:rPr>
        <w:t>:</w:t>
      </w:r>
      <w:r w:rsidR="005E2A10" w:rsidRPr="0075633C">
        <w:rPr>
          <w:rFonts w:eastAsiaTheme="minorEastAsia"/>
          <w:lang w:val="en-US"/>
        </w:rPr>
        <w:t xml:space="preserve"> </w:t>
      </w:r>
      <w:r w:rsidRPr="0075633C">
        <w:rPr>
          <w:rFonts w:eastAsiaTheme="minorEastAsia"/>
          <w:lang w:val="en-US"/>
        </w:rPr>
        <w:t>a preliminary investigation was performed to clean up the control group and a second analysis was performed for prediction using the curated control group.</w:t>
      </w:r>
      <w:r w:rsidR="00DC13CB">
        <w:rPr>
          <w:rFonts w:eastAsiaTheme="minorEastAsia"/>
          <w:lang w:val="en-US"/>
        </w:rPr>
        <w:t xml:space="preserve"> </w:t>
      </w:r>
      <w:r w:rsidRPr="0075633C">
        <w:rPr>
          <w:rFonts w:eastAsiaTheme="minorEastAsia"/>
          <w:lang w:val="en-US"/>
        </w:rPr>
        <w:t>To clean up the control group</w:t>
      </w:r>
      <w:r w:rsidR="005E2A10">
        <w:rPr>
          <w:rFonts w:eastAsiaTheme="minorEastAsia"/>
          <w:lang w:val="en-US"/>
        </w:rPr>
        <w:t>,</w:t>
      </w:r>
      <w:r w:rsidRPr="0075633C">
        <w:rPr>
          <w:rFonts w:eastAsiaTheme="minorEastAsia"/>
          <w:lang w:val="en-US"/>
        </w:rPr>
        <w:t xml:space="preserve"> </w:t>
      </w:r>
      <w:r w:rsidR="00D5678A">
        <w:rPr>
          <w:rFonts w:eastAsiaTheme="minorEastAsia"/>
          <w:lang w:val="en-US"/>
        </w:rPr>
        <w:t>we used</w:t>
      </w:r>
      <w:r w:rsidR="00D5678A" w:rsidRPr="0075633C">
        <w:rPr>
          <w:rFonts w:eastAsiaTheme="minorEastAsia"/>
          <w:lang w:val="en-US"/>
        </w:rPr>
        <w:t xml:space="preserve"> </w:t>
      </w:r>
      <w:r w:rsidR="00D0317F">
        <w:rPr>
          <w:rFonts w:eastAsiaTheme="minorEastAsia"/>
          <w:lang w:val="en-US"/>
        </w:rPr>
        <w:t xml:space="preserve">the </w:t>
      </w:r>
      <w:r w:rsidRPr="0075633C">
        <w:rPr>
          <w:rFonts w:eastAsiaTheme="minorEastAsia"/>
          <w:lang w:val="en-US"/>
        </w:rPr>
        <w:t xml:space="preserve">StartWithMatchScore mode using the sample group as inputDir and the control group as controlsDir. </w:t>
      </w:r>
      <w:r w:rsidR="00D5678A">
        <w:rPr>
          <w:rFonts w:eastAsiaTheme="minorEastAsia"/>
          <w:lang w:val="en-US"/>
        </w:rPr>
        <w:t>In t</w:t>
      </w:r>
      <w:r w:rsidR="00D5678A" w:rsidRPr="0075633C">
        <w:rPr>
          <w:rFonts w:eastAsiaTheme="minorEastAsia"/>
          <w:lang w:val="en-US"/>
        </w:rPr>
        <w:t xml:space="preserve">he </w:t>
      </w:r>
      <w:r w:rsidRPr="0075633C">
        <w:rPr>
          <w:rFonts w:eastAsiaTheme="minorEastAsia"/>
          <w:lang w:val="en-US"/>
        </w:rPr>
        <w:t xml:space="preserve">third analysis step, </w:t>
      </w:r>
      <w:r w:rsidR="00D5678A">
        <w:rPr>
          <w:rFonts w:eastAsiaTheme="minorEastAsia"/>
          <w:lang w:val="en-US"/>
        </w:rPr>
        <w:t xml:space="preserve">we used </w:t>
      </w:r>
      <w:r w:rsidRPr="0075633C">
        <w:rPr>
          <w:rFonts w:eastAsiaTheme="minorEastAsia"/>
          <w:lang w:val="en-US"/>
        </w:rPr>
        <w:t xml:space="preserve">StartWithBestScore to create a shortlist for each sample containing all CNV calls passing </w:t>
      </w:r>
      <w:r w:rsidR="00DC13CB">
        <w:rPr>
          <w:rFonts w:eastAsiaTheme="minorEastAsia"/>
          <w:lang w:val="en-US"/>
        </w:rPr>
        <w:t>QC</w:t>
      </w:r>
      <w:r w:rsidRPr="0075633C">
        <w:rPr>
          <w:rFonts w:eastAsiaTheme="minorEastAsia"/>
          <w:lang w:val="en-US"/>
        </w:rPr>
        <w:t xml:space="preserve"> based on the control group selected for this sample. Samples </w:t>
      </w:r>
      <w:r w:rsidR="005E2A10">
        <w:rPr>
          <w:rFonts w:eastAsiaTheme="minorEastAsia"/>
          <w:lang w:val="en-US"/>
        </w:rPr>
        <w:t>with</w:t>
      </w:r>
      <w:r w:rsidR="005E2A10" w:rsidRPr="0075633C">
        <w:rPr>
          <w:rFonts w:eastAsiaTheme="minorEastAsia"/>
          <w:lang w:val="en-US"/>
        </w:rPr>
        <w:t xml:space="preserve"> </w:t>
      </w:r>
      <w:r w:rsidRPr="0075633C">
        <w:rPr>
          <w:rFonts w:eastAsiaTheme="minorEastAsia"/>
          <w:lang w:val="en-US"/>
        </w:rPr>
        <w:t>a call on the shortlist were removed from their specific control group to create curated control groups.</w:t>
      </w:r>
      <w:r>
        <w:rPr>
          <w:rFonts w:eastAsiaTheme="minorEastAsia"/>
          <w:lang w:val="en-US"/>
        </w:rPr>
        <w:t xml:space="preserve"> </w:t>
      </w:r>
      <w:r w:rsidRPr="0075633C">
        <w:rPr>
          <w:rFonts w:eastAsiaTheme="minorEastAsia"/>
          <w:lang w:val="en-US"/>
        </w:rPr>
        <w:t>All samples were reanalyzed using the curated control groups</w:t>
      </w:r>
      <w:r w:rsidR="00D5678A">
        <w:rPr>
          <w:rFonts w:eastAsiaTheme="minorEastAsia"/>
          <w:lang w:val="en-US"/>
        </w:rPr>
        <w:t>,</w:t>
      </w:r>
      <w:r w:rsidRPr="0075633C">
        <w:rPr>
          <w:rFonts w:eastAsiaTheme="minorEastAsia"/>
          <w:lang w:val="en-US"/>
        </w:rPr>
        <w:t xml:space="preserve"> starting from the StartWithMatchScore step. </w:t>
      </w:r>
      <w:r w:rsidR="005E2A10">
        <w:rPr>
          <w:rFonts w:eastAsiaTheme="minorEastAsia"/>
          <w:lang w:val="en-US"/>
        </w:rPr>
        <w:t>T</w:t>
      </w:r>
      <w:r w:rsidRPr="0075633C">
        <w:rPr>
          <w:rFonts w:eastAsiaTheme="minorEastAsia"/>
          <w:lang w:val="en-US"/>
        </w:rPr>
        <w:t>he two final steps of the workflow, GenerateTargetQcList and CreateFinalList</w:t>
      </w:r>
      <w:r w:rsidR="005E2A10">
        <w:rPr>
          <w:rFonts w:eastAsiaTheme="minorEastAsia"/>
          <w:lang w:val="en-US"/>
        </w:rPr>
        <w:t>,</w:t>
      </w:r>
      <w:r w:rsidRPr="0075633C">
        <w:rPr>
          <w:rFonts w:eastAsiaTheme="minorEastAsia"/>
          <w:lang w:val="en-US"/>
        </w:rPr>
        <w:t xml:space="preserve"> were also </w:t>
      </w:r>
      <w:r w:rsidR="00D5678A">
        <w:rPr>
          <w:rFonts w:eastAsiaTheme="minorEastAsia"/>
          <w:lang w:val="en-US"/>
        </w:rPr>
        <w:t>performed</w:t>
      </w:r>
      <w:r w:rsidR="00D5678A" w:rsidRPr="0075633C">
        <w:rPr>
          <w:rFonts w:eastAsiaTheme="minorEastAsia"/>
          <w:lang w:val="en-US"/>
        </w:rPr>
        <w:t xml:space="preserve"> </w:t>
      </w:r>
      <w:r w:rsidRPr="0075633C">
        <w:rPr>
          <w:rFonts w:eastAsiaTheme="minorEastAsia"/>
          <w:lang w:val="en-US"/>
        </w:rPr>
        <w:t xml:space="preserve">to include quality information from all analyzed samples in the analysis. Sample quality information was obtained during the StartWithBam step. A sample passed </w:t>
      </w:r>
      <w:r w:rsidR="00DC13CB">
        <w:rPr>
          <w:rFonts w:eastAsiaTheme="minorEastAsia"/>
          <w:lang w:val="en-US"/>
        </w:rPr>
        <w:t>QC</w:t>
      </w:r>
      <w:r w:rsidRPr="0075633C">
        <w:rPr>
          <w:rFonts w:eastAsiaTheme="minorEastAsia"/>
          <w:lang w:val="en-US"/>
        </w:rPr>
        <w:t xml:space="preserve"> at a sample coefficient of variation </w:t>
      </w:r>
      <w:r w:rsidR="005E2A10">
        <w:rPr>
          <w:rFonts w:eastAsiaTheme="minorEastAsia"/>
          <w:lang w:val="en-US"/>
        </w:rPr>
        <w:t>&lt;</w:t>
      </w:r>
      <w:r w:rsidRPr="0075633C">
        <w:rPr>
          <w:rFonts w:eastAsiaTheme="minorEastAsia"/>
          <w:lang w:val="en-US"/>
        </w:rPr>
        <w:t xml:space="preserve"> 0.09.</w:t>
      </w:r>
    </w:p>
    <w:p w14:paraId="6E8DA998" w14:textId="630BE8E3" w:rsidR="00AD3BAF" w:rsidRDefault="00E11AA3" w:rsidP="00C67711">
      <w:pPr>
        <w:spacing w:after="120" w:line="480" w:lineRule="auto"/>
        <w:jc w:val="both"/>
        <w:rPr>
          <w:rFonts w:eastAsiaTheme="minorEastAsia"/>
          <w:lang w:val="en-US"/>
        </w:rPr>
      </w:pPr>
      <w:r w:rsidRPr="0075633C">
        <w:rPr>
          <w:rFonts w:eastAsiaTheme="minorEastAsia"/>
          <w:lang w:val="en-US"/>
        </w:rPr>
        <w:t>In addition</w:t>
      </w:r>
      <w:r w:rsidR="005E2A10">
        <w:rPr>
          <w:rFonts w:eastAsiaTheme="minorEastAsia"/>
          <w:lang w:val="en-US"/>
        </w:rPr>
        <w:t>,</w:t>
      </w:r>
      <w:r w:rsidRPr="0075633C">
        <w:rPr>
          <w:rFonts w:eastAsiaTheme="minorEastAsia"/>
          <w:lang w:val="en-US"/>
        </w:rPr>
        <w:t xml:space="preserve"> all samples were analyzed using XHMM. For </w:t>
      </w:r>
      <w:r w:rsidRPr="00F54898">
        <w:rPr>
          <w:rFonts w:eastAsiaTheme="minorEastAsia"/>
          <w:lang w:val="en-US"/>
        </w:rPr>
        <w:t>each design</w:t>
      </w:r>
      <w:r w:rsidR="005E2A10">
        <w:rPr>
          <w:rFonts w:eastAsiaTheme="minorEastAsia"/>
          <w:lang w:val="en-US"/>
        </w:rPr>
        <w:t>,</w:t>
      </w:r>
      <w:r w:rsidRPr="00F54898">
        <w:rPr>
          <w:rFonts w:eastAsiaTheme="minorEastAsia"/>
          <w:lang w:val="en-US"/>
        </w:rPr>
        <w:t xml:space="preserve"> all samples were analyzed in batch using the same settings we used in our previous project [Johansson et al., 2016].</w:t>
      </w:r>
      <w:r w:rsidRPr="0075633C">
        <w:rPr>
          <w:rFonts w:eastAsiaTheme="minorEastAsia"/>
          <w:lang w:val="en-US"/>
        </w:rPr>
        <w:t xml:space="preserve"> </w:t>
      </w:r>
    </w:p>
    <w:p w14:paraId="5C0F3075" w14:textId="148369A1" w:rsidR="00E11AA3" w:rsidRDefault="00E11AA3" w:rsidP="00C67711">
      <w:pPr>
        <w:spacing w:after="240" w:line="480" w:lineRule="auto"/>
        <w:jc w:val="both"/>
        <w:rPr>
          <w:rFonts w:eastAsiaTheme="minorEastAsia"/>
          <w:color w:val="000000"/>
          <w:lang w:val="en-GB"/>
        </w:rPr>
      </w:pPr>
      <w:r w:rsidRPr="00F74730">
        <w:rPr>
          <w:rFonts w:eastAsiaTheme="minorEastAsia"/>
          <w:color w:val="000000"/>
          <w:lang w:val="en-GB"/>
        </w:rPr>
        <w:lastRenderedPageBreak/>
        <w:t>A CNV call was made by one of three routes. The first yielded all calls present on the CoNVaDING final list and made by XHMM in samples that passed CoNVaDING sample QC. The second route contained calls that were made by XHMM only</w:t>
      </w:r>
      <w:r w:rsidR="00344951">
        <w:rPr>
          <w:rFonts w:eastAsiaTheme="minorEastAsia"/>
          <w:color w:val="000000"/>
          <w:lang w:val="en-GB"/>
        </w:rPr>
        <w:t>,</w:t>
      </w:r>
      <w:r w:rsidRPr="00F74730">
        <w:rPr>
          <w:rFonts w:eastAsiaTheme="minorEastAsia"/>
          <w:color w:val="000000"/>
          <w:lang w:val="en-GB"/>
        </w:rPr>
        <w:t xml:space="preserve"> but were</w:t>
      </w:r>
      <w:r>
        <w:rPr>
          <w:rFonts w:eastAsiaTheme="minorEastAsia"/>
          <w:color w:val="000000"/>
          <w:lang w:val="en-GB"/>
        </w:rPr>
        <w:t xml:space="preserve"> </w:t>
      </w:r>
      <w:r w:rsidRPr="00F74730">
        <w:rPr>
          <w:rFonts w:eastAsiaTheme="minorEastAsia"/>
          <w:color w:val="000000"/>
          <w:lang w:val="en-GB"/>
        </w:rPr>
        <w:t xml:space="preserve">present in the CoNVaDING longlist in samples that passed CoNVaDING sample QC. The XHMM calls were retained if a CoNVaDING </w:t>
      </w:r>
      <w:r>
        <w:rPr>
          <w:rFonts w:eastAsiaTheme="minorEastAsia"/>
          <w:color w:val="000000"/>
          <w:lang w:val="en-GB"/>
        </w:rPr>
        <w:t xml:space="preserve">call </w:t>
      </w:r>
      <w:r w:rsidRPr="00F74730">
        <w:rPr>
          <w:rFonts w:eastAsiaTheme="minorEastAsia"/>
          <w:color w:val="000000"/>
          <w:lang w:val="en-GB"/>
        </w:rPr>
        <w:t xml:space="preserve">was present on the longlist but filtered due to low quality, if CoNVaDING ratios and Z-scores were very close to the threshold, or for large calls if CoNVaDING ratios were consistently lowered. </w:t>
      </w:r>
      <w:r w:rsidR="00FD45A8">
        <w:rPr>
          <w:rFonts w:eastAsiaTheme="minorEastAsia"/>
          <w:color w:val="000000"/>
          <w:lang w:val="en-GB"/>
        </w:rPr>
        <w:t>In the third route</w:t>
      </w:r>
      <w:r w:rsidRPr="00F74730">
        <w:rPr>
          <w:rFonts w:eastAsiaTheme="minorEastAsia"/>
          <w:color w:val="000000"/>
          <w:lang w:val="en-GB"/>
        </w:rPr>
        <w:t>, calls made only by CoNVaDING in samples passing CoNVaDING sample QC were retained if the selected control group was normally distributed for at least one target</w:t>
      </w:r>
      <w:r>
        <w:rPr>
          <w:rFonts w:eastAsiaTheme="minorEastAsia"/>
          <w:color w:val="000000"/>
          <w:lang w:val="en-GB"/>
        </w:rPr>
        <w:t xml:space="preserve"> in the call</w:t>
      </w:r>
      <w:r w:rsidRPr="00F74730">
        <w:rPr>
          <w:rFonts w:eastAsiaTheme="minorEastAsia"/>
          <w:color w:val="000000"/>
          <w:lang w:val="en-GB"/>
        </w:rPr>
        <w:t xml:space="preserve"> and if the ratios and Z-scores were well outside the thresholds. Apart from these official calls</w:t>
      </w:r>
      <w:r w:rsidR="006C1390">
        <w:rPr>
          <w:rFonts w:eastAsiaTheme="minorEastAsia"/>
          <w:color w:val="000000"/>
          <w:lang w:val="en-GB"/>
        </w:rPr>
        <w:t>,</w:t>
      </w:r>
      <w:r w:rsidRPr="00F74730">
        <w:rPr>
          <w:rFonts w:eastAsiaTheme="minorEastAsia"/>
          <w:color w:val="000000"/>
          <w:lang w:val="en-GB"/>
        </w:rPr>
        <w:t xml:space="preserve"> failed samples were looked at manually. </w:t>
      </w:r>
      <w:r w:rsidR="00FD45A8">
        <w:rPr>
          <w:rFonts w:eastAsiaTheme="minorEastAsia"/>
          <w:color w:val="000000"/>
          <w:lang w:val="en-GB"/>
        </w:rPr>
        <w:t xml:space="preserve">Here we </w:t>
      </w:r>
      <w:r w:rsidR="00FD45A8" w:rsidRPr="00E20F69">
        <w:rPr>
          <w:rFonts w:eastAsiaTheme="minorEastAsia"/>
          <w:color w:val="000000"/>
          <w:lang w:val="en-GB"/>
        </w:rPr>
        <w:t>considered</w:t>
      </w:r>
      <w:r w:rsidR="00FD45A8" w:rsidRPr="00F74730">
        <w:rPr>
          <w:rFonts w:eastAsiaTheme="minorEastAsia"/>
          <w:color w:val="000000"/>
          <w:lang w:val="en-GB"/>
        </w:rPr>
        <w:t xml:space="preserve"> </w:t>
      </w:r>
      <w:r w:rsidR="00FD45A8">
        <w:rPr>
          <w:rFonts w:eastAsiaTheme="minorEastAsia"/>
          <w:color w:val="000000"/>
          <w:lang w:val="en-GB"/>
        </w:rPr>
        <w:t>c</w:t>
      </w:r>
      <w:r w:rsidR="00FD45A8" w:rsidRPr="00F74730">
        <w:rPr>
          <w:rFonts w:eastAsiaTheme="minorEastAsia"/>
          <w:color w:val="000000"/>
          <w:lang w:val="en-GB"/>
        </w:rPr>
        <w:t xml:space="preserve">alls </w:t>
      </w:r>
      <w:r w:rsidR="00FD45A8">
        <w:rPr>
          <w:rFonts w:eastAsiaTheme="minorEastAsia"/>
          <w:color w:val="000000"/>
          <w:lang w:val="en-GB"/>
        </w:rPr>
        <w:t>that we judged</w:t>
      </w:r>
      <w:r w:rsidR="00FD45A8" w:rsidRPr="00F74730">
        <w:rPr>
          <w:rFonts w:eastAsiaTheme="minorEastAsia"/>
          <w:color w:val="000000"/>
          <w:lang w:val="en-GB"/>
        </w:rPr>
        <w:t xml:space="preserve"> </w:t>
      </w:r>
      <w:r w:rsidRPr="00F74730">
        <w:rPr>
          <w:rFonts w:eastAsiaTheme="minorEastAsia"/>
          <w:color w:val="000000"/>
          <w:lang w:val="en-GB"/>
        </w:rPr>
        <w:t xml:space="preserve">to have a high chance of being true because they entailed a deletion or duplication of a high number of targets of a single gene or </w:t>
      </w:r>
      <w:r w:rsidR="00FD45A8">
        <w:rPr>
          <w:rFonts w:eastAsiaTheme="minorEastAsia"/>
          <w:color w:val="000000"/>
          <w:lang w:val="en-GB"/>
        </w:rPr>
        <w:t xml:space="preserve">they </w:t>
      </w:r>
      <w:r w:rsidRPr="00F74730">
        <w:rPr>
          <w:rFonts w:eastAsiaTheme="minorEastAsia"/>
          <w:color w:val="000000"/>
          <w:lang w:val="en-GB"/>
        </w:rPr>
        <w:t xml:space="preserve">gave a call in </w:t>
      </w:r>
      <w:r>
        <w:rPr>
          <w:rFonts w:eastAsiaTheme="minorEastAsia"/>
          <w:color w:val="000000"/>
          <w:lang w:val="en-GB"/>
        </w:rPr>
        <w:t>published</w:t>
      </w:r>
      <w:r w:rsidRPr="00F74730">
        <w:rPr>
          <w:rFonts w:eastAsiaTheme="minorEastAsia"/>
          <w:color w:val="000000"/>
          <w:lang w:val="en-GB"/>
        </w:rPr>
        <w:t xml:space="preserve"> deletion regions. </w:t>
      </w:r>
    </w:p>
    <w:p w14:paraId="52AB9911" w14:textId="77777777" w:rsidR="00F54898" w:rsidRDefault="00F54898" w:rsidP="008A6D26">
      <w:pPr>
        <w:rPr>
          <w:lang w:val="en-US"/>
        </w:rPr>
      </w:pPr>
    </w:p>
    <w:p w14:paraId="20D12FD9" w14:textId="77777777" w:rsidR="0049438C" w:rsidRPr="00F54898" w:rsidRDefault="0049438C" w:rsidP="0075489E">
      <w:pPr>
        <w:pStyle w:val="Kop2"/>
        <w:rPr>
          <w:b/>
          <w:color w:val="auto"/>
          <w:lang w:val="en-US"/>
        </w:rPr>
      </w:pPr>
      <w:r w:rsidRPr="00F54898">
        <w:rPr>
          <w:b/>
          <w:i/>
          <w:color w:val="auto"/>
          <w:lang w:val="en-US"/>
        </w:rPr>
        <w:t>POLE</w:t>
      </w:r>
      <w:r w:rsidRPr="00F54898">
        <w:rPr>
          <w:b/>
          <w:color w:val="auto"/>
          <w:lang w:val="en-US"/>
        </w:rPr>
        <w:t xml:space="preserve"> and </w:t>
      </w:r>
      <w:r w:rsidRPr="00F54898">
        <w:rPr>
          <w:b/>
          <w:i/>
          <w:color w:val="auto"/>
          <w:lang w:val="en-US"/>
        </w:rPr>
        <w:t>POLD1</w:t>
      </w:r>
      <w:r w:rsidRPr="00F54898">
        <w:rPr>
          <w:b/>
          <w:color w:val="auto"/>
          <w:lang w:val="en-US"/>
        </w:rPr>
        <w:t xml:space="preserve"> sequencing</w:t>
      </w:r>
    </w:p>
    <w:p w14:paraId="14256277" w14:textId="267CA155" w:rsidR="0049438C" w:rsidRDefault="0049438C" w:rsidP="00E20F69">
      <w:pPr>
        <w:spacing w:after="240" w:line="480" w:lineRule="auto"/>
        <w:rPr>
          <w:rFonts w:eastAsiaTheme="minorEastAsia"/>
          <w:lang w:val="en-US"/>
        </w:rPr>
      </w:pPr>
      <w:r w:rsidRPr="00F54898">
        <w:rPr>
          <w:rFonts w:eastAsiaTheme="minorEastAsia"/>
          <w:lang w:val="en-US"/>
        </w:rPr>
        <w:t xml:space="preserve">Genomic DNA was PCR amplified. PCR </w:t>
      </w:r>
      <w:r w:rsidRPr="00B430E4">
        <w:rPr>
          <w:rFonts w:eastAsiaTheme="minorEastAsia"/>
          <w:lang w:val="en-US"/>
        </w:rPr>
        <w:t xml:space="preserve">for </w:t>
      </w:r>
      <w:r w:rsidRPr="00B430E4">
        <w:rPr>
          <w:rFonts w:eastAsiaTheme="minorEastAsia"/>
          <w:i/>
          <w:lang w:val="en-US"/>
        </w:rPr>
        <w:t>POLE</w:t>
      </w:r>
      <w:r w:rsidRPr="00B430E4">
        <w:rPr>
          <w:rFonts w:eastAsiaTheme="minorEastAsia"/>
          <w:lang w:val="en-US"/>
        </w:rPr>
        <w:t xml:space="preserve"> was performed with (POLE_Fw) 5’-GGTGCCTGTTAGGAACTTGC-3’and (POLE_Rv) 5‘-TAGCTCCACGGGATCATAGC-3’ primers</w:t>
      </w:r>
      <w:r w:rsidR="00D9196F">
        <w:rPr>
          <w:rFonts w:eastAsiaTheme="minorEastAsia"/>
          <w:lang w:val="en-US"/>
        </w:rPr>
        <w:t>.</w:t>
      </w:r>
      <w:r w:rsidRPr="00B430E4">
        <w:rPr>
          <w:rFonts w:eastAsiaTheme="minorEastAsia"/>
          <w:lang w:val="en-US"/>
        </w:rPr>
        <w:t xml:space="preserve"> PCR for </w:t>
      </w:r>
      <w:r w:rsidRPr="00B430E4">
        <w:rPr>
          <w:rFonts w:eastAsiaTheme="minorEastAsia"/>
          <w:i/>
          <w:lang w:val="en-US"/>
        </w:rPr>
        <w:t>POLD1</w:t>
      </w:r>
      <w:r w:rsidRPr="00B430E4">
        <w:rPr>
          <w:rFonts w:eastAsiaTheme="minorEastAsia"/>
          <w:lang w:val="en-US"/>
        </w:rPr>
        <w:t xml:space="preserve"> was performed with (POLD1_Fw) 5’-GGAGTACAAGCTCCGCTCCT-3’ and (POLD1_Rv) 5’-GCGTCAGGTAAGGTCACAGG-3’ primers. A standard amplification program was used: 5 minutes 94</w:t>
      </w:r>
      <w:r w:rsidR="00A61B70">
        <w:rPr>
          <w:rFonts w:eastAsiaTheme="minorEastAsia"/>
          <w:lang w:val="en-US"/>
        </w:rPr>
        <w:t xml:space="preserve"> </w:t>
      </w:r>
      <w:r w:rsidRPr="00B430E4">
        <w:rPr>
          <w:rFonts w:eastAsiaTheme="minorEastAsia"/>
          <w:lang w:val="en-US"/>
        </w:rPr>
        <w:t>°C, 30 cycles 45 seconds 94</w:t>
      </w:r>
      <w:r w:rsidR="00A61B70">
        <w:rPr>
          <w:rFonts w:eastAsiaTheme="minorEastAsia"/>
          <w:lang w:val="en-US"/>
        </w:rPr>
        <w:t xml:space="preserve"> </w:t>
      </w:r>
      <w:r w:rsidRPr="00B430E4">
        <w:rPr>
          <w:rFonts w:eastAsiaTheme="minorEastAsia"/>
          <w:lang w:val="en-US"/>
        </w:rPr>
        <w:t>°C, 45 seconds 60°C, 60 seconds 72</w:t>
      </w:r>
      <w:r w:rsidR="00A61B70">
        <w:rPr>
          <w:rFonts w:eastAsiaTheme="minorEastAsia"/>
          <w:lang w:val="en-US"/>
        </w:rPr>
        <w:t xml:space="preserve"> </w:t>
      </w:r>
      <w:r w:rsidRPr="00B430E4">
        <w:rPr>
          <w:rFonts w:eastAsiaTheme="minorEastAsia"/>
          <w:lang w:val="en-US"/>
        </w:rPr>
        <w:t>°C, 10 minutes 72</w:t>
      </w:r>
      <w:r w:rsidR="00A61B70">
        <w:rPr>
          <w:rFonts w:eastAsiaTheme="minorEastAsia"/>
          <w:lang w:val="en-US"/>
        </w:rPr>
        <w:t xml:space="preserve"> </w:t>
      </w:r>
      <w:r w:rsidRPr="00B430E4">
        <w:rPr>
          <w:rFonts w:eastAsiaTheme="minorEastAsia"/>
          <w:lang w:val="en-US"/>
        </w:rPr>
        <w:t>°C.</w:t>
      </w:r>
      <w:r>
        <w:rPr>
          <w:rFonts w:eastAsiaTheme="minorEastAsia"/>
          <w:lang w:val="en-US"/>
        </w:rPr>
        <w:t xml:space="preserve"> </w:t>
      </w:r>
      <w:r w:rsidRPr="00B430E4">
        <w:rPr>
          <w:rFonts w:eastAsiaTheme="minorEastAsia"/>
          <w:lang w:val="en-US"/>
        </w:rPr>
        <w:t>Next, 10 ng PCR product was used for Sanger sequencing using an ABI 3730. Analysis of variants was performed with Mutation surveyor software (Mutation surveyor, version 3.23, Softgenetics LLC</w:t>
      </w:r>
      <w:r>
        <w:rPr>
          <w:rFonts w:eastAsiaTheme="minorEastAsia"/>
          <w:lang w:val="en-US"/>
        </w:rPr>
        <w:t>, Pennsylvania</w:t>
      </w:r>
      <w:r w:rsidRPr="00B430E4">
        <w:rPr>
          <w:rFonts w:eastAsiaTheme="minorEastAsia"/>
          <w:lang w:val="en-US"/>
        </w:rPr>
        <w:t>).</w:t>
      </w:r>
    </w:p>
    <w:p w14:paraId="6F607D19" w14:textId="77777777" w:rsidR="00D670B6" w:rsidRDefault="00D670B6">
      <w:pPr>
        <w:rPr>
          <w:rFonts w:asciiTheme="majorHAnsi" w:eastAsiaTheme="majorEastAsia" w:hAnsiTheme="majorHAnsi" w:cstheme="majorBidi"/>
          <w:b/>
          <w:color w:val="365F91" w:themeColor="accent1" w:themeShade="BF"/>
          <w:sz w:val="26"/>
          <w:szCs w:val="26"/>
          <w:lang w:val="en-US"/>
        </w:rPr>
      </w:pPr>
      <w:r>
        <w:rPr>
          <w:b/>
          <w:lang w:val="en-US"/>
        </w:rPr>
        <w:br w:type="page"/>
      </w:r>
    </w:p>
    <w:p w14:paraId="79FA830B" w14:textId="46777215" w:rsidR="008642AC" w:rsidRDefault="0075489E" w:rsidP="0075489E">
      <w:pPr>
        <w:pStyle w:val="Kop2"/>
        <w:rPr>
          <w:b/>
          <w:lang w:val="en-US"/>
        </w:rPr>
      </w:pPr>
      <w:r w:rsidRPr="009837E6">
        <w:rPr>
          <w:b/>
          <w:lang w:val="en-US"/>
        </w:rPr>
        <w:lastRenderedPageBreak/>
        <w:t>References</w:t>
      </w:r>
    </w:p>
    <w:p w14:paraId="1E4B2FED" w14:textId="067EF776" w:rsidR="00736383" w:rsidRPr="00D670B6" w:rsidRDefault="00736383" w:rsidP="00736383">
      <w:pPr>
        <w:spacing w:after="240" w:line="240" w:lineRule="auto"/>
        <w:ind w:left="640" w:hanging="640"/>
        <w:rPr>
          <w:sz w:val="18"/>
          <w:szCs w:val="18"/>
          <w:lang w:val="en-US"/>
        </w:rPr>
      </w:pPr>
      <w:r w:rsidRPr="00736383">
        <w:rPr>
          <w:sz w:val="18"/>
          <w:szCs w:val="18"/>
          <w:lang w:val="en-US"/>
        </w:rPr>
        <w:t>[</w:t>
      </w:r>
      <w:r>
        <w:rPr>
          <w:sz w:val="18"/>
          <w:szCs w:val="18"/>
          <w:lang w:val="en-US"/>
        </w:rPr>
        <w:t>1</w:t>
      </w:r>
      <w:r w:rsidRPr="00736383">
        <w:rPr>
          <w:sz w:val="18"/>
          <w:szCs w:val="18"/>
          <w:lang w:val="en-US"/>
        </w:rPr>
        <w:t>]</w:t>
      </w:r>
      <w:r w:rsidRPr="00736383">
        <w:rPr>
          <w:sz w:val="18"/>
          <w:szCs w:val="18"/>
          <w:lang w:val="en-US"/>
        </w:rPr>
        <w:tab/>
        <w:t xml:space="preserve">Tigchelaar EF, Zhernakova A, Dekens JAM, et al. </w:t>
      </w:r>
      <w:r w:rsidRPr="00D670B6">
        <w:rPr>
          <w:sz w:val="18"/>
          <w:szCs w:val="18"/>
          <w:lang w:val="en-US"/>
        </w:rPr>
        <w:t xml:space="preserve">Cohort profile: LifeLines DEEP, a prospective, general population cohort study in the northern Netherlands: study design and baseline characteristics. </w:t>
      </w:r>
      <w:r w:rsidRPr="00D670B6">
        <w:rPr>
          <w:i/>
          <w:iCs/>
          <w:sz w:val="18"/>
          <w:szCs w:val="18"/>
          <w:lang w:val="en-US"/>
        </w:rPr>
        <w:t>BMJ Open</w:t>
      </w:r>
      <w:r w:rsidRPr="00D670B6">
        <w:rPr>
          <w:iCs/>
          <w:sz w:val="18"/>
          <w:szCs w:val="18"/>
          <w:lang w:val="en-US"/>
        </w:rPr>
        <w:t>. 2015;</w:t>
      </w:r>
      <w:r w:rsidRPr="00D670B6">
        <w:rPr>
          <w:sz w:val="18"/>
          <w:szCs w:val="18"/>
          <w:lang w:val="en-US"/>
        </w:rPr>
        <w:t>5(8):e006772.</w:t>
      </w:r>
    </w:p>
    <w:p w14:paraId="457A4A33" w14:textId="4FE820DD" w:rsidR="00736383" w:rsidRPr="00D52F95" w:rsidRDefault="00736383" w:rsidP="00736383">
      <w:pPr>
        <w:spacing w:after="240" w:line="240" w:lineRule="auto"/>
        <w:ind w:left="640" w:hanging="640"/>
        <w:rPr>
          <w:sz w:val="18"/>
          <w:szCs w:val="18"/>
        </w:rPr>
      </w:pPr>
      <w:r w:rsidRPr="00D670B6">
        <w:rPr>
          <w:sz w:val="18"/>
          <w:szCs w:val="18"/>
          <w:lang w:val="en-US"/>
        </w:rPr>
        <w:t>[2]</w:t>
      </w:r>
      <w:r w:rsidRPr="00D670B6">
        <w:rPr>
          <w:sz w:val="18"/>
          <w:szCs w:val="18"/>
          <w:lang w:val="en-US"/>
        </w:rPr>
        <w:tab/>
        <w:t xml:space="preserve">Longstreth GF, Thompson WG, Chey WD, et al. </w:t>
      </w:r>
      <w:r w:rsidRPr="00D670B6">
        <w:rPr>
          <w:sz w:val="18"/>
          <w:szCs w:val="18"/>
        </w:rPr>
        <w:t xml:space="preserve">“Functional Bowel Disorders,” </w:t>
      </w:r>
      <w:r w:rsidRPr="00D670B6">
        <w:rPr>
          <w:i/>
          <w:iCs/>
          <w:sz w:val="18"/>
          <w:szCs w:val="18"/>
        </w:rPr>
        <w:t>Gastroenterology</w:t>
      </w:r>
      <w:r w:rsidRPr="00D670B6">
        <w:rPr>
          <w:iCs/>
          <w:sz w:val="18"/>
          <w:szCs w:val="18"/>
        </w:rPr>
        <w:t xml:space="preserve">. </w:t>
      </w:r>
      <w:r w:rsidRPr="00D52F95">
        <w:rPr>
          <w:iCs/>
          <w:sz w:val="18"/>
          <w:szCs w:val="18"/>
        </w:rPr>
        <w:t>2006;</w:t>
      </w:r>
      <w:r w:rsidRPr="00D52F95">
        <w:rPr>
          <w:sz w:val="18"/>
          <w:szCs w:val="18"/>
        </w:rPr>
        <w:t>130(5):1480-1491.</w:t>
      </w:r>
    </w:p>
    <w:p w14:paraId="7F7D5BB8" w14:textId="1741A491" w:rsidR="00736383" w:rsidRPr="00D670B6" w:rsidRDefault="00736383" w:rsidP="00736383">
      <w:pPr>
        <w:spacing w:after="240" w:line="240" w:lineRule="auto"/>
        <w:ind w:left="640" w:hanging="640"/>
        <w:rPr>
          <w:sz w:val="18"/>
          <w:szCs w:val="18"/>
          <w:lang w:val="en-US"/>
        </w:rPr>
      </w:pPr>
      <w:r w:rsidRPr="00D52F95">
        <w:rPr>
          <w:sz w:val="18"/>
          <w:szCs w:val="18"/>
        </w:rPr>
        <w:t>[3]</w:t>
      </w:r>
      <w:r w:rsidRPr="00D52F95">
        <w:rPr>
          <w:sz w:val="18"/>
          <w:szCs w:val="18"/>
        </w:rPr>
        <w:tab/>
        <w:t xml:space="preserve">Hsiao CW, Huang WY, Ke TW, et al. </w:t>
      </w:r>
      <w:r w:rsidRPr="00D670B6">
        <w:rPr>
          <w:sz w:val="18"/>
          <w:szCs w:val="18"/>
          <w:lang w:val="en-US"/>
        </w:rPr>
        <w:t xml:space="preserve">Association between irritable bowel syndrome and colorectal cancer: A nationwide population-based study. </w:t>
      </w:r>
      <w:r w:rsidRPr="00D670B6">
        <w:rPr>
          <w:i/>
          <w:iCs/>
          <w:sz w:val="18"/>
          <w:szCs w:val="18"/>
          <w:lang w:val="en-US"/>
        </w:rPr>
        <w:t xml:space="preserve">Eur. J. Intern. Med. </w:t>
      </w:r>
      <w:r w:rsidRPr="00D670B6">
        <w:rPr>
          <w:iCs/>
          <w:sz w:val="18"/>
          <w:szCs w:val="18"/>
          <w:lang w:val="en-US"/>
        </w:rPr>
        <w:t>2015;</w:t>
      </w:r>
      <w:r w:rsidRPr="00D670B6">
        <w:rPr>
          <w:sz w:val="18"/>
          <w:szCs w:val="18"/>
          <w:lang w:val="en-US"/>
        </w:rPr>
        <w:t>25(1):82-86.</w:t>
      </w:r>
    </w:p>
    <w:p w14:paraId="1A82248D" w14:textId="272D47DA" w:rsidR="008642AC" w:rsidRPr="00D670B6" w:rsidRDefault="00B23214" w:rsidP="00D670B6">
      <w:pPr>
        <w:spacing w:line="240" w:lineRule="auto"/>
        <w:ind w:left="640" w:hanging="640"/>
        <w:rPr>
          <w:rFonts w:ascii="Calibri" w:hAnsi="Calibri" w:cs="Times New Roman"/>
          <w:noProof/>
          <w:sz w:val="18"/>
          <w:szCs w:val="18"/>
          <w:lang w:val="en-GB"/>
        </w:rPr>
      </w:pPr>
      <w:r w:rsidRPr="00D670B6">
        <w:rPr>
          <w:rFonts w:ascii="Calibri" w:hAnsi="Calibri" w:cs="Times New Roman"/>
          <w:noProof/>
          <w:sz w:val="18"/>
          <w:szCs w:val="18"/>
          <w:lang w:val="en-GB"/>
        </w:rPr>
        <w:t>[</w:t>
      </w:r>
      <w:r w:rsidR="00736383">
        <w:rPr>
          <w:rFonts w:ascii="Calibri" w:hAnsi="Calibri" w:cs="Times New Roman"/>
          <w:noProof/>
          <w:sz w:val="18"/>
          <w:szCs w:val="18"/>
          <w:lang w:val="en-GB"/>
        </w:rPr>
        <w:t>4</w:t>
      </w:r>
      <w:r w:rsidRPr="00D670B6">
        <w:rPr>
          <w:rFonts w:ascii="Calibri" w:hAnsi="Calibri" w:cs="Times New Roman"/>
          <w:noProof/>
          <w:sz w:val="18"/>
          <w:szCs w:val="18"/>
          <w:lang w:val="en-GB"/>
        </w:rPr>
        <w:t>]</w:t>
      </w:r>
      <w:r w:rsidRPr="00D670B6">
        <w:rPr>
          <w:rFonts w:ascii="Calibri" w:hAnsi="Calibri" w:cs="Times New Roman"/>
          <w:noProof/>
          <w:sz w:val="18"/>
          <w:szCs w:val="18"/>
          <w:lang w:val="en-GB"/>
        </w:rPr>
        <w:tab/>
      </w:r>
      <w:r w:rsidR="00F60D9D" w:rsidRPr="00D670B6">
        <w:rPr>
          <w:rFonts w:ascii="Calibri" w:hAnsi="Calibri" w:cs="Times New Roman"/>
          <w:noProof/>
          <w:sz w:val="18"/>
          <w:szCs w:val="18"/>
          <w:lang w:val="en-GB"/>
        </w:rPr>
        <w:t>Li H</w:t>
      </w:r>
      <w:r w:rsidRPr="00D670B6">
        <w:rPr>
          <w:rFonts w:ascii="Calibri" w:hAnsi="Calibri" w:cs="Times New Roman"/>
          <w:noProof/>
          <w:sz w:val="18"/>
          <w:szCs w:val="18"/>
          <w:lang w:val="en-GB"/>
        </w:rPr>
        <w:t>,</w:t>
      </w:r>
      <w:r w:rsidR="00F60D9D" w:rsidRPr="00D670B6">
        <w:rPr>
          <w:rFonts w:ascii="Calibri" w:hAnsi="Calibri" w:cs="Times New Roman"/>
          <w:noProof/>
          <w:sz w:val="18"/>
          <w:szCs w:val="18"/>
          <w:lang w:val="en-GB"/>
        </w:rPr>
        <w:t xml:space="preserve"> Durbin, R. Fast and accurate long-read alignment with Burrows-Wheeler transform. </w:t>
      </w:r>
      <w:r w:rsidR="00F60D9D" w:rsidRPr="00D670B6">
        <w:rPr>
          <w:rFonts w:ascii="Calibri" w:hAnsi="Calibri" w:cs="Times New Roman"/>
          <w:i/>
          <w:iCs/>
          <w:noProof/>
          <w:sz w:val="18"/>
          <w:szCs w:val="18"/>
          <w:lang w:val="en-GB"/>
        </w:rPr>
        <w:t>Bioinformatics</w:t>
      </w:r>
      <w:r w:rsidR="00F60D9D" w:rsidRPr="00D670B6">
        <w:rPr>
          <w:rFonts w:ascii="Calibri" w:hAnsi="Calibri" w:cs="Times New Roman"/>
          <w:noProof/>
          <w:sz w:val="18"/>
          <w:szCs w:val="18"/>
          <w:lang w:val="en-GB"/>
        </w:rPr>
        <w:t xml:space="preserve"> </w:t>
      </w:r>
      <w:r w:rsidRPr="00D670B6">
        <w:rPr>
          <w:rFonts w:ascii="Calibri" w:hAnsi="Calibri" w:cs="Times New Roman"/>
          <w:noProof/>
          <w:sz w:val="18"/>
          <w:szCs w:val="18"/>
          <w:lang w:val="en-GB"/>
        </w:rPr>
        <w:t>2010;</w:t>
      </w:r>
      <w:r w:rsidR="00F60D9D" w:rsidRPr="00D670B6">
        <w:rPr>
          <w:rFonts w:ascii="Calibri" w:hAnsi="Calibri" w:cs="Times New Roman"/>
          <w:bCs/>
          <w:noProof/>
          <w:sz w:val="18"/>
          <w:szCs w:val="18"/>
          <w:lang w:val="en-GB"/>
        </w:rPr>
        <w:t>26</w:t>
      </w:r>
      <w:r w:rsidRPr="00D670B6">
        <w:rPr>
          <w:rFonts w:ascii="Calibri" w:hAnsi="Calibri" w:cs="Times New Roman"/>
          <w:b/>
          <w:bCs/>
          <w:noProof/>
          <w:sz w:val="18"/>
          <w:szCs w:val="18"/>
          <w:lang w:val="en-GB"/>
        </w:rPr>
        <w:t>:</w:t>
      </w:r>
      <w:r w:rsidR="00F60D9D" w:rsidRPr="00D670B6">
        <w:rPr>
          <w:rFonts w:ascii="Calibri" w:hAnsi="Calibri" w:cs="Times New Roman"/>
          <w:noProof/>
          <w:sz w:val="18"/>
          <w:szCs w:val="18"/>
          <w:lang w:val="en-GB"/>
        </w:rPr>
        <w:t>589–595.</w:t>
      </w:r>
    </w:p>
    <w:p w14:paraId="532C97C1" w14:textId="61620813" w:rsidR="004B7009" w:rsidRPr="00D670B6" w:rsidRDefault="004B7009" w:rsidP="00D670B6">
      <w:pPr>
        <w:spacing w:line="240" w:lineRule="auto"/>
        <w:ind w:left="640" w:hanging="640"/>
        <w:rPr>
          <w:sz w:val="18"/>
          <w:szCs w:val="18"/>
          <w:lang w:val="en-GB"/>
        </w:rPr>
      </w:pPr>
      <w:r w:rsidRPr="00D670B6">
        <w:rPr>
          <w:sz w:val="18"/>
          <w:szCs w:val="18"/>
          <w:lang w:val="en-GB"/>
        </w:rPr>
        <w:t>[</w:t>
      </w:r>
      <w:r w:rsidR="00736383">
        <w:rPr>
          <w:sz w:val="18"/>
          <w:szCs w:val="18"/>
          <w:lang w:val="en-GB"/>
        </w:rPr>
        <w:t>5</w:t>
      </w:r>
      <w:r w:rsidRPr="00D670B6">
        <w:rPr>
          <w:sz w:val="18"/>
          <w:szCs w:val="18"/>
          <w:lang w:val="en-GB"/>
        </w:rPr>
        <w:t>]</w:t>
      </w:r>
      <w:r w:rsidRPr="00D670B6">
        <w:rPr>
          <w:sz w:val="18"/>
          <w:szCs w:val="18"/>
          <w:lang w:val="en-GB"/>
        </w:rPr>
        <w:tab/>
        <w:t>The 1000 Genomes Project Consortium</w:t>
      </w:r>
      <w:r w:rsidR="00B23214" w:rsidRPr="00D670B6">
        <w:rPr>
          <w:sz w:val="18"/>
          <w:szCs w:val="18"/>
          <w:lang w:val="en-GB"/>
        </w:rPr>
        <w:t xml:space="preserve">. </w:t>
      </w:r>
      <w:r w:rsidRPr="00D670B6">
        <w:rPr>
          <w:sz w:val="18"/>
          <w:szCs w:val="18"/>
          <w:lang w:val="en-GB"/>
        </w:rPr>
        <w:t>A map of human genome variation from population scale sequencing</w:t>
      </w:r>
      <w:r w:rsidR="001D1B2A" w:rsidRPr="00D670B6">
        <w:rPr>
          <w:sz w:val="18"/>
          <w:szCs w:val="18"/>
          <w:lang w:val="en-GB"/>
        </w:rPr>
        <w:t xml:space="preserve">. </w:t>
      </w:r>
      <w:r w:rsidR="001D1B2A" w:rsidRPr="00D670B6">
        <w:rPr>
          <w:i/>
          <w:sz w:val="18"/>
          <w:szCs w:val="18"/>
          <w:lang w:val="en-GB"/>
        </w:rPr>
        <w:t>Nature</w:t>
      </w:r>
      <w:r w:rsidR="001D1B2A" w:rsidRPr="00D670B6">
        <w:rPr>
          <w:sz w:val="18"/>
          <w:szCs w:val="18"/>
          <w:lang w:val="en-GB"/>
        </w:rPr>
        <w:t>. 2010;</w:t>
      </w:r>
      <w:r w:rsidRPr="00D670B6">
        <w:rPr>
          <w:sz w:val="18"/>
          <w:szCs w:val="18"/>
          <w:lang w:val="en-GB"/>
        </w:rPr>
        <w:t>467</w:t>
      </w:r>
      <w:r w:rsidR="001D1B2A" w:rsidRPr="00D670B6">
        <w:rPr>
          <w:sz w:val="18"/>
          <w:szCs w:val="18"/>
          <w:lang w:val="en-GB"/>
        </w:rPr>
        <w:t>(</w:t>
      </w:r>
      <w:r w:rsidRPr="00D670B6">
        <w:rPr>
          <w:sz w:val="18"/>
          <w:szCs w:val="18"/>
          <w:lang w:val="en-GB"/>
        </w:rPr>
        <w:t>7319</w:t>
      </w:r>
      <w:r w:rsidR="001D1B2A" w:rsidRPr="00D670B6">
        <w:rPr>
          <w:sz w:val="18"/>
          <w:szCs w:val="18"/>
          <w:lang w:val="en-GB"/>
        </w:rPr>
        <w:t>):</w:t>
      </w:r>
      <w:r w:rsidRPr="00D670B6">
        <w:rPr>
          <w:sz w:val="18"/>
          <w:szCs w:val="18"/>
          <w:lang w:val="en-GB"/>
        </w:rPr>
        <w:t>1061</w:t>
      </w:r>
      <w:r w:rsidR="001D1B2A" w:rsidRPr="00D670B6">
        <w:rPr>
          <w:sz w:val="18"/>
          <w:szCs w:val="18"/>
          <w:lang w:val="en-GB"/>
        </w:rPr>
        <w:t>-</w:t>
      </w:r>
      <w:r w:rsidRPr="00D670B6">
        <w:rPr>
          <w:sz w:val="18"/>
          <w:szCs w:val="18"/>
          <w:lang w:val="en-GB"/>
        </w:rPr>
        <w:t>1073.</w:t>
      </w:r>
    </w:p>
    <w:p w14:paraId="7EF88813" w14:textId="14E97D03" w:rsidR="004B7009" w:rsidRPr="00D670B6" w:rsidRDefault="001D1B2A" w:rsidP="00D670B6">
      <w:pPr>
        <w:widowControl w:val="0"/>
        <w:autoSpaceDE w:val="0"/>
        <w:autoSpaceDN w:val="0"/>
        <w:adjustRightInd w:val="0"/>
        <w:spacing w:after="240" w:line="240" w:lineRule="auto"/>
        <w:ind w:left="640" w:hanging="640"/>
        <w:rPr>
          <w:rFonts w:ascii="Calibri" w:hAnsi="Calibri" w:cs="Times New Roman"/>
          <w:noProof/>
          <w:sz w:val="18"/>
          <w:szCs w:val="18"/>
          <w:lang w:val="en-GB"/>
        </w:rPr>
      </w:pPr>
      <w:r w:rsidRPr="00D721B6">
        <w:rPr>
          <w:rFonts w:ascii="Calibri" w:hAnsi="Calibri" w:cs="Times New Roman"/>
          <w:noProof/>
          <w:sz w:val="18"/>
          <w:szCs w:val="18"/>
          <w:lang w:val="en-US"/>
        </w:rPr>
        <w:t>[</w:t>
      </w:r>
      <w:r w:rsidR="00736383" w:rsidRPr="00D721B6">
        <w:rPr>
          <w:rFonts w:ascii="Calibri" w:hAnsi="Calibri" w:cs="Times New Roman"/>
          <w:noProof/>
          <w:sz w:val="18"/>
          <w:szCs w:val="18"/>
          <w:lang w:val="en-US"/>
        </w:rPr>
        <w:t>6</w:t>
      </w:r>
      <w:r w:rsidRPr="00D721B6">
        <w:rPr>
          <w:rFonts w:ascii="Calibri" w:hAnsi="Calibri" w:cs="Times New Roman"/>
          <w:noProof/>
          <w:sz w:val="18"/>
          <w:szCs w:val="18"/>
          <w:lang w:val="en-US"/>
        </w:rPr>
        <w:t>]</w:t>
      </w:r>
      <w:r w:rsidRPr="00D721B6">
        <w:rPr>
          <w:rFonts w:ascii="Calibri" w:hAnsi="Calibri" w:cs="Times New Roman"/>
          <w:noProof/>
          <w:sz w:val="18"/>
          <w:szCs w:val="18"/>
          <w:lang w:val="en-US"/>
        </w:rPr>
        <w:tab/>
      </w:r>
      <w:r w:rsidR="004B7009" w:rsidRPr="00D721B6">
        <w:rPr>
          <w:rFonts w:ascii="Calibri" w:hAnsi="Calibri" w:cs="Times New Roman"/>
          <w:noProof/>
          <w:sz w:val="18"/>
          <w:szCs w:val="18"/>
          <w:lang w:val="en-US"/>
        </w:rPr>
        <w:t>Tarasov A, Vilella A J, Cuppen E</w:t>
      </w:r>
      <w:r w:rsidRPr="00D721B6">
        <w:rPr>
          <w:rFonts w:ascii="Calibri" w:hAnsi="Calibri" w:cs="Times New Roman"/>
          <w:noProof/>
          <w:sz w:val="18"/>
          <w:szCs w:val="18"/>
          <w:lang w:val="en-US"/>
        </w:rPr>
        <w:t xml:space="preserve"> et al.</w:t>
      </w:r>
      <w:r w:rsidR="004B7009" w:rsidRPr="00D721B6">
        <w:rPr>
          <w:rFonts w:ascii="Calibri" w:hAnsi="Calibri" w:cs="Times New Roman"/>
          <w:noProof/>
          <w:sz w:val="18"/>
          <w:szCs w:val="18"/>
          <w:lang w:val="en-US"/>
        </w:rPr>
        <w:t xml:space="preserve"> </w:t>
      </w:r>
      <w:r w:rsidR="004B7009" w:rsidRPr="00D670B6">
        <w:rPr>
          <w:rFonts w:ascii="Calibri" w:hAnsi="Calibri" w:cs="Times New Roman"/>
          <w:noProof/>
          <w:sz w:val="18"/>
          <w:szCs w:val="18"/>
          <w:lang w:val="en-GB"/>
        </w:rPr>
        <w:t>Sambamba: Fast processing of NGS alignment formats.</w:t>
      </w:r>
      <w:r w:rsidRPr="00D670B6">
        <w:rPr>
          <w:rFonts w:ascii="Calibri" w:hAnsi="Calibri" w:cs="Times New Roman"/>
          <w:noProof/>
          <w:sz w:val="18"/>
          <w:szCs w:val="18"/>
          <w:lang w:val="en-GB"/>
        </w:rPr>
        <w:t xml:space="preserve"> </w:t>
      </w:r>
      <w:r w:rsidR="004B7009" w:rsidRPr="00D670B6">
        <w:rPr>
          <w:rFonts w:ascii="Calibri" w:hAnsi="Calibri" w:cs="Times New Roman"/>
          <w:i/>
          <w:iCs/>
          <w:noProof/>
          <w:sz w:val="18"/>
          <w:szCs w:val="18"/>
          <w:lang w:val="en-GB"/>
        </w:rPr>
        <w:t>Bioinformatics</w:t>
      </w:r>
      <w:r w:rsidR="004B7009" w:rsidRPr="00D670B6">
        <w:rPr>
          <w:rFonts w:ascii="Calibri" w:hAnsi="Calibri" w:cs="Times New Roman"/>
          <w:noProof/>
          <w:sz w:val="18"/>
          <w:szCs w:val="18"/>
          <w:lang w:val="en-GB"/>
        </w:rPr>
        <w:t xml:space="preserve"> </w:t>
      </w:r>
      <w:r w:rsidRPr="00D670B6">
        <w:rPr>
          <w:rFonts w:ascii="Calibri" w:hAnsi="Calibri" w:cs="Times New Roman"/>
          <w:noProof/>
          <w:sz w:val="18"/>
          <w:szCs w:val="18"/>
          <w:lang w:val="en-GB"/>
        </w:rPr>
        <w:t>2015;</w:t>
      </w:r>
      <w:r w:rsidR="004B7009" w:rsidRPr="00D670B6">
        <w:rPr>
          <w:rFonts w:ascii="Calibri" w:hAnsi="Calibri" w:cs="Times New Roman"/>
          <w:bCs/>
          <w:noProof/>
          <w:sz w:val="18"/>
          <w:szCs w:val="18"/>
          <w:lang w:val="en-GB"/>
        </w:rPr>
        <w:t>31</w:t>
      </w:r>
      <w:r w:rsidRPr="00D670B6">
        <w:rPr>
          <w:rFonts w:ascii="Calibri" w:hAnsi="Calibri" w:cs="Times New Roman"/>
          <w:b/>
          <w:bCs/>
          <w:noProof/>
          <w:sz w:val="18"/>
          <w:szCs w:val="18"/>
          <w:lang w:val="en-GB"/>
        </w:rPr>
        <w:t>:</w:t>
      </w:r>
      <w:r w:rsidR="004B7009" w:rsidRPr="00D670B6">
        <w:rPr>
          <w:rFonts w:ascii="Calibri" w:hAnsi="Calibri" w:cs="Times New Roman"/>
          <w:noProof/>
          <w:sz w:val="18"/>
          <w:szCs w:val="18"/>
          <w:lang w:val="en-GB"/>
        </w:rPr>
        <w:t>2032</w:t>
      </w:r>
      <w:r w:rsidRPr="00D670B6">
        <w:rPr>
          <w:rFonts w:ascii="Calibri" w:hAnsi="Calibri" w:cs="Times New Roman"/>
          <w:noProof/>
          <w:sz w:val="18"/>
          <w:szCs w:val="18"/>
          <w:lang w:val="en-GB"/>
        </w:rPr>
        <w:t>-</w:t>
      </w:r>
      <w:r w:rsidR="004B7009" w:rsidRPr="00D670B6">
        <w:rPr>
          <w:rFonts w:ascii="Calibri" w:hAnsi="Calibri" w:cs="Times New Roman"/>
          <w:noProof/>
          <w:sz w:val="18"/>
          <w:szCs w:val="18"/>
          <w:lang w:val="en-GB"/>
        </w:rPr>
        <w:t>2034.</w:t>
      </w:r>
    </w:p>
    <w:p w14:paraId="5BF91DC9" w14:textId="760372FC" w:rsidR="004B7009" w:rsidRPr="00D670B6" w:rsidRDefault="001D1B2A" w:rsidP="00D670B6">
      <w:pPr>
        <w:spacing w:line="240" w:lineRule="auto"/>
        <w:ind w:left="640" w:hanging="640"/>
        <w:rPr>
          <w:sz w:val="18"/>
          <w:szCs w:val="18"/>
          <w:lang w:val="en-GB"/>
        </w:rPr>
      </w:pPr>
      <w:r w:rsidRPr="00A61B70">
        <w:rPr>
          <w:sz w:val="18"/>
          <w:szCs w:val="18"/>
        </w:rPr>
        <w:t>[</w:t>
      </w:r>
      <w:r w:rsidR="00736383">
        <w:rPr>
          <w:sz w:val="18"/>
          <w:szCs w:val="18"/>
        </w:rPr>
        <w:t>7</w:t>
      </w:r>
      <w:r w:rsidRPr="00A61B70">
        <w:rPr>
          <w:sz w:val="18"/>
          <w:szCs w:val="18"/>
        </w:rPr>
        <w:t>]</w:t>
      </w:r>
      <w:r w:rsidRPr="00A61B70">
        <w:rPr>
          <w:sz w:val="18"/>
          <w:szCs w:val="18"/>
        </w:rPr>
        <w:tab/>
      </w:r>
      <w:r w:rsidR="008F2361" w:rsidRPr="00A61B70">
        <w:rPr>
          <w:sz w:val="18"/>
          <w:szCs w:val="18"/>
        </w:rPr>
        <w:t>Byelas H, Dijkstra M, Neerincx P,</w:t>
      </w:r>
      <w:r w:rsidRPr="00A61B70">
        <w:rPr>
          <w:sz w:val="18"/>
          <w:szCs w:val="18"/>
        </w:rPr>
        <w:t xml:space="preserve"> et al.</w:t>
      </w:r>
      <w:r w:rsidR="008F2361" w:rsidRPr="00A61B70">
        <w:rPr>
          <w:sz w:val="18"/>
          <w:szCs w:val="18"/>
        </w:rPr>
        <w:t xml:space="preserve"> </w:t>
      </w:r>
      <w:r w:rsidR="008F2361" w:rsidRPr="00D670B6">
        <w:rPr>
          <w:sz w:val="18"/>
          <w:szCs w:val="18"/>
          <w:lang w:val="en-GB"/>
        </w:rPr>
        <w:t xml:space="preserve">Scaling bio-analyses from computational clusters to grids. </w:t>
      </w:r>
      <w:r w:rsidR="008F2361" w:rsidRPr="00D670B6">
        <w:rPr>
          <w:i/>
          <w:sz w:val="18"/>
          <w:szCs w:val="18"/>
          <w:lang w:val="en-GB"/>
        </w:rPr>
        <w:t>Proceedings of the 5th International Workshop on Science Gateways, Zurich, Switzerland</w:t>
      </w:r>
      <w:r w:rsidRPr="00D670B6">
        <w:rPr>
          <w:i/>
          <w:sz w:val="18"/>
          <w:szCs w:val="18"/>
          <w:lang w:val="en-GB"/>
        </w:rPr>
        <w:t xml:space="preserve">. </w:t>
      </w:r>
      <w:r w:rsidRPr="00D670B6">
        <w:rPr>
          <w:sz w:val="18"/>
          <w:szCs w:val="18"/>
          <w:lang w:val="en-GB"/>
        </w:rPr>
        <w:t>2013.</w:t>
      </w:r>
    </w:p>
    <w:p w14:paraId="3CE10BFA" w14:textId="483CC6FB" w:rsidR="008F2361" w:rsidRPr="00D670B6" w:rsidRDefault="001D1B2A" w:rsidP="00D670B6">
      <w:pPr>
        <w:spacing w:line="240" w:lineRule="auto"/>
        <w:ind w:left="640" w:hanging="640"/>
        <w:rPr>
          <w:sz w:val="18"/>
          <w:szCs w:val="18"/>
        </w:rPr>
      </w:pPr>
      <w:r w:rsidRPr="00D670B6">
        <w:rPr>
          <w:sz w:val="18"/>
          <w:szCs w:val="18"/>
          <w:lang w:val="en-GB"/>
        </w:rPr>
        <w:t>[</w:t>
      </w:r>
      <w:r w:rsidR="00736383">
        <w:rPr>
          <w:sz w:val="18"/>
          <w:szCs w:val="18"/>
          <w:lang w:val="en-GB"/>
        </w:rPr>
        <w:t>8</w:t>
      </w:r>
      <w:r w:rsidRPr="00D670B6">
        <w:rPr>
          <w:sz w:val="18"/>
          <w:szCs w:val="18"/>
          <w:lang w:val="en-GB"/>
        </w:rPr>
        <w:t>]</w:t>
      </w:r>
      <w:r w:rsidRPr="00D670B6">
        <w:rPr>
          <w:sz w:val="18"/>
          <w:szCs w:val="18"/>
          <w:lang w:val="en-GB"/>
        </w:rPr>
        <w:tab/>
      </w:r>
      <w:r w:rsidR="008F2361" w:rsidRPr="00D670B6">
        <w:rPr>
          <w:sz w:val="18"/>
          <w:szCs w:val="18"/>
          <w:lang w:val="en-GB"/>
        </w:rPr>
        <w:t>Li H, Handsaker</w:t>
      </w:r>
      <w:r w:rsidR="00344951">
        <w:rPr>
          <w:sz w:val="18"/>
          <w:szCs w:val="18"/>
          <w:lang w:val="en-GB"/>
        </w:rPr>
        <w:t xml:space="preserve"> </w:t>
      </w:r>
      <w:r w:rsidR="008F2361" w:rsidRPr="00D670B6">
        <w:rPr>
          <w:sz w:val="18"/>
          <w:szCs w:val="18"/>
          <w:lang w:val="en-GB"/>
        </w:rPr>
        <w:t>B,</w:t>
      </w:r>
      <w:r w:rsidRPr="00D670B6">
        <w:rPr>
          <w:sz w:val="18"/>
          <w:szCs w:val="18"/>
          <w:lang w:val="en-GB"/>
        </w:rPr>
        <w:t xml:space="preserve"> </w:t>
      </w:r>
      <w:r w:rsidR="008F2361" w:rsidRPr="00D670B6">
        <w:rPr>
          <w:sz w:val="18"/>
          <w:szCs w:val="18"/>
          <w:lang w:val="en-GB"/>
        </w:rPr>
        <w:t xml:space="preserve">Wysoker A, </w:t>
      </w:r>
      <w:r w:rsidRPr="00D670B6">
        <w:rPr>
          <w:sz w:val="18"/>
          <w:szCs w:val="18"/>
          <w:lang w:val="en-GB"/>
        </w:rPr>
        <w:t>et al.</w:t>
      </w:r>
      <w:r w:rsidR="008F2361" w:rsidRPr="00D670B6">
        <w:rPr>
          <w:sz w:val="18"/>
          <w:szCs w:val="18"/>
          <w:lang w:val="en-GB"/>
        </w:rPr>
        <w:t xml:space="preserve"> The sequence alignment/map format and SAMtools. </w:t>
      </w:r>
      <w:r w:rsidR="008F2361" w:rsidRPr="00D670B6">
        <w:rPr>
          <w:i/>
          <w:sz w:val="18"/>
          <w:szCs w:val="18"/>
        </w:rPr>
        <w:t>Bioinformatics</w:t>
      </w:r>
      <w:r w:rsidRPr="00D670B6">
        <w:rPr>
          <w:sz w:val="18"/>
          <w:szCs w:val="18"/>
        </w:rPr>
        <w:t>. 2009;</w:t>
      </w:r>
      <w:r w:rsidR="008F2361" w:rsidRPr="00D670B6">
        <w:rPr>
          <w:sz w:val="18"/>
          <w:szCs w:val="18"/>
        </w:rPr>
        <w:t>25:2078</w:t>
      </w:r>
      <w:r w:rsidRPr="00D670B6">
        <w:rPr>
          <w:sz w:val="18"/>
          <w:szCs w:val="18"/>
        </w:rPr>
        <w:t>-</w:t>
      </w:r>
      <w:r w:rsidR="008F2361" w:rsidRPr="00D670B6">
        <w:rPr>
          <w:sz w:val="18"/>
          <w:szCs w:val="18"/>
        </w:rPr>
        <w:t>2079</w:t>
      </w:r>
    </w:p>
    <w:p w14:paraId="21235CA8" w14:textId="4ACCDF06" w:rsidR="008F2361" w:rsidRPr="00D670B6" w:rsidRDefault="008F2361" w:rsidP="00D670B6">
      <w:pPr>
        <w:widowControl w:val="0"/>
        <w:autoSpaceDE w:val="0"/>
        <w:autoSpaceDN w:val="0"/>
        <w:adjustRightInd w:val="0"/>
        <w:spacing w:after="240" w:line="240" w:lineRule="auto"/>
        <w:ind w:left="640" w:hanging="640"/>
        <w:rPr>
          <w:rFonts w:ascii="Calibri" w:hAnsi="Calibri" w:cs="Times New Roman"/>
          <w:noProof/>
          <w:sz w:val="18"/>
          <w:szCs w:val="18"/>
          <w:lang w:val="fr-FR"/>
        </w:rPr>
      </w:pPr>
      <w:r w:rsidRPr="00D670B6">
        <w:rPr>
          <w:rFonts w:ascii="Calibri" w:hAnsi="Calibri" w:cs="Times New Roman"/>
          <w:noProof/>
          <w:sz w:val="18"/>
          <w:szCs w:val="18"/>
        </w:rPr>
        <w:t>[</w:t>
      </w:r>
      <w:r w:rsidR="00736383">
        <w:rPr>
          <w:rFonts w:ascii="Calibri" w:hAnsi="Calibri" w:cs="Times New Roman"/>
          <w:noProof/>
          <w:sz w:val="18"/>
          <w:szCs w:val="18"/>
        </w:rPr>
        <w:t>9</w:t>
      </w:r>
      <w:r w:rsidRPr="00D670B6">
        <w:rPr>
          <w:rFonts w:ascii="Calibri" w:hAnsi="Calibri" w:cs="Times New Roman"/>
          <w:noProof/>
          <w:sz w:val="18"/>
          <w:szCs w:val="18"/>
        </w:rPr>
        <w:t>]</w:t>
      </w:r>
      <w:r w:rsidRPr="00D670B6">
        <w:rPr>
          <w:rFonts w:ascii="Calibri" w:hAnsi="Calibri" w:cs="Times New Roman"/>
          <w:noProof/>
          <w:sz w:val="18"/>
          <w:szCs w:val="18"/>
        </w:rPr>
        <w:tab/>
        <w:t xml:space="preserve">Johansson LF, van Dijk F, de Boer EN, </w:t>
      </w:r>
      <w:r w:rsidRPr="00D670B6">
        <w:rPr>
          <w:rFonts w:ascii="Calibri" w:hAnsi="Calibri" w:cs="Times New Roman"/>
          <w:iCs/>
          <w:noProof/>
          <w:sz w:val="18"/>
          <w:szCs w:val="18"/>
        </w:rPr>
        <w:t>et al</w:t>
      </w:r>
      <w:r w:rsidRPr="00D670B6">
        <w:rPr>
          <w:rFonts w:ascii="Calibri" w:hAnsi="Calibri" w:cs="Times New Roman"/>
          <w:i/>
          <w:iCs/>
          <w:noProof/>
          <w:sz w:val="18"/>
          <w:szCs w:val="18"/>
        </w:rPr>
        <w:t>.</w:t>
      </w:r>
      <w:r w:rsidRPr="00D670B6">
        <w:rPr>
          <w:rFonts w:ascii="Calibri" w:hAnsi="Calibri" w:cs="Times New Roman"/>
          <w:noProof/>
          <w:sz w:val="18"/>
          <w:szCs w:val="18"/>
        </w:rPr>
        <w:t xml:space="preserve"> </w:t>
      </w:r>
      <w:r w:rsidRPr="00D670B6">
        <w:rPr>
          <w:rFonts w:ascii="Calibri" w:hAnsi="Calibri" w:cs="Times New Roman"/>
          <w:noProof/>
          <w:sz w:val="18"/>
          <w:szCs w:val="18"/>
          <w:lang w:val="en-GB"/>
        </w:rPr>
        <w:t xml:space="preserve">CoNVaDING: Single Exon Variation Detection in Targeted NGS Data. </w:t>
      </w:r>
      <w:r w:rsidRPr="00D670B6">
        <w:rPr>
          <w:rFonts w:ascii="Calibri" w:hAnsi="Calibri" w:cs="Times New Roman"/>
          <w:i/>
          <w:iCs/>
          <w:noProof/>
          <w:sz w:val="18"/>
          <w:szCs w:val="18"/>
          <w:lang w:val="fr-FR"/>
        </w:rPr>
        <w:t>Hum Mutat</w:t>
      </w:r>
      <w:r w:rsidRPr="00D670B6">
        <w:rPr>
          <w:rFonts w:ascii="Calibri" w:hAnsi="Calibri" w:cs="Times New Roman"/>
          <w:iCs/>
          <w:noProof/>
          <w:sz w:val="18"/>
          <w:szCs w:val="18"/>
          <w:lang w:val="fr-FR"/>
        </w:rPr>
        <w:t>. 2016;</w:t>
      </w:r>
      <w:r w:rsidRPr="00D670B6">
        <w:rPr>
          <w:rFonts w:ascii="Calibri" w:hAnsi="Calibri" w:cs="Times New Roman"/>
          <w:bCs/>
          <w:noProof/>
          <w:sz w:val="18"/>
          <w:szCs w:val="18"/>
          <w:lang w:val="fr-FR"/>
        </w:rPr>
        <w:t>37</w:t>
      </w:r>
      <w:r w:rsidRPr="00D670B6">
        <w:rPr>
          <w:rFonts w:ascii="Calibri" w:hAnsi="Calibri" w:cs="Times New Roman"/>
          <w:b/>
          <w:bCs/>
          <w:noProof/>
          <w:sz w:val="18"/>
          <w:szCs w:val="18"/>
          <w:lang w:val="fr-FR"/>
        </w:rPr>
        <w:t>:</w:t>
      </w:r>
      <w:r w:rsidRPr="00D670B6">
        <w:rPr>
          <w:rFonts w:ascii="Calibri" w:hAnsi="Calibri" w:cs="Times New Roman"/>
          <w:noProof/>
          <w:sz w:val="18"/>
          <w:szCs w:val="18"/>
          <w:lang w:val="fr-FR"/>
        </w:rPr>
        <w:t>457–464.</w:t>
      </w:r>
    </w:p>
    <w:p w14:paraId="64A662FC" w14:textId="239622A4" w:rsidR="008F2361" w:rsidRPr="00D670B6" w:rsidRDefault="008F2361" w:rsidP="00D670B6">
      <w:pPr>
        <w:widowControl w:val="0"/>
        <w:autoSpaceDE w:val="0"/>
        <w:autoSpaceDN w:val="0"/>
        <w:adjustRightInd w:val="0"/>
        <w:spacing w:after="240" w:line="240" w:lineRule="auto"/>
        <w:ind w:left="640" w:hanging="640"/>
        <w:rPr>
          <w:rFonts w:ascii="Calibri" w:hAnsi="Calibri" w:cs="Times New Roman"/>
          <w:noProof/>
          <w:sz w:val="18"/>
          <w:szCs w:val="18"/>
          <w:lang w:val="en-GB"/>
        </w:rPr>
      </w:pPr>
      <w:r w:rsidRPr="00D670B6">
        <w:rPr>
          <w:rFonts w:ascii="Calibri" w:hAnsi="Calibri" w:cs="Times New Roman"/>
          <w:noProof/>
          <w:sz w:val="18"/>
          <w:szCs w:val="18"/>
          <w:lang w:val="fr-FR"/>
        </w:rPr>
        <w:t>[</w:t>
      </w:r>
      <w:r w:rsidR="00736383">
        <w:rPr>
          <w:rFonts w:ascii="Calibri" w:hAnsi="Calibri" w:cs="Times New Roman"/>
          <w:noProof/>
          <w:sz w:val="18"/>
          <w:szCs w:val="18"/>
          <w:lang w:val="fr-FR"/>
        </w:rPr>
        <w:t>10</w:t>
      </w:r>
      <w:r w:rsidRPr="00D670B6">
        <w:rPr>
          <w:rFonts w:ascii="Calibri" w:hAnsi="Calibri" w:cs="Times New Roman"/>
          <w:noProof/>
          <w:sz w:val="18"/>
          <w:szCs w:val="18"/>
          <w:lang w:val="fr-FR"/>
        </w:rPr>
        <w:t>]</w:t>
      </w:r>
      <w:r w:rsidRPr="00D670B6">
        <w:rPr>
          <w:rFonts w:ascii="Calibri" w:hAnsi="Calibri" w:cs="Times New Roman"/>
          <w:noProof/>
          <w:sz w:val="18"/>
          <w:szCs w:val="18"/>
          <w:lang w:val="fr-FR"/>
        </w:rPr>
        <w:tab/>
        <w:t xml:space="preserve">Fromer M, Moran JL, Chambert K, </w:t>
      </w:r>
      <w:r w:rsidRPr="00D670B6">
        <w:rPr>
          <w:rFonts w:ascii="Calibri" w:hAnsi="Calibri" w:cs="Times New Roman"/>
          <w:iCs/>
          <w:noProof/>
          <w:sz w:val="18"/>
          <w:szCs w:val="18"/>
          <w:lang w:val="fr-FR"/>
        </w:rPr>
        <w:t>et al.</w:t>
      </w:r>
      <w:r w:rsidRPr="00D670B6">
        <w:rPr>
          <w:rFonts w:ascii="Calibri" w:hAnsi="Calibri" w:cs="Times New Roman"/>
          <w:noProof/>
          <w:sz w:val="18"/>
          <w:szCs w:val="18"/>
          <w:lang w:val="fr-FR"/>
        </w:rPr>
        <w:t xml:space="preserve"> </w:t>
      </w:r>
      <w:r w:rsidRPr="00D670B6">
        <w:rPr>
          <w:rFonts w:ascii="Calibri" w:hAnsi="Calibri" w:cs="Times New Roman"/>
          <w:noProof/>
          <w:sz w:val="18"/>
          <w:szCs w:val="18"/>
          <w:lang w:val="en-GB"/>
        </w:rPr>
        <w:t xml:space="preserve">Discovery and statistical genotyping of copy-number variation from whole-exome sequencing depth. </w:t>
      </w:r>
      <w:r w:rsidRPr="00D670B6">
        <w:rPr>
          <w:rFonts w:ascii="Calibri" w:hAnsi="Calibri" w:cs="Times New Roman"/>
          <w:i/>
          <w:iCs/>
          <w:noProof/>
          <w:sz w:val="18"/>
          <w:szCs w:val="18"/>
          <w:lang w:val="en-GB"/>
        </w:rPr>
        <w:t>Am . Hum Genet</w:t>
      </w:r>
      <w:r w:rsidRPr="00D670B6">
        <w:rPr>
          <w:rFonts w:ascii="Calibri" w:hAnsi="Calibri" w:cs="Times New Roman"/>
          <w:iCs/>
          <w:noProof/>
          <w:sz w:val="18"/>
          <w:szCs w:val="18"/>
          <w:lang w:val="en-GB"/>
        </w:rPr>
        <w:t>. 2012;91:</w:t>
      </w:r>
      <w:r w:rsidRPr="00D670B6">
        <w:rPr>
          <w:rFonts w:ascii="Calibri" w:hAnsi="Calibri" w:cs="Times New Roman"/>
          <w:noProof/>
          <w:sz w:val="18"/>
          <w:szCs w:val="18"/>
          <w:lang w:val="en-GB"/>
        </w:rPr>
        <w:t>597–607.</w:t>
      </w:r>
    </w:p>
    <w:p w14:paraId="2197DB66" w14:textId="74BEA70D" w:rsidR="00E7624E" w:rsidRPr="009D19FF" w:rsidRDefault="00E7624E" w:rsidP="00D670B6">
      <w:pPr>
        <w:widowControl w:val="0"/>
        <w:autoSpaceDE w:val="0"/>
        <w:autoSpaceDN w:val="0"/>
        <w:adjustRightInd w:val="0"/>
        <w:spacing w:after="240" w:line="240" w:lineRule="auto"/>
        <w:ind w:left="640" w:hanging="640"/>
        <w:rPr>
          <w:rFonts w:ascii="Calibri" w:hAnsi="Calibri" w:cs="Times New Roman"/>
          <w:noProof/>
          <w:sz w:val="18"/>
          <w:szCs w:val="18"/>
        </w:rPr>
      </w:pPr>
      <w:r w:rsidRPr="00D670B6">
        <w:rPr>
          <w:rFonts w:ascii="Calibri" w:hAnsi="Calibri" w:cs="Times New Roman"/>
          <w:noProof/>
          <w:sz w:val="18"/>
          <w:szCs w:val="18"/>
          <w:lang w:val="en-GB"/>
        </w:rPr>
        <w:t>[</w:t>
      </w:r>
      <w:r w:rsidR="00736383">
        <w:rPr>
          <w:rFonts w:ascii="Calibri" w:hAnsi="Calibri" w:cs="Times New Roman"/>
          <w:noProof/>
          <w:sz w:val="18"/>
          <w:szCs w:val="18"/>
          <w:lang w:val="en-GB"/>
        </w:rPr>
        <w:t>11</w:t>
      </w:r>
      <w:r w:rsidRPr="00D670B6">
        <w:rPr>
          <w:rFonts w:ascii="Calibri" w:hAnsi="Calibri" w:cs="Times New Roman"/>
          <w:noProof/>
          <w:sz w:val="18"/>
          <w:szCs w:val="18"/>
          <w:lang w:val="en-GB"/>
        </w:rPr>
        <w:t xml:space="preserve">] </w:t>
      </w:r>
      <w:r w:rsidRPr="00D670B6">
        <w:rPr>
          <w:rFonts w:ascii="Calibri" w:hAnsi="Calibri" w:cs="Times New Roman"/>
          <w:noProof/>
          <w:sz w:val="18"/>
          <w:szCs w:val="18"/>
          <w:lang w:val="en-GB"/>
        </w:rPr>
        <w:tab/>
        <w:t xml:space="preserve">The Genome of the Netherlands Consortium. Whole-genome sequence variation, population structure and demographic history of the Dutch population. </w:t>
      </w:r>
      <w:r w:rsidRPr="009D19FF">
        <w:rPr>
          <w:rFonts w:ascii="Calibri" w:hAnsi="Calibri" w:cs="Times New Roman"/>
          <w:i/>
          <w:iCs/>
          <w:noProof/>
          <w:sz w:val="18"/>
          <w:szCs w:val="18"/>
        </w:rPr>
        <w:t>Nat Genet</w:t>
      </w:r>
      <w:r w:rsidRPr="009D19FF">
        <w:rPr>
          <w:rFonts w:ascii="Calibri" w:hAnsi="Calibri" w:cs="Times New Roman"/>
          <w:iCs/>
          <w:noProof/>
          <w:sz w:val="18"/>
          <w:szCs w:val="18"/>
        </w:rPr>
        <w:t>. 2014;46</w:t>
      </w:r>
      <w:r w:rsidRPr="009D19FF">
        <w:rPr>
          <w:rFonts w:ascii="Calibri" w:hAnsi="Calibri" w:cs="Times New Roman"/>
          <w:b/>
          <w:bCs/>
          <w:noProof/>
          <w:sz w:val="18"/>
          <w:szCs w:val="18"/>
        </w:rPr>
        <w:t>:</w:t>
      </w:r>
      <w:r w:rsidRPr="009D19FF">
        <w:rPr>
          <w:rFonts w:ascii="Calibri" w:hAnsi="Calibri" w:cs="Times New Roman"/>
          <w:noProof/>
          <w:sz w:val="18"/>
          <w:szCs w:val="18"/>
        </w:rPr>
        <w:t>818-825.</w:t>
      </w:r>
    </w:p>
    <w:p w14:paraId="4FE70F3A" w14:textId="573CB8A2" w:rsidR="00E7624E" w:rsidRPr="00D52F95" w:rsidRDefault="00E7624E" w:rsidP="00D670B6">
      <w:pPr>
        <w:widowControl w:val="0"/>
        <w:autoSpaceDE w:val="0"/>
        <w:autoSpaceDN w:val="0"/>
        <w:adjustRightInd w:val="0"/>
        <w:spacing w:after="240" w:line="240" w:lineRule="auto"/>
        <w:ind w:left="640" w:hanging="640"/>
        <w:rPr>
          <w:rFonts w:ascii="Calibri" w:hAnsi="Calibri" w:cs="Times New Roman"/>
          <w:noProof/>
          <w:sz w:val="18"/>
          <w:szCs w:val="18"/>
          <w:lang w:val="fr-FR"/>
        </w:rPr>
      </w:pPr>
      <w:r w:rsidRPr="00D670B6">
        <w:rPr>
          <w:rFonts w:ascii="Calibri" w:hAnsi="Calibri" w:cs="Times New Roman"/>
          <w:noProof/>
          <w:sz w:val="18"/>
          <w:szCs w:val="18"/>
        </w:rPr>
        <w:t>[</w:t>
      </w:r>
      <w:r w:rsidR="00736383">
        <w:rPr>
          <w:rFonts w:ascii="Calibri" w:hAnsi="Calibri" w:cs="Times New Roman"/>
          <w:noProof/>
          <w:sz w:val="18"/>
          <w:szCs w:val="18"/>
        </w:rPr>
        <w:t>12</w:t>
      </w:r>
      <w:r w:rsidRPr="00D670B6">
        <w:rPr>
          <w:rFonts w:ascii="Calibri" w:hAnsi="Calibri" w:cs="Times New Roman"/>
          <w:noProof/>
          <w:sz w:val="18"/>
          <w:szCs w:val="18"/>
        </w:rPr>
        <w:t xml:space="preserve">] </w:t>
      </w:r>
      <w:r w:rsidRPr="00D670B6">
        <w:rPr>
          <w:rFonts w:ascii="Calibri" w:hAnsi="Calibri" w:cs="Times New Roman"/>
          <w:noProof/>
          <w:sz w:val="18"/>
          <w:szCs w:val="18"/>
        </w:rPr>
        <w:tab/>
        <w:t xml:space="preserve">Kloosterman WP, Francioli LC, Hormozdiari F, </w:t>
      </w:r>
      <w:r w:rsidRPr="00D670B6">
        <w:rPr>
          <w:rFonts w:ascii="Calibri" w:hAnsi="Calibri" w:cs="Times New Roman"/>
          <w:i/>
          <w:iCs/>
          <w:noProof/>
          <w:sz w:val="18"/>
          <w:szCs w:val="18"/>
        </w:rPr>
        <w:t>et al.</w:t>
      </w:r>
      <w:r w:rsidRPr="00D670B6">
        <w:rPr>
          <w:rFonts w:ascii="Calibri" w:hAnsi="Calibri" w:cs="Times New Roman"/>
          <w:noProof/>
          <w:sz w:val="18"/>
          <w:szCs w:val="18"/>
        </w:rPr>
        <w:t xml:space="preserve"> </w:t>
      </w:r>
      <w:r w:rsidRPr="00D670B6">
        <w:rPr>
          <w:rFonts w:ascii="Calibri" w:hAnsi="Calibri" w:cs="Times New Roman"/>
          <w:noProof/>
          <w:sz w:val="18"/>
          <w:szCs w:val="18"/>
          <w:lang w:val="en-GB"/>
        </w:rPr>
        <w:t xml:space="preserve">Characteristics of de novo structural changes in the human genome. </w:t>
      </w:r>
      <w:r w:rsidRPr="00D52F95">
        <w:rPr>
          <w:rFonts w:ascii="Calibri" w:hAnsi="Calibri" w:cs="Times New Roman"/>
          <w:i/>
          <w:iCs/>
          <w:noProof/>
          <w:sz w:val="18"/>
          <w:szCs w:val="18"/>
          <w:lang w:val="fr-FR"/>
        </w:rPr>
        <w:t>Genome Res.</w:t>
      </w:r>
      <w:r w:rsidRPr="00D52F95">
        <w:rPr>
          <w:rFonts w:ascii="Calibri" w:hAnsi="Calibri" w:cs="Times New Roman"/>
          <w:noProof/>
          <w:sz w:val="18"/>
          <w:szCs w:val="18"/>
          <w:lang w:val="fr-FR"/>
        </w:rPr>
        <w:t xml:space="preserve"> </w:t>
      </w:r>
      <w:r w:rsidRPr="00D52F95">
        <w:rPr>
          <w:rFonts w:ascii="Calibri" w:hAnsi="Calibri" w:cs="Times New Roman"/>
          <w:b/>
          <w:bCs/>
          <w:noProof/>
          <w:sz w:val="18"/>
          <w:szCs w:val="18"/>
          <w:lang w:val="fr-FR"/>
        </w:rPr>
        <w:t>25,</w:t>
      </w:r>
      <w:r w:rsidRPr="00D52F95">
        <w:rPr>
          <w:rFonts w:ascii="Calibri" w:hAnsi="Calibri" w:cs="Times New Roman"/>
          <w:noProof/>
          <w:sz w:val="18"/>
          <w:szCs w:val="18"/>
          <w:lang w:val="fr-FR"/>
        </w:rPr>
        <w:t xml:space="preserve"> 792–801 (2015).</w:t>
      </w:r>
    </w:p>
    <w:p w14:paraId="6E40161C" w14:textId="17FC0C8A" w:rsidR="00E7624E" w:rsidRPr="00D721B6" w:rsidRDefault="00E7624E" w:rsidP="00D670B6">
      <w:pPr>
        <w:widowControl w:val="0"/>
        <w:autoSpaceDE w:val="0"/>
        <w:autoSpaceDN w:val="0"/>
        <w:adjustRightInd w:val="0"/>
        <w:spacing w:after="240" w:line="240" w:lineRule="auto"/>
        <w:ind w:left="640" w:hanging="640"/>
        <w:rPr>
          <w:rFonts w:ascii="Calibri" w:hAnsi="Calibri" w:cs="Times New Roman"/>
          <w:noProof/>
          <w:sz w:val="18"/>
          <w:szCs w:val="18"/>
          <w:lang w:val="en-US"/>
        </w:rPr>
      </w:pPr>
      <w:r w:rsidRPr="00D670B6">
        <w:rPr>
          <w:rFonts w:ascii="Calibri" w:hAnsi="Calibri" w:cs="Times New Roman"/>
          <w:noProof/>
          <w:sz w:val="18"/>
          <w:szCs w:val="18"/>
          <w:lang w:val="fr-FR"/>
        </w:rPr>
        <w:t>[1</w:t>
      </w:r>
      <w:r w:rsidR="00736383">
        <w:rPr>
          <w:rFonts w:ascii="Calibri" w:hAnsi="Calibri" w:cs="Times New Roman"/>
          <w:noProof/>
          <w:sz w:val="18"/>
          <w:szCs w:val="18"/>
          <w:lang w:val="fr-FR"/>
        </w:rPr>
        <w:t>3</w:t>
      </w:r>
      <w:r w:rsidRPr="00D670B6">
        <w:rPr>
          <w:rFonts w:ascii="Calibri" w:hAnsi="Calibri" w:cs="Times New Roman"/>
          <w:noProof/>
          <w:sz w:val="18"/>
          <w:szCs w:val="18"/>
          <w:lang w:val="fr-FR"/>
        </w:rPr>
        <w:t xml:space="preserve">]  </w:t>
      </w:r>
      <w:r w:rsidR="00D670B6">
        <w:rPr>
          <w:rFonts w:ascii="Calibri" w:hAnsi="Calibri" w:cs="Times New Roman"/>
          <w:noProof/>
          <w:sz w:val="18"/>
          <w:szCs w:val="18"/>
          <w:lang w:val="fr-FR"/>
        </w:rPr>
        <w:tab/>
      </w:r>
      <w:r w:rsidRPr="00D670B6">
        <w:rPr>
          <w:rFonts w:ascii="Calibri" w:hAnsi="Calibri" w:cs="Times New Roman"/>
          <w:noProof/>
          <w:sz w:val="18"/>
          <w:szCs w:val="18"/>
          <w:lang w:val="fr-FR"/>
        </w:rPr>
        <w:t xml:space="preserve">Francioli LC, Polak, PP, Koren A, </w:t>
      </w:r>
      <w:r w:rsidRPr="00D670B6">
        <w:rPr>
          <w:rFonts w:ascii="Calibri" w:hAnsi="Calibri" w:cs="Times New Roman"/>
          <w:i/>
          <w:iCs/>
          <w:noProof/>
          <w:sz w:val="18"/>
          <w:szCs w:val="18"/>
          <w:lang w:val="fr-FR"/>
        </w:rPr>
        <w:t>et al.</w:t>
      </w:r>
      <w:r w:rsidRPr="00D670B6">
        <w:rPr>
          <w:rFonts w:ascii="Calibri" w:hAnsi="Calibri" w:cs="Times New Roman"/>
          <w:noProof/>
          <w:sz w:val="18"/>
          <w:szCs w:val="18"/>
          <w:lang w:val="fr-FR"/>
        </w:rPr>
        <w:t xml:space="preserve"> </w:t>
      </w:r>
      <w:r w:rsidRPr="00D670B6">
        <w:rPr>
          <w:rFonts w:ascii="Calibri" w:hAnsi="Calibri" w:cs="Times New Roman"/>
          <w:noProof/>
          <w:sz w:val="18"/>
          <w:szCs w:val="18"/>
          <w:lang w:val="en-GB"/>
        </w:rPr>
        <w:t xml:space="preserve">Genome-wide patterns and properties of de novo mutations in humans. </w:t>
      </w:r>
      <w:r w:rsidRPr="00D721B6">
        <w:rPr>
          <w:rFonts w:ascii="Calibri" w:hAnsi="Calibri" w:cs="Times New Roman"/>
          <w:i/>
          <w:iCs/>
          <w:noProof/>
          <w:sz w:val="18"/>
          <w:szCs w:val="18"/>
          <w:lang w:val="en-US"/>
        </w:rPr>
        <w:t>Nat. Genet.</w:t>
      </w:r>
      <w:r w:rsidRPr="00D721B6">
        <w:rPr>
          <w:rFonts w:ascii="Calibri" w:hAnsi="Calibri" w:cs="Times New Roman"/>
          <w:noProof/>
          <w:sz w:val="18"/>
          <w:szCs w:val="18"/>
          <w:lang w:val="en-US"/>
        </w:rPr>
        <w:t xml:space="preserve"> </w:t>
      </w:r>
      <w:r w:rsidRPr="00D721B6">
        <w:rPr>
          <w:rFonts w:ascii="Calibri" w:hAnsi="Calibri" w:cs="Times New Roman"/>
          <w:b/>
          <w:bCs/>
          <w:noProof/>
          <w:sz w:val="18"/>
          <w:szCs w:val="18"/>
          <w:lang w:val="en-US"/>
        </w:rPr>
        <w:t>47,</w:t>
      </w:r>
      <w:r w:rsidRPr="00D721B6">
        <w:rPr>
          <w:rFonts w:ascii="Calibri" w:hAnsi="Calibri" w:cs="Times New Roman"/>
          <w:noProof/>
          <w:sz w:val="18"/>
          <w:szCs w:val="18"/>
          <w:lang w:val="en-US"/>
        </w:rPr>
        <w:t xml:space="preserve"> 822–826 (2015).</w:t>
      </w:r>
    </w:p>
    <w:p w14:paraId="594AAEDE" w14:textId="4BEF03F3" w:rsidR="008F2361" w:rsidRPr="00D670B6" w:rsidRDefault="00736383" w:rsidP="00D670B6">
      <w:pPr>
        <w:spacing w:line="240" w:lineRule="auto"/>
        <w:ind w:left="640" w:hanging="640"/>
        <w:rPr>
          <w:sz w:val="18"/>
          <w:szCs w:val="18"/>
          <w:lang w:val="en-GB"/>
        </w:rPr>
      </w:pPr>
      <w:r w:rsidRPr="00D670B6">
        <w:rPr>
          <w:sz w:val="18"/>
          <w:szCs w:val="18"/>
          <w:lang w:val="en-GB"/>
        </w:rPr>
        <w:t xml:space="preserve"> </w:t>
      </w:r>
      <w:r w:rsidR="00E7624E" w:rsidRPr="00D670B6">
        <w:rPr>
          <w:sz w:val="18"/>
          <w:szCs w:val="18"/>
          <w:lang w:val="en-GB"/>
        </w:rPr>
        <w:t>[14]</w:t>
      </w:r>
      <w:r w:rsidR="00E7624E" w:rsidRPr="00D670B6">
        <w:rPr>
          <w:sz w:val="18"/>
          <w:szCs w:val="18"/>
          <w:lang w:val="en-GB"/>
        </w:rPr>
        <w:tab/>
        <w:t xml:space="preserve">Rivas MA, Avia BE, Koskela J, et al. Insights into the genetic epidemiology of Crohn’s and rare diseases in the Ashkenazi Jewish population. </w:t>
      </w:r>
      <w:r w:rsidR="00E7624E" w:rsidRPr="00D670B6">
        <w:rPr>
          <w:i/>
          <w:sz w:val="18"/>
          <w:szCs w:val="18"/>
          <w:lang w:val="en-GB"/>
        </w:rPr>
        <w:t>Plos Genetics</w:t>
      </w:r>
      <w:r w:rsidR="00E7624E" w:rsidRPr="00D670B6">
        <w:rPr>
          <w:sz w:val="18"/>
          <w:szCs w:val="18"/>
          <w:lang w:val="en-GB"/>
        </w:rPr>
        <w:t>. 2018;14(5):e1007329</w:t>
      </w:r>
      <w:r w:rsidR="008C4BAD">
        <w:rPr>
          <w:sz w:val="18"/>
          <w:szCs w:val="18"/>
          <w:lang w:val="en-GB"/>
        </w:rPr>
        <w:t>.</w:t>
      </w:r>
    </w:p>
    <w:p w14:paraId="5594F37C" w14:textId="77777777" w:rsidR="00E7624E" w:rsidRDefault="00E7624E" w:rsidP="00E11AA3">
      <w:pPr>
        <w:rPr>
          <w:lang w:val="en-GB"/>
        </w:rPr>
      </w:pPr>
    </w:p>
    <w:p w14:paraId="4E4DC0FA" w14:textId="77777777" w:rsidR="00E7624E" w:rsidRPr="004B7009" w:rsidRDefault="00E7624E" w:rsidP="00E11AA3">
      <w:pPr>
        <w:rPr>
          <w:lang w:val="en-GB"/>
        </w:rPr>
      </w:pPr>
    </w:p>
    <w:sectPr w:rsidR="00E7624E" w:rsidRPr="004B700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C0030" w14:textId="77777777" w:rsidR="00127145" w:rsidRDefault="00127145" w:rsidP="001E491B">
      <w:pPr>
        <w:spacing w:after="0" w:line="240" w:lineRule="auto"/>
      </w:pPr>
      <w:r>
        <w:separator/>
      </w:r>
    </w:p>
  </w:endnote>
  <w:endnote w:type="continuationSeparator" w:id="0">
    <w:p w14:paraId="6D5C7BB4" w14:textId="77777777" w:rsidR="00127145" w:rsidRDefault="00127145" w:rsidP="001E4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209540"/>
      <w:docPartObj>
        <w:docPartGallery w:val="Page Numbers (Bottom of Page)"/>
        <w:docPartUnique/>
      </w:docPartObj>
    </w:sdtPr>
    <w:sdtEndPr/>
    <w:sdtContent>
      <w:p w14:paraId="17F3A02C" w14:textId="5A385034" w:rsidR="001E491B" w:rsidRDefault="001E491B">
        <w:pPr>
          <w:pStyle w:val="Voettekst"/>
          <w:jc w:val="right"/>
        </w:pPr>
        <w:r>
          <w:fldChar w:fldCharType="begin"/>
        </w:r>
        <w:r>
          <w:instrText>PAGE   \* MERGEFORMAT</w:instrText>
        </w:r>
        <w:r>
          <w:fldChar w:fldCharType="separate"/>
        </w:r>
        <w:r w:rsidR="00D721B6">
          <w:rPr>
            <w:noProof/>
          </w:rPr>
          <w:t>1</w:t>
        </w:r>
        <w:r>
          <w:fldChar w:fldCharType="end"/>
        </w:r>
      </w:p>
    </w:sdtContent>
  </w:sdt>
  <w:p w14:paraId="49D42255" w14:textId="77777777" w:rsidR="001E491B" w:rsidRDefault="001E491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9DBE2" w14:textId="77777777" w:rsidR="00127145" w:rsidRDefault="00127145" w:rsidP="001E491B">
      <w:pPr>
        <w:spacing w:after="0" w:line="240" w:lineRule="auto"/>
      </w:pPr>
      <w:r>
        <w:separator/>
      </w:r>
    </w:p>
  </w:footnote>
  <w:footnote w:type="continuationSeparator" w:id="0">
    <w:p w14:paraId="1FB2F58A" w14:textId="77777777" w:rsidR="00127145" w:rsidRDefault="00127145" w:rsidP="001E49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25C0B"/>
    <w:multiLevelType w:val="hybridMultilevel"/>
    <w:tmpl w:val="F3BADC9A"/>
    <w:lvl w:ilvl="0" w:tplc="51B63CB8">
      <w:start w:val="1"/>
      <w:numFmt w:val="decimal"/>
      <w:lvlText w:val="%1."/>
      <w:lvlJc w:val="left"/>
      <w:pPr>
        <w:ind w:left="720" w:hanging="360"/>
      </w:pPr>
      <w:rPr>
        <w:rFonts w:cs="Times New Roman" w:hint="default"/>
        <w:sz w:val="24"/>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F52"/>
    <w:rsid w:val="00074B3C"/>
    <w:rsid w:val="000A7CC0"/>
    <w:rsid w:val="000D6110"/>
    <w:rsid w:val="0011009F"/>
    <w:rsid w:val="00116665"/>
    <w:rsid w:val="00127145"/>
    <w:rsid w:val="0016694D"/>
    <w:rsid w:val="001950A3"/>
    <w:rsid w:val="001D1B2A"/>
    <w:rsid w:val="001E491B"/>
    <w:rsid w:val="001F6B49"/>
    <w:rsid w:val="00205D8A"/>
    <w:rsid w:val="00286125"/>
    <w:rsid w:val="00297EB4"/>
    <w:rsid w:val="002E6DFA"/>
    <w:rsid w:val="002F004B"/>
    <w:rsid w:val="00331979"/>
    <w:rsid w:val="00344951"/>
    <w:rsid w:val="003E7090"/>
    <w:rsid w:val="00435101"/>
    <w:rsid w:val="00436EFD"/>
    <w:rsid w:val="00471B28"/>
    <w:rsid w:val="00472555"/>
    <w:rsid w:val="00484A5A"/>
    <w:rsid w:val="0049438C"/>
    <w:rsid w:val="00494F44"/>
    <w:rsid w:val="004B7009"/>
    <w:rsid w:val="00520ED7"/>
    <w:rsid w:val="0054090A"/>
    <w:rsid w:val="00571B95"/>
    <w:rsid w:val="00595BE1"/>
    <w:rsid w:val="005D778E"/>
    <w:rsid w:val="005E2A10"/>
    <w:rsid w:val="00605598"/>
    <w:rsid w:val="00682C14"/>
    <w:rsid w:val="006C1390"/>
    <w:rsid w:val="00736383"/>
    <w:rsid w:val="0075489E"/>
    <w:rsid w:val="00795F52"/>
    <w:rsid w:val="00827F72"/>
    <w:rsid w:val="0083724D"/>
    <w:rsid w:val="008642AC"/>
    <w:rsid w:val="008A6D26"/>
    <w:rsid w:val="008C4BAD"/>
    <w:rsid w:val="008F2361"/>
    <w:rsid w:val="009009AD"/>
    <w:rsid w:val="00924BC4"/>
    <w:rsid w:val="009837E6"/>
    <w:rsid w:val="009A10F1"/>
    <w:rsid w:val="009B4174"/>
    <w:rsid w:val="009D19FF"/>
    <w:rsid w:val="00A61B70"/>
    <w:rsid w:val="00A677EE"/>
    <w:rsid w:val="00AB3AC1"/>
    <w:rsid w:val="00AD3BAF"/>
    <w:rsid w:val="00AE48A3"/>
    <w:rsid w:val="00B23214"/>
    <w:rsid w:val="00C27BC5"/>
    <w:rsid w:val="00C438D1"/>
    <w:rsid w:val="00C57A9C"/>
    <w:rsid w:val="00C67711"/>
    <w:rsid w:val="00C92B46"/>
    <w:rsid w:val="00CC74AB"/>
    <w:rsid w:val="00D0317F"/>
    <w:rsid w:val="00D42F22"/>
    <w:rsid w:val="00D52F95"/>
    <w:rsid w:val="00D5678A"/>
    <w:rsid w:val="00D670B6"/>
    <w:rsid w:val="00D721B6"/>
    <w:rsid w:val="00D9196F"/>
    <w:rsid w:val="00DC13CB"/>
    <w:rsid w:val="00DC3DDB"/>
    <w:rsid w:val="00E11AA3"/>
    <w:rsid w:val="00E17B71"/>
    <w:rsid w:val="00E200E7"/>
    <w:rsid w:val="00E20F69"/>
    <w:rsid w:val="00E75BEC"/>
    <w:rsid w:val="00E7624E"/>
    <w:rsid w:val="00EB3A3E"/>
    <w:rsid w:val="00F33B7F"/>
    <w:rsid w:val="00F54898"/>
    <w:rsid w:val="00F60D9D"/>
    <w:rsid w:val="00FA3097"/>
    <w:rsid w:val="00FB282B"/>
    <w:rsid w:val="00FD45A8"/>
    <w:rsid w:val="00FD5D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642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B232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E11A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A1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A10F1"/>
    <w:rPr>
      <w:rFonts w:asciiTheme="majorHAnsi" w:eastAsiaTheme="majorEastAsia" w:hAnsiTheme="majorHAnsi" w:cstheme="majorBidi"/>
      <w:color w:val="17365D" w:themeColor="text2" w:themeShade="BF"/>
      <w:spacing w:val="5"/>
      <w:kern w:val="28"/>
      <w:sz w:val="52"/>
      <w:szCs w:val="52"/>
    </w:rPr>
  </w:style>
  <w:style w:type="character" w:customStyle="1" w:styleId="Kop3Char">
    <w:name w:val="Kop 3 Char"/>
    <w:basedOn w:val="Standaardalinea-lettertype"/>
    <w:link w:val="Kop3"/>
    <w:uiPriority w:val="9"/>
    <w:rsid w:val="00E11AA3"/>
    <w:rPr>
      <w:rFonts w:asciiTheme="majorHAnsi" w:eastAsiaTheme="majorEastAsia" w:hAnsiTheme="majorHAnsi" w:cstheme="majorBidi"/>
      <w:b/>
      <w:bCs/>
      <w:color w:val="4F81BD" w:themeColor="accent1"/>
    </w:rPr>
  </w:style>
  <w:style w:type="paragraph" w:styleId="Tekstopmerking">
    <w:name w:val="annotation text"/>
    <w:basedOn w:val="Standaard"/>
    <w:link w:val="TekstopmerkingChar"/>
    <w:uiPriority w:val="99"/>
    <w:unhideWhenUsed/>
    <w:rsid w:val="00E11AA3"/>
    <w:pPr>
      <w:spacing w:line="240" w:lineRule="auto"/>
    </w:pPr>
    <w:rPr>
      <w:sz w:val="20"/>
      <w:szCs w:val="20"/>
    </w:rPr>
  </w:style>
  <w:style w:type="character" w:customStyle="1" w:styleId="TekstopmerkingChar">
    <w:name w:val="Tekst opmerking Char"/>
    <w:basedOn w:val="Standaardalinea-lettertype"/>
    <w:link w:val="Tekstopmerking"/>
    <w:uiPriority w:val="99"/>
    <w:rsid w:val="00E11AA3"/>
    <w:rPr>
      <w:sz w:val="20"/>
      <w:szCs w:val="20"/>
    </w:rPr>
  </w:style>
  <w:style w:type="character" w:styleId="Verwijzingopmerking">
    <w:name w:val="annotation reference"/>
    <w:basedOn w:val="Standaardalinea-lettertype"/>
    <w:uiPriority w:val="99"/>
    <w:semiHidden/>
    <w:unhideWhenUsed/>
    <w:rsid w:val="00E11AA3"/>
    <w:rPr>
      <w:sz w:val="16"/>
      <w:szCs w:val="16"/>
    </w:rPr>
  </w:style>
  <w:style w:type="paragraph" w:styleId="Ballontekst">
    <w:name w:val="Balloon Text"/>
    <w:basedOn w:val="Standaard"/>
    <w:link w:val="BallontekstChar"/>
    <w:uiPriority w:val="99"/>
    <w:semiHidden/>
    <w:unhideWhenUsed/>
    <w:rsid w:val="00E11AA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11AA3"/>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8642AC"/>
    <w:rPr>
      <w:b/>
      <w:bCs/>
    </w:rPr>
  </w:style>
  <w:style w:type="character" w:customStyle="1" w:styleId="OnderwerpvanopmerkingChar">
    <w:name w:val="Onderwerp van opmerking Char"/>
    <w:basedOn w:val="TekstopmerkingChar"/>
    <w:link w:val="Onderwerpvanopmerking"/>
    <w:uiPriority w:val="99"/>
    <w:semiHidden/>
    <w:rsid w:val="008642AC"/>
    <w:rPr>
      <w:b/>
      <w:bCs/>
      <w:sz w:val="20"/>
      <w:szCs w:val="20"/>
    </w:rPr>
  </w:style>
  <w:style w:type="character" w:customStyle="1" w:styleId="Kop1Char">
    <w:name w:val="Kop 1 Char"/>
    <w:basedOn w:val="Standaardalinea-lettertype"/>
    <w:link w:val="Kop1"/>
    <w:uiPriority w:val="9"/>
    <w:rsid w:val="008642AC"/>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B23214"/>
    <w:rPr>
      <w:rFonts w:asciiTheme="majorHAnsi" w:eastAsiaTheme="majorEastAsia" w:hAnsiTheme="majorHAnsi" w:cstheme="majorBidi"/>
      <w:color w:val="365F91" w:themeColor="accent1" w:themeShade="BF"/>
      <w:sz w:val="26"/>
      <w:szCs w:val="26"/>
    </w:rPr>
  </w:style>
  <w:style w:type="character" w:styleId="Hyperlink">
    <w:name w:val="Hyperlink"/>
    <w:basedOn w:val="Standaardalinea-lettertype"/>
    <w:uiPriority w:val="99"/>
    <w:unhideWhenUsed/>
    <w:rsid w:val="001F6B49"/>
    <w:rPr>
      <w:color w:val="0000FF" w:themeColor="hyperlink"/>
      <w:u w:val="single"/>
    </w:rPr>
  </w:style>
  <w:style w:type="paragraph" w:styleId="Koptekst">
    <w:name w:val="header"/>
    <w:basedOn w:val="Standaard"/>
    <w:link w:val="KoptekstChar"/>
    <w:uiPriority w:val="99"/>
    <w:unhideWhenUsed/>
    <w:rsid w:val="001E491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491B"/>
  </w:style>
  <w:style w:type="paragraph" w:styleId="Voettekst">
    <w:name w:val="footer"/>
    <w:basedOn w:val="Standaard"/>
    <w:link w:val="VoettekstChar"/>
    <w:uiPriority w:val="99"/>
    <w:unhideWhenUsed/>
    <w:rsid w:val="001E491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49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642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B232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E11A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A1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A10F1"/>
    <w:rPr>
      <w:rFonts w:asciiTheme="majorHAnsi" w:eastAsiaTheme="majorEastAsia" w:hAnsiTheme="majorHAnsi" w:cstheme="majorBidi"/>
      <w:color w:val="17365D" w:themeColor="text2" w:themeShade="BF"/>
      <w:spacing w:val="5"/>
      <w:kern w:val="28"/>
      <w:sz w:val="52"/>
      <w:szCs w:val="52"/>
    </w:rPr>
  </w:style>
  <w:style w:type="character" w:customStyle="1" w:styleId="Kop3Char">
    <w:name w:val="Kop 3 Char"/>
    <w:basedOn w:val="Standaardalinea-lettertype"/>
    <w:link w:val="Kop3"/>
    <w:uiPriority w:val="9"/>
    <w:rsid w:val="00E11AA3"/>
    <w:rPr>
      <w:rFonts w:asciiTheme="majorHAnsi" w:eastAsiaTheme="majorEastAsia" w:hAnsiTheme="majorHAnsi" w:cstheme="majorBidi"/>
      <w:b/>
      <w:bCs/>
      <w:color w:val="4F81BD" w:themeColor="accent1"/>
    </w:rPr>
  </w:style>
  <w:style w:type="paragraph" w:styleId="Tekstopmerking">
    <w:name w:val="annotation text"/>
    <w:basedOn w:val="Standaard"/>
    <w:link w:val="TekstopmerkingChar"/>
    <w:uiPriority w:val="99"/>
    <w:unhideWhenUsed/>
    <w:rsid w:val="00E11AA3"/>
    <w:pPr>
      <w:spacing w:line="240" w:lineRule="auto"/>
    </w:pPr>
    <w:rPr>
      <w:sz w:val="20"/>
      <w:szCs w:val="20"/>
    </w:rPr>
  </w:style>
  <w:style w:type="character" w:customStyle="1" w:styleId="TekstopmerkingChar">
    <w:name w:val="Tekst opmerking Char"/>
    <w:basedOn w:val="Standaardalinea-lettertype"/>
    <w:link w:val="Tekstopmerking"/>
    <w:uiPriority w:val="99"/>
    <w:rsid w:val="00E11AA3"/>
    <w:rPr>
      <w:sz w:val="20"/>
      <w:szCs w:val="20"/>
    </w:rPr>
  </w:style>
  <w:style w:type="character" w:styleId="Verwijzingopmerking">
    <w:name w:val="annotation reference"/>
    <w:basedOn w:val="Standaardalinea-lettertype"/>
    <w:uiPriority w:val="99"/>
    <w:semiHidden/>
    <w:unhideWhenUsed/>
    <w:rsid w:val="00E11AA3"/>
    <w:rPr>
      <w:sz w:val="16"/>
      <w:szCs w:val="16"/>
    </w:rPr>
  </w:style>
  <w:style w:type="paragraph" w:styleId="Ballontekst">
    <w:name w:val="Balloon Text"/>
    <w:basedOn w:val="Standaard"/>
    <w:link w:val="BallontekstChar"/>
    <w:uiPriority w:val="99"/>
    <w:semiHidden/>
    <w:unhideWhenUsed/>
    <w:rsid w:val="00E11AA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11AA3"/>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8642AC"/>
    <w:rPr>
      <w:b/>
      <w:bCs/>
    </w:rPr>
  </w:style>
  <w:style w:type="character" w:customStyle="1" w:styleId="OnderwerpvanopmerkingChar">
    <w:name w:val="Onderwerp van opmerking Char"/>
    <w:basedOn w:val="TekstopmerkingChar"/>
    <w:link w:val="Onderwerpvanopmerking"/>
    <w:uiPriority w:val="99"/>
    <w:semiHidden/>
    <w:rsid w:val="008642AC"/>
    <w:rPr>
      <w:b/>
      <w:bCs/>
      <w:sz w:val="20"/>
      <w:szCs w:val="20"/>
    </w:rPr>
  </w:style>
  <w:style w:type="character" w:customStyle="1" w:styleId="Kop1Char">
    <w:name w:val="Kop 1 Char"/>
    <w:basedOn w:val="Standaardalinea-lettertype"/>
    <w:link w:val="Kop1"/>
    <w:uiPriority w:val="9"/>
    <w:rsid w:val="008642AC"/>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B23214"/>
    <w:rPr>
      <w:rFonts w:asciiTheme="majorHAnsi" w:eastAsiaTheme="majorEastAsia" w:hAnsiTheme="majorHAnsi" w:cstheme="majorBidi"/>
      <w:color w:val="365F91" w:themeColor="accent1" w:themeShade="BF"/>
      <w:sz w:val="26"/>
      <w:szCs w:val="26"/>
    </w:rPr>
  </w:style>
  <w:style w:type="character" w:styleId="Hyperlink">
    <w:name w:val="Hyperlink"/>
    <w:basedOn w:val="Standaardalinea-lettertype"/>
    <w:uiPriority w:val="99"/>
    <w:unhideWhenUsed/>
    <w:rsid w:val="001F6B49"/>
    <w:rPr>
      <w:color w:val="0000FF" w:themeColor="hyperlink"/>
      <w:u w:val="single"/>
    </w:rPr>
  </w:style>
  <w:style w:type="paragraph" w:styleId="Koptekst">
    <w:name w:val="header"/>
    <w:basedOn w:val="Standaard"/>
    <w:link w:val="KoptekstChar"/>
    <w:uiPriority w:val="99"/>
    <w:unhideWhenUsed/>
    <w:rsid w:val="001E491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491B"/>
  </w:style>
  <w:style w:type="paragraph" w:styleId="Voettekst">
    <w:name w:val="footer"/>
    <w:basedOn w:val="Standaard"/>
    <w:link w:val="VoettekstChar"/>
    <w:uiPriority w:val="99"/>
    <w:unhideWhenUsed/>
    <w:rsid w:val="001E491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4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98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genome.n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1412</Words>
  <Characters>7768</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Universitair Medisch Centrum Groningen</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Johansson, LF</dc:creator>
  <cp:lastModifiedBy>Johansson, LF</cp:lastModifiedBy>
  <cp:revision>25</cp:revision>
  <dcterms:created xsi:type="dcterms:W3CDTF">2019-05-07T10:00:00Z</dcterms:created>
  <dcterms:modified xsi:type="dcterms:W3CDTF">2019-05-09T12:32:00Z</dcterms:modified>
</cp:coreProperties>
</file>