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96D6" w14:textId="77777777" w:rsidR="00AF4119" w:rsidRDefault="00000000">
      <w:pPr>
        <w:spacing w:line="360" w:lineRule="auto"/>
        <w:jc w:val="center"/>
        <w:rPr>
          <w:rFonts w:eastAsia="方正舒体"/>
          <w:b/>
          <w:sz w:val="84"/>
        </w:rPr>
      </w:pPr>
      <w:r>
        <w:rPr>
          <w:rFonts w:eastAsia="方正舒体" w:hint="eastAsia"/>
          <w:b/>
          <w:noProof/>
          <w:sz w:val="84"/>
        </w:rPr>
        <w:drawing>
          <wp:inline distT="0" distB="0" distL="0" distR="0" wp14:anchorId="11EDE9FA" wp14:editId="6F35CF85">
            <wp:extent cx="1485900" cy="361950"/>
            <wp:effectExtent l="0" t="0" r="0" b="0"/>
            <wp:docPr id="6" name="图片 6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jdx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538D" w14:textId="77777777" w:rsidR="00AF4119" w:rsidRDefault="00000000">
      <w:pPr>
        <w:spacing w:line="360" w:lineRule="auto"/>
        <w:jc w:val="center"/>
        <w:rPr>
          <w:rFonts w:ascii="Tahoma" w:hAnsi="Tahoma" w:cs="Tahoma"/>
          <w:b/>
          <w:color w:val="000000"/>
          <w:sz w:val="28"/>
          <w:szCs w:val="21"/>
        </w:rPr>
      </w:pPr>
      <w:r>
        <w:rPr>
          <w:rFonts w:ascii="Tahoma" w:hAnsi="Tahoma" w:cs="Tahoma" w:hint="eastAsia"/>
          <w:b/>
          <w:color w:val="000000"/>
          <w:sz w:val="36"/>
          <w:szCs w:val="24"/>
        </w:rPr>
        <w:t>本科生毕业设计（论文）中期检查记录表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2976"/>
        <w:gridCol w:w="1276"/>
        <w:gridCol w:w="2489"/>
      </w:tblGrid>
      <w:tr w:rsidR="00AF4119" w14:paraId="3CC64974" w14:textId="77777777">
        <w:trPr>
          <w:trHeight w:val="459"/>
        </w:trPr>
        <w:tc>
          <w:tcPr>
            <w:tcW w:w="1555" w:type="dxa"/>
            <w:vAlign w:val="center"/>
          </w:tcPr>
          <w:p w14:paraId="501C30D2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学院</w:t>
            </w:r>
          </w:p>
        </w:tc>
        <w:tc>
          <w:tcPr>
            <w:tcW w:w="2976" w:type="dxa"/>
            <w:vAlign w:val="center"/>
          </w:tcPr>
          <w:p w14:paraId="6489D801" w14:textId="62160BE4" w:rsidR="00AF4119" w:rsidRDefault="00B4534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数学学院</w:t>
            </w:r>
          </w:p>
        </w:tc>
        <w:tc>
          <w:tcPr>
            <w:tcW w:w="1276" w:type="dxa"/>
            <w:vAlign w:val="center"/>
          </w:tcPr>
          <w:p w14:paraId="173097E6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专业</w:t>
            </w:r>
          </w:p>
        </w:tc>
        <w:tc>
          <w:tcPr>
            <w:tcW w:w="2489" w:type="dxa"/>
            <w:vAlign w:val="center"/>
          </w:tcPr>
          <w:p w14:paraId="3E401DDC" w14:textId="6BC67499" w:rsidR="00AF4119" w:rsidRDefault="00B4534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数据科学与大数据技术</w:t>
            </w:r>
          </w:p>
        </w:tc>
      </w:tr>
      <w:tr w:rsidR="00AF4119" w14:paraId="2AE8D025" w14:textId="77777777">
        <w:trPr>
          <w:trHeight w:val="435"/>
        </w:trPr>
        <w:tc>
          <w:tcPr>
            <w:tcW w:w="1555" w:type="dxa"/>
            <w:vAlign w:val="center"/>
          </w:tcPr>
          <w:p w14:paraId="1DFCBA63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学生姓名</w:t>
            </w:r>
          </w:p>
        </w:tc>
        <w:tc>
          <w:tcPr>
            <w:tcW w:w="2976" w:type="dxa"/>
            <w:vAlign w:val="center"/>
          </w:tcPr>
          <w:p w14:paraId="03873A3D" w14:textId="223A5783" w:rsidR="00AF4119" w:rsidRDefault="00B4534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娄洁瑞</w:t>
            </w:r>
          </w:p>
        </w:tc>
        <w:tc>
          <w:tcPr>
            <w:tcW w:w="1276" w:type="dxa"/>
            <w:vAlign w:val="center"/>
          </w:tcPr>
          <w:p w14:paraId="75D1FA91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学号</w:t>
            </w:r>
          </w:p>
        </w:tc>
        <w:tc>
          <w:tcPr>
            <w:tcW w:w="2489" w:type="dxa"/>
            <w:vAlign w:val="center"/>
          </w:tcPr>
          <w:p w14:paraId="138686A9" w14:textId="523F17FF" w:rsidR="00AF4119" w:rsidRDefault="00B4534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3021001778</w:t>
            </w:r>
          </w:p>
        </w:tc>
      </w:tr>
      <w:tr w:rsidR="00AF4119" w14:paraId="7B984D65" w14:textId="77777777">
        <w:trPr>
          <w:trHeight w:val="557"/>
        </w:trPr>
        <w:tc>
          <w:tcPr>
            <w:tcW w:w="1555" w:type="dxa"/>
            <w:vAlign w:val="center"/>
          </w:tcPr>
          <w:p w14:paraId="4085F19C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指导教师</w:t>
            </w:r>
          </w:p>
        </w:tc>
        <w:tc>
          <w:tcPr>
            <w:tcW w:w="2976" w:type="dxa"/>
            <w:vAlign w:val="center"/>
          </w:tcPr>
          <w:p w14:paraId="6D92C32A" w14:textId="0EEABE4F" w:rsidR="00AF4119" w:rsidRDefault="00B4534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刘春江</w:t>
            </w:r>
          </w:p>
        </w:tc>
        <w:tc>
          <w:tcPr>
            <w:tcW w:w="1276" w:type="dxa"/>
            <w:vAlign w:val="center"/>
          </w:tcPr>
          <w:p w14:paraId="325605C4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选题是否有变化</w:t>
            </w:r>
          </w:p>
        </w:tc>
        <w:tc>
          <w:tcPr>
            <w:tcW w:w="2489" w:type="dxa"/>
            <w:vAlign w:val="center"/>
          </w:tcPr>
          <w:p w14:paraId="2927EC13" w14:textId="7D19DAFB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□是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      </w:t>
            </w:r>
            <w:r w:rsidR="00B45348">
              <w:rPr>
                <w:rFonts w:ascii="Tahoma" w:hAnsi="Tahoma" w:cs="Tahoma" w:hint="eastAsia"/>
                <w:color w:val="000000"/>
                <w:szCs w:val="21"/>
              </w:rPr>
              <w:t>√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否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     </w:t>
            </w:r>
          </w:p>
        </w:tc>
      </w:tr>
      <w:tr w:rsidR="00AF4119" w14:paraId="49A14AF3" w14:textId="77777777">
        <w:trPr>
          <w:trHeight w:val="557"/>
        </w:trPr>
        <w:tc>
          <w:tcPr>
            <w:tcW w:w="1555" w:type="dxa"/>
            <w:vAlign w:val="center"/>
          </w:tcPr>
          <w:p w14:paraId="1CDE1A3F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课题名称</w:t>
            </w:r>
          </w:p>
        </w:tc>
        <w:tc>
          <w:tcPr>
            <w:tcW w:w="6741" w:type="dxa"/>
            <w:gridSpan w:val="3"/>
            <w:vAlign w:val="center"/>
          </w:tcPr>
          <w:p w14:paraId="0FA1B4C9" w14:textId="18C59924" w:rsidR="00AF4119" w:rsidRDefault="00B4534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 w:rsidRPr="00B45348">
              <w:rPr>
                <w:rFonts w:ascii="Tahoma" w:hAnsi="Tahoma" w:cs="Tahoma" w:hint="eastAsia"/>
                <w:color w:val="000000"/>
                <w:szCs w:val="21"/>
              </w:rPr>
              <w:t>群体感应系统中欺骗行为对人工合成菌群稳定性的影响</w:t>
            </w:r>
          </w:p>
        </w:tc>
      </w:tr>
      <w:tr w:rsidR="00AF4119" w14:paraId="1BF50B70" w14:textId="77777777">
        <w:trPr>
          <w:trHeight w:val="533"/>
        </w:trPr>
        <w:tc>
          <w:tcPr>
            <w:tcW w:w="4531" w:type="dxa"/>
            <w:gridSpan w:val="2"/>
            <w:vAlign w:val="center"/>
          </w:tcPr>
          <w:p w14:paraId="4BC53481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毕业设计（论文）进度情况</w:t>
            </w:r>
          </w:p>
        </w:tc>
        <w:tc>
          <w:tcPr>
            <w:tcW w:w="3765" w:type="dxa"/>
            <w:gridSpan w:val="2"/>
            <w:vAlign w:val="center"/>
          </w:tcPr>
          <w:p w14:paraId="677C05BD" w14:textId="49DFEABF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□提前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     </w:t>
            </w:r>
            <w:r w:rsidR="00B45348">
              <w:rPr>
                <w:rFonts w:ascii="Tahoma" w:hAnsi="Tahoma" w:cs="Tahoma" w:hint="eastAsia"/>
                <w:color w:val="000000"/>
                <w:szCs w:val="21"/>
              </w:rPr>
              <w:t>√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正常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□滞后</w:t>
            </w:r>
          </w:p>
        </w:tc>
      </w:tr>
      <w:tr w:rsidR="00AF4119" w14:paraId="1DF474D1" w14:textId="77777777">
        <w:trPr>
          <w:trHeight w:val="525"/>
        </w:trPr>
        <w:tc>
          <w:tcPr>
            <w:tcW w:w="4531" w:type="dxa"/>
            <w:gridSpan w:val="2"/>
            <w:vAlign w:val="center"/>
          </w:tcPr>
          <w:p w14:paraId="22C4911F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对是否可以按期完成毕业设计（论文）的评估</w:t>
            </w:r>
          </w:p>
        </w:tc>
        <w:tc>
          <w:tcPr>
            <w:tcW w:w="3765" w:type="dxa"/>
            <w:gridSpan w:val="2"/>
            <w:vAlign w:val="center"/>
          </w:tcPr>
          <w:p w14:paraId="6A000609" w14:textId="391C10A1" w:rsidR="00AF4119" w:rsidRDefault="00B45348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√是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      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□否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     </w:t>
            </w:r>
          </w:p>
        </w:tc>
      </w:tr>
      <w:tr w:rsidR="00AF4119" w14:paraId="154B667A" w14:textId="77777777" w:rsidTr="002D3E90">
        <w:trPr>
          <w:trHeight w:val="416"/>
        </w:trPr>
        <w:tc>
          <w:tcPr>
            <w:tcW w:w="1555" w:type="dxa"/>
            <w:vAlign w:val="center"/>
          </w:tcPr>
          <w:p w14:paraId="46323ED5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已完成的研究工作及成果</w:t>
            </w:r>
          </w:p>
        </w:tc>
        <w:tc>
          <w:tcPr>
            <w:tcW w:w="6741" w:type="dxa"/>
            <w:gridSpan w:val="3"/>
            <w:vAlign w:val="center"/>
          </w:tcPr>
          <w:p w14:paraId="10A1411B" w14:textId="36E80977" w:rsidR="00AF4119" w:rsidRDefault="002D3E90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  <w:r w:rsidRPr="002D3E90">
              <w:rPr>
                <w:rFonts w:ascii="Tahoma" w:hAnsi="Tahoma" w:cs="Tahoma"/>
                <w:color w:val="000000"/>
                <w:szCs w:val="21"/>
              </w:rPr>
              <w:t>本研究已系统性地完成了从理论奠基、模型构建到理论深化的全链条工作，取得了一系列实质性成果。在理论层面，通过深入研读生态学与合成生物学文献，构建了坚实的多学科认知框架。不仅从植物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-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传粉者、鼠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-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树种子扩散等案例中，理解了欺骗行为（如保守型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偷懒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与创新型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开拓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）在自然互利共生中的双重角色，为人工菌群的稳定性问题提供了深刻的生态学类比；还精准掌握了群体感应（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QS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）的自动诱导原理、基于基因回路设计的合成菌群分工范例，以及随机种群模型，为后续数学建模奠定了精确的生物学与数理基础。尤为关键的是，对《竞争而非合作主导相互作用》一文的理解，使我们清醒认识到维持人工合作系统稳定的特殊价值与挑战。在实践层面，核心成果是构建并发展了一套完整的、可计算的模型体系。首先，我们成功重构并验证了基础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QS-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欺骗者动力学模型，确认了欺骗者的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搭便车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优势及其导致系统崩溃的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临界比例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现象。进而，我们实现了重要的理论创新与工具突破：将模型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工程化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至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Simulink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平台，增强了其直观性与可调性；将其从两菌体系扩展到普适的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N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菌体系，以描述更复杂的群落互作；并创新性地定义了可量化的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欺骗强度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（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chi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）参数，建立了通用的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临界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N/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稳定性拐点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判别流程。这些工作不仅复现了经典理论，更发展出了一个可用于分析、预测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lastRenderedPageBreak/>
              <w:t>与设计合成菌群稳定性的强有力理论框架与仿真工具。</w:t>
            </w:r>
          </w:p>
        </w:tc>
      </w:tr>
      <w:tr w:rsidR="00AF4119" w14:paraId="5D74AC9A" w14:textId="77777777">
        <w:trPr>
          <w:trHeight w:val="4507"/>
        </w:trPr>
        <w:tc>
          <w:tcPr>
            <w:tcW w:w="1555" w:type="dxa"/>
            <w:vAlign w:val="center"/>
          </w:tcPr>
          <w:p w14:paraId="08A71C9B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lastRenderedPageBreak/>
              <w:t>下一步工作计划</w:t>
            </w:r>
          </w:p>
        </w:tc>
        <w:tc>
          <w:tcPr>
            <w:tcW w:w="6741" w:type="dxa"/>
            <w:gridSpan w:val="3"/>
            <w:vAlign w:val="center"/>
          </w:tcPr>
          <w:p w14:paraId="0E012853" w14:textId="72A03A8D" w:rsidR="00AF4119" w:rsidRDefault="002D3E90" w:rsidP="002D3E90">
            <w:pPr>
              <w:spacing w:line="360" w:lineRule="auto"/>
              <w:jc w:val="left"/>
              <w:rPr>
                <w:rFonts w:ascii="Tahoma" w:hAnsi="Tahoma" w:cs="Tahoma"/>
                <w:color w:val="000000"/>
                <w:szCs w:val="21"/>
              </w:rPr>
            </w:pPr>
            <w:r w:rsidRPr="002D3E90">
              <w:rPr>
                <w:rFonts w:ascii="Tahoma" w:hAnsi="Tahoma" w:cs="Tahoma"/>
                <w:color w:val="000000"/>
                <w:szCs w:val="21"/>
              </w:rPr>
              <w:t>基于现有扎实的模型基础，下一步工作将聚焦于深化分析、完善论述与成果展示，以确保毕业设计的圆满完成与顺利答辩。首先，我们将利用已建成的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N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菌体系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Simulink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模型，进行系统性的仿真实验与综合分析。计划开展大规模的参数扫描，探究菌种数目（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N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）、初始欺骗者比例、欺骗强度（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chi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）及环境承载能力（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K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）等多个变量之间的耦合关系，最终绘制出能够清晰展示系统稳定域、震荡域及崩溃域的多维稳定性相图。此举旨在全面揭示各因素如何共同调控菌群命运，并将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欺骗强度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这一核心参数的动力学影响具象化。其次，毕业论文的撰写将进入收尾与深化阶段。需将上述新的仿真结果与分析系统地整合到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结果与讨论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章节，用图表和文字深入阐释其科学内涵。在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讨论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部分，需将本研究结论与早期调研的生态学案例、自然微生物以竞争为主的背景相联系，提升研究的理论高度，并明确阐述本模型对合成生物学工程实践（如菌群比例控制、鲁棒性设计）的指导意义。最后，需基于完整的论文，凝练核心故事线，制作答辩幻灯片，清晰展示从问题提出、模型演进到创新发现的全过程，为最终答辩做好充分准备。</w:t>
            </w:r>
          </w:p>
        </w:tc>
      </w:tr>
      <w:tr w:rsidR="00AF4119" w14:paraId="7C1D7061" w14:textId="77777777" w:rsidTr="002D3E90">
        <w:trPr>
          <w:trHeight w:val="3109"/>
        </w:trPr>
        <w:tc>
          <w:tcPr>
            <w:tcW w:w="1555" w:type="dxa"/>
            <w:vAlign w:val="center"/>
          </w:tcPr>
          <w:p w14:paraId="600E6F7A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存在问题与解决方案</w:t>
            </w:r>
          </w:p>
        </w:tc>
        <w:tc>
          <w:tcPr>
            <w:tcW w:w="6741" w:type="dxa"/>
            <w:gridSpan w:val="3"/>
            <w:vAlign w:val="center"/>
          </w:tcPr>
          <w:p w14:paraId="24D78BDD" w14:textId="3AFDB411" w:rsidR="00AF4119" w:rsidRDefault="002D3E90" w:rsidP="002D3E90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  <w:r w:rsidRPr="002D3E90">
              <w:rPr>
                <w:rFonts w:ascii="Tahoma" w:hAnsi="Tahoma" w:cs="Tahoma"/>
                <w:color w:val="000000"/>
                <w:szCs w:val="21"/>
              </w:rPr>
              <w:t>首要问题是模型简化与真实生物复杂性之间的差距。当前模型基于理想化假设，如均匀混合的发酵罐环境、确定的动力学参数，而真实微生物系统存在空间结构、基因表达噪声、代谢负担差异及复杂的环境波动。针对此，在论文中需明确界定本工作的目标是揭示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欺骗行为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在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QS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系统中的核心动力学原理，而</w:t>
            </w:r>
            <w:proofErr w:type="gramStart"/>
            <w:r w:rsidRPr="002D3E90">
              <w:rPr>
                <w:rFonts w:ascii="Tahoma" w:hAnsi="Tahoma" w:cs="Tahoma"/>
                <w:color w:val="000000"/>
                <w:szCs w:val="21"/>
              </w:rPr>
              <w:t>非预测</w:t>
            </w:r>
            <w:proofErr w:type="gramEnd"/>
            <w:r w:rsidRPr="002D3E90">
              <w:rPr>
                <w:rFonts w:ascii="Tahoma" w:hAnsi="Tahoma" w:cs="Tahoma"/>
                <w:color w:val="000000"/>
                <w:szCs w:val="21"/>
              </w:rPr>
              <w:t>特定实验的绝对结果。解决方案在于，在讨论部分将模型简化列为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模型假设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进行说明，并指出未来可通过引入空间模型（偏微分方程）、随机微分方程或精细的代谢代价函数，使模型逐层逼近现实，这恰恰构成了研究的未来方向。其次，是模型参数的生物学校准问题。许多参数（如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chi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的具体值域）目前依赖文献与假设，缺乏特定实验菌株的精准拟合。对此，我们已完成的参数敏感性分析（如确定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K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为</w:t>
            </w:r>
            <w:proofErr w:type="gramStart"/>
            <w:r w:rsidRPr="002D3E90">
              <w:rPr>
                <w:rFonts w:ascii="Tahoma" w:hAnsi="Tahoma" w:cs="Tahoma"/>
                <w:color w:val="000000"/>
                <w:szCs w:val="21"/>
              </w:rPr>
              <w:t>最</w:t>
            </w:r>
            <w:proofErr w:type="gramEnd"/>
            <w:r w:rsidRPr="002D3E90">
              <w:rPr>
                <w:rFonts w:ascii="Tahoma" w:hAnsi="Tahoma" w:cs="Tahoma"/>
                <w:color w:val="000000"/>
                <w:szCs w:val="21"/>
              </w:rPr>
              <w:t>关键参数）本身就是一种解决方案，它表明核心结论在合理参数范围内具有鲁棒性。更进一步，可以强调本模型提供了一个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逆向解析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框架：未来可通过将实验数据与模型拟合，反向估算出难以直接测量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lastRenderedPageBreak/>
              <w:t>的</w:t>
            </w:r>
            <w:proofErr w:type="gramStart"/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欺骗强度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等隐参数</w:t>
            </w:r>
            <w:proofErr w:type="gramEnd"/>
            <w:r w:rsidRPr="002D3E90">
              <w:rPr>
                <w:rFonts w:ascii="Tahoma" w:hAnsi="Tahoma" w:cs="Tahoma"/>
                <w:color w:val="000000"/>
                <w:szCs w:val="21"/>
              </w:rPr>
              <w:t>，从而将模型转变为定量分析工具。最后，关于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欺骗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行为定义的单一性，当前模型仅涵盖了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不生产信号分子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这一最典型形式。解决方案是将我们定义的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欺骗强度（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chi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）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概念升华为一个连续的量化谱系。在讨论中可指出，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chi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可以作为一个广义维度，未来可将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低水平生产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、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延时生产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或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“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窃取信号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”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等多种欺骗策略映射为不同的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chi</w:t>
            </w:r>
            <w:r w:rsidRPr="002D3E90">
              <w:rPr>
                <w:rFonts w:ascii="Tahoma" w:hAnsi="Tahoma" w:cs="Tahoma"/>
                <w:color w:val="000000"/>
                <w:szCs w:val="21"/>
              </w:rPr>
              <w:t>值，从而自然地将模型扩展至对多样化欺骗策略的研究，极大地拓宽了模型的解释范围与应用前景。</w:t>
            </w:r>
          </w:p>
        </w:tc>
      </w:tr>
      <w:tr w:rsidR="00AF4119" w14:paraId="24C3BE50" w14:textId="77777777">
        <w:trPr>
          <w:trHeight w:val="4592"/>
        </w:trPr>
        <w:tc>
          <w:tcPr>
            <w:tcW w:w="1555" w:type="dxa"/>
            <w:vAlign w:val="center"/>
          </w:tcPr>
          <w:p w14:paraId="106D23F0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lastRenderedPageBreak/>
              <w:t>指导教师意见</w:t>
            </w:r>
          </w:p>
        </w:tc>
        <w:tc>
          <w:tcPr>
            <w:tcW w:w="6741" w:type="dxa"/>
            <w:gridSpan w:val="3"/>
            <w:vAlign w:val="center"/>
          </w:tcPr>
          <w:p w14:paraId="46087AD7" w14:textId="2470F1C4" w:rsidR="00AF4119" w:rsidRDefault="002D3E90">
            <w:pPr>
              <w:spacing w:line="360" w:lineRule="auto"/>
              <w:jc w:val="center"/>
              <w:rPr>
                <w:rFonts w:ascii="Tahoma" w:hAnsi="Tahoma" w:cs="Tahoma" w:hint="eastAsi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>学生正常</w:t>
            </w:r>
            <w:proofErr w:type="gramStart"/>
            <w:r>
              <w:rPr>
                <w:rFonts w:ascii="Tahoma" w:hAnsi="Tahoma" w:cs="Tahoma" w:hint="eastAsia"/>
                <w:color w:val="000000"/>
                <w:szCs w:val="21"/>
              </w:rPr>
              <w:t>推进毕设课题</w:t>
            </w:r>
            <w:proofErr w:type="gramEnd"/>
          </w:p>
          <w:p w14:paraId="4E5D5CFA" w14:textId="77777777" w:rsidR="00AF4119" w:rsidRDefault="00AF411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 w14:paraId="6EC4B89C" w14:textId="77777777" w:rsidR="00AF4119" w:rsidRDefault="00AF411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 w14:paraId="0BEB380E" w14:textId="77777777" w:rsidR="00AF4119" w:rsidRDefault="00AF411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 w14:paraId="59D21C78" w14:textId="77777777" w:rsidR="00AF4119" w:rsidRDefault="00AF411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 w14:paraId="6C9B07F3" w14:textId="77777777" w:rsidR="00AF4119" w:rsidRDefault="00AF411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 w14:paraId="128CE5BF" w14:textId="77777777" w:rsidR="00AF4119" w:rsidRDefault="00AF411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</w:p>
          <w:p w14:paraId="42569C97" w14:textId="49C53122" w:rsidR="00AF4119" w:rsidRDefault="00000000">
            <w:pPr>
              <w:spacing w:line="48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  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签字：</w:t>
            </w:r>
            <w:r w:rsidR="002D3E90">
              <w:rPr>
                <w:noProof/>
              </w:rPr>
              <w:drawing>
                <wp:inline distT="0" distB="0" distL="0" distR="0" wp14:anchorId="2CFAD080" wp14:editId="39E03BB6">
                  <wp:extent cx="657225" cy="483835"/>
                  <wp:effectExtent l="0" t="0" r="0" b="0"/>
                  <wp:docPr id="16381555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1555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016" cy="488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C21C48" w14:textId="6DA959BE" w:rsidR="00AF4119" w:rsidRDefault="00000000">
            <w:pPr>
              <w:spacing w:line="48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                    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</w:t>
            </w:r>
            <w:r w:rsidR="002D3E90">
              <w:rPr>
                <w:rFonts w:ascii="Tahoma" w:hAnsi="Tahoma" w:cs="Tahoma" w:hint="eastAsia"/>
                <w:color w:val="000000"/>
                <w:szCs w:val="21"/>
              </w:rPr>
              <w:t>2026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年</w:t>
            </w:r>
            <w:r w:rsidR="002D3E90">
              <w:rPr>
                <w:rFonts w:ascii="Tahoma" w:hAnsi="Tahoma" w:cs="Tahoma" w:hint="eastAsia"/>
                <w:color w:val="000000"/>
                <w:szCs w:val="21"/>
              </w:rPr>
              <w:t>4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月</w:t>
            </w:r>
            <w:r w:rsidR="002D3E90">
              <w:rPr>
                <w:rFonts w:ascii="Tahoma" w:hAnsi="Tahoma" w:cs="Tahoma" w:hint="eastAsia"/>
                <w:color w:val="000000"/>
                <w:szCs w:val="21"/>
              </w:rPr>
              <w:t>8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日</w:t>
            </w:r>
          </w:p>
        </w:tc>
      </w:tr>
      <w:tr w:rsidR="00AF4119" w14:paraId="747779EB" w14:textId="77777777">
        <w:trPr>
          <w:trHeight w:val="4267"/>
        </w:trPr>
        <w:tc>
          <w:tcPr>
            <w:tcW w:w="1555" w:type="dxa"/>
            <w:vAlign w:val="center"/>
          </w:tcPr>
          <w:p w14:paraId="0468D9D5" w14:textId="77777777" w:rsidR="00AF4119" w:rsidRDefault="00000000">
            <w:pPr>
              <w:spacing w:line="36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lastRenderedPageBreak/>
              <w:t>系（教研室）审核意见</w:t>
            </w:r>
          </w:p>
        </w:tc>
        <w:tc>
          <w:tcPr>
            <w:tcW w:w="6741" w:type="dxa"/>
            <w:gridSpan w:val="3"/>
            <w:vAlign w:val="center"/>
          </w:tcPr>
          <w:p w14:paraId="457980E4" w14:textId="77777777" w:rsidR="00AF4119" w:rsidRDefault="00AF4119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 w14:paraId="615293BA" w14:textId="77777777" w:rsidR="00AF4119" w:rsidRDefault="00AF4119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 w14:paraId="37FA2BCD" w14:textId="77777777" w:rsidR="00AF4119" w:rsidRDefault="00AF4119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 w14:paraId="136F1A29" w14:textId="77777777" w:rsidR="00AF4119" w:rsidRDefault="00AF4119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 w14:paraId="284B63B3" w14:textId="77777777" w:rsidR="00AF4119" w:rsidRDefault="00AF4119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 w14:paraId="6F3C8478" w14:textId="77777777" w:rsidR="00AF4119" w:rsidRDefault="00AF4119">
            <w:pPr>
              <w:spacing w:line="360" w:lineRule="auto"/>
              <w:rPr>
                <w:rFonts w:ascii="Tahoma" w:hAnsi="Tahoma" w:cs="Tahoma"/>
                <w:color w:val="000000"/>
                <w:szCs w:val="21"/>
              </w:rPr>
            </w:pPr>
          </w:p>
          <w:p w14:paraId="7FB2E381" w14:textId="77777777" w:rsidR="00AF4119" w:rsidRDefault="00000000">
            <w:pPr>
              <w:spacing w:line="480" w:lineRule="auto"/>
              <w:jc w:val="center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                 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签字：</w:t>
            </w:r>
          </w:p>
          <w:p w14:paraId="0CCECC12" w14:textId="77777777" w:rsidR="00AF4119" w:rsidRDefault="00000000">
            <w:pPr>
              <w:spacing w:line="480" w:lineRule="auto"/>
              <w:ind w:firstLineChars="2000" w:firstLine="4200"/>
              <w:rPr>
                <w:rFonts w:ascii="Tahoma" w:hAnsi="Tahoma" w:cs="Tahoma"/>
                <w:color w:val="000000"/>
                <w:szCs w:val="21"/>
              </w:rPr>
            </w:pP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</w:t>
            </w:r>
            <w:r>
              <w:rPr>
                <w:rFonts w:ascii="Tahoma" w:hAnsi="Tahoma" w:cs="Tahoma"/>
                <w:color w:val="000000"/>
                <w:szCs w:val="21"/>
              </w:rPr>
              <w:t xml:space="preserve">  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年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   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月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 xml:space="preserve">     </w:t>
            </w:r>
            <w:r>
              <w:rPr>
                <w:rFonts w:ascii="Tahoma" w:hAnsi="Tahoma" w:cs="Tahoma" w:hint="eastAsia"/>
                <w:color w:val="000000"/>
                <w:szCs w:val="21"/>
              </w:rPr>
              <w:t>日</w:t>
            </w:r>
          </w:p>
        </w:tc>
      </w:tr>
    </w:tbl>
    <w:p w14:paraId="268D3318" w14:textId="77777777" w:rsidR="00AF4119" w:rsidRDefault="00AF4119"/>
    <w:sectPr w:rsidR="00AF4119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C1F20" w14:textId="77777777" w:rsidR="005D4D62" w:rsidRDefault="005D4D62">
      <w:pPr>
        <w:spacing w:after="0" w:line="240" w:lineRule="auto"/>
      </w:pPr>
      <w:r>
        <w:separator/>
      </w:r>
    </w:p>
  </w:endnote>
  <w:endnote w:type="continuationSeparator" w:id="0">
    <w:p w14:paraId="22C00AD7" w14:textId="77777777" w:rsidR="005D4D62" w:rsidRDefault="005D4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舒体">
    <w:altName w:val="宋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B4FD6" w14:textId="77777777" w:rsidR="00AF4119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A17BDE" wp14:editId="1419E37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75745" w14:textId="77777777" w:rsidR="00AF4119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A17BD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40375745" w14:textId="77777777" w:rsidR="00AF4119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t>F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E3BDA" w14:textId="77777777" w:rsidR="005D4D62" w:rsidRDefault="005D4D62">
      <w:pPr>
        <w:spacing w:after="0" w:line="240" w:lineRule="auto"/>
      </w:pPr>
      <w:r>
        <w:separator/>
      </w:r>
    </w:p>
  </w:footnote>
  <w:footnote w:type="continuationSeparator" w:id="0">
    <w:p w14:paraId="3E3ADD9D" w14:textId="77777777" w:rsidR="005D4D62" w:rsidRDefault="005D4D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AA20C66"/>
    <w:rsid w:val="002D3E90"/>
    <w:rsid w:val="003C799F"/>
    <w:rsid w:val="005D4D62"/>
    <w:rsid w:val="007F62F6"/>
    <w:rsid w:val="00931919"/>
    <w:rsid w:val="00AF4119"/>
    <w:rsid w:val="00B45348"/>
    <w:rsid w:val="00D4402A"/>
    <w:rsid w:val="1AA20C66"/>
    <w:rsid w:val="2A47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DFB5B4"/>
  <w15:docId w15:val="{B6B892FE-CF5F-4A72-8799-B8B6CCA2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1014</Words>
  <Characters>1056</Characters>
  <Application>Microsoft Office Word</Application>
  <DocSecurity>0</DocSecurity>
  <Lines>62</Lines>
  <Paragraphs>57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菲菲</dc:creator>
  <cp:lastModifiedBy>洁瑞 娄</cp:lastModifiedBy>
  <cp:revision>2</cp:revision>
  <dcterms:created xsi:type="dcterms:W3CDTF">2026-06-06T17:29:00Z</dcterms:created>
  <dcterms:modified xsi:type="dcterms:W3CDTF">2026-06-06T17:29:00Z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