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dpngr91cm5hi" w:id="0"/>
      <w:bookmarkEnd w:id="0"/>
      <w:r w:rsidDel="00000000" w:rsidR="00000000" w:rsidRPr="00000000">
        <w:rPr>
          <w:rtl w:val="0"/>
        </w:rPr>
        <w:t xml:space="preserve">Contribution List: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December 4th, 2020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Group 17: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Emmanuel Dumancas, Justin Tam, Kaveh Dubois-Mirfarsi, and Lucas Rahn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935"/>
        <w:tblGridChange w:id="0">
          <w:tblGrid>
            <w:gridCol w:w="4425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Contributors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Requirements Specification (SRS)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 Rahn (80%)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Kaveh Dubois-Mirfarsi (10%)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Justin Tam (10%)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Kaveh Dubois-Mirfarsi (75%)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Justin Tam (20%)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 Rahn (5%)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Proof-of-Concept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Justin Tam (50%)</w:t>
              <w:br w:type="textWrapping"/>
              <w:t xml:space="preserve">Lucas Rahn (50%)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Proof-of-Concept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 Rahn (70%)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Justin Tam (30%)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Gantt Chart: WBS + Schedule with 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Emmanuel Dumancas (100%)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Emmanuel Dumancas (100%)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 Management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Emmanuel Dumancas (100%)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Justin Tam (100%)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Emmanuel Dumancas (100%)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Presentation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Justin Tam (75%)</w:t>
              <w:br w:type="textWrapping"/>
              <w:t xml:space="preserve">Lucas Rahn (15%)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Emmanuel Dumancas (10%)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Editing/Compiling the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Kaveh Dubois-Mirfarsi (100%)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