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E44C" w14:textId="77777777" w:rsidR="00601EFE" w:rsidRPr="00C666FA" w:rsidRDefault="00601EFE" w:rsidP="00601EFE">
      <w:pPr>
        <w:pStyle w:val="MDPI13authornames"/>
        <w:jc w:val="center"/>
        <w:rPr>
          <w:snapToGrid w:val="0"/>
          <w:color w:val="000000" w:themeColor="text1"/>
          <w:sz w:val="36"/>
          <w:szCs w:val="20"/>
          <w:lang w:eastAsia="zh-CN"/>
        </w:rPr>
      </w:pPr>
      <w:bookmarkStart w:id="0" w:name="OLE_LINK87"/>
      <w:r w:rsidRPr="00C666FA">
        <w:rPr>
          <w:bCs/>
          <w:snapToGrid w:val="0"/>
          <w:color w:val="000000" w:themeColor="text1"/>
          <w:sz w:val="36"/>
          <w:szCs w:val="20"/>
        </w:rPr>
        <w:t>Geopolitical Risk and U.S. Stock Market Volatility: Evidence from the U.S.–China Tension Index</w:t>
      </w:r>
    </w:p>
    <w:p w14:paraId="44C6221F" w14:textId="4B89184F" w:rsidR="00342CF1" w:rsidRPr="00C666FA" w:rsidRDefault="00342CF1" w:rsidP="00B36226">
      <w:pPr>
        <w:pStyle w:val="4"/>
        <w:keepNext w:val="0"/>
        <w:keepLines w:val="0"/>
        <w:widowControl/>
        <w:spacing w:before="240" w:after="0" w:line="360" w:lineRule="auto"/>
        <w:rPr>
          <w:rFonts w:ascii="Palatino Linotype" w:hAnsi="Palatino Linotype"/>
          <w:b/>
          <w:snapToGrid w:val="0"/>
          <w:color w:val="000000" w:themeColor="text1"/>
          <w:kern w:val="0"/>
          <w:sz w:val="22"/>
          <w:szCs w:val="22"/>
          <w:lang w:bidi="en-US"/>
        </w:rPr>
      </w:pPr>
      <w:r w:rsidRPr="00C666FA">
        <w:rPr>
          <w:rFonts w:ascii="Palatino Linotype" w:hAnsi="Palatino Linotype"/>
          <w:b/>
          <w:snapToGrid w:val="0"/>
          <w:color w:val="000000" w:themeColor="text1"/>
          <w:kern w:val="0"/>
          <w:sz w:val="22"/>
          <w:szCs w:val="22"/>
          <w:lang w:bidi="en-US"/>
        </w:rPr>
        <w:t xml:space="preserve">Appendix A: </w:t>
      </w:r>
      <w:r w:rsidR="00564B74" w:rsidRPr="00C666FA">
        <w:rPr>
          <w:rFonts w:ascii="Palatino Linotype" w:hAnsi="Palatino Linotype"/>
          <w:b/>
          <w:snapToGrid w:val="0"/>
          <w:color w:val="000000" w:themeColor="text1"/>
          <w:kern w:val="0"/>
          <w:sz w:val="22"/>
          <w:szCs w:val="22"/>
          <w:lang w:bidi="en-US"/>
        </w:rPr>
        <w:t>Background</w:t>
      </w:r>
    </w:p>
    <w:p w14:paraId="604B25BB" w14:textId="7F8B8AB1" w:rsidR="00BA2606" w:rsidRPr="00C666FA" w:rsidRDefault="00BA2606" w:rsidP="00BA2606">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In recent years, the escalating tensions between </w:t>
      </w:r>
      <w:r w:rsidRPr="00C666FA">
        <w:rPr>
          <w:rFonts w:ascii="Times New Roman" w:eastAsia="仿宋" w:hAnsi="Times New Roman" w:cs="Times New Roman" w:hint="eastAsia"/>
          <w:color w:val="000000" w:themeColor="text1"/>
          <w:szCs w:val="22"/>
          <w14:ligatures w14:val="none"/>
        </w:rPr>
        <w:t>the U.S.</w:t>
      </w:r>
      <w:r w:rsidRPr="00C666FA">
        <w:rPr>
          <w:rFonts w:ascii="Times New Roman" w:eastAsia="仿宋" w:hAnsi="Times New Roman" w:cs="Times New Roman"/>
          <w:color w:val="000000" w:themeColor="text1"/>
          <w:szCs w:val="22"/>
          <w14:ligatures w14:val="none"/>
        </w:rPr>
        <w:t xml:space="preserve"> and China have become a prominent feature of the global geopolitical landscape. Encompassing trade conflicts </w:t>
      </w:r>
      <w:r w:rsidR="00C93625" w:rsidRPr="00C666FA">
        <w:rPr>
          <w:rFonts w:ascii="Times New Roman" w:eastAsia="仿宋" w:hAnsi="Times New Roman" w:cs="Times New Roman"/>
          <w:color w:val="000000" w:themeColor="text1"/>
          <w:szCs w:val="22"/>
          <w14:ligatures w14:val="none"/>
        </w:rPr>
        <w:fldChar w:fldCharType="begin">
          <w:fldData xml:space="preserve">PEVuZE5vdGU+PENpdGU+PEF1dGhvcj5CaWFuY29uaTwvQXV0aG9yPjxZZWFyPjIwMjE8L1llYXI+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</w:fldData>
        </w:fldChar>
      </w:r>
      <w:r w:rsidR="00AE0467" w:rsidRPr="00C666FA">
        <w:rPr>
          <w:rFonts w:ascii="Times New Roman" w:eastAsia="仿宋" w:hAnsi="Times New Roman" w:cs="Times New Roman"/>
          <w:color w:val="000000" w:themeColor="text1"/>
          <w:szCs w:val="22"/>
          <w14:ligatures w14:val="none"/>
        </w:rPr>
        <w:instrText xml:space="preserve"> ADDIN EN.CITE </w:instrText>
      </w:r>
      <w:r w:rsidR="00AE0467" w:rsidRPr="00C666FA">
        <w:rPr>
          <w:rFonts w:ascii="Times New Roman" w:eastAsia="仿宋" w:hAnsi="Times New Roman" w:cs="Times New Roman"/>
          <w:color w:val="000000" w:themeColor="text1"/>
          <w:szCs w:val="22"/>
          <w14:ligatures w14:val="none"/>
        </w:rPr>
        <w:fldChar w:fldCharType="begin">
          <w:fldData xml:space="preserve">PEVuZE5vdGU+PENpdGU+PEF1dGhvcj5CaWFuY29uaTwvQXV0aG9yPjxZZWFyPjIwMjE8L1llYXI+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</w:fldData>
        </w:fldChar>
      </w:r>
      <w:r w:rsidR="00AE0467" w:rsidRPr="00C666FA">
        <w:rPr>
          <w:rFonts w:ascii="Times New Roman" w:eastAsia="仿宋" w:hAnsi="Times New Roman" w:cs="Times New Roman"/>
          <w:color w:val="000000" w:themeColor="text1"/>
          <w:szCs w:val="22"/>
          <w14:ligatures w14:val="none"/>
        </w:rPr>
        <w:instrText xml:space="preserve"> ADDIN EN.CITE.DATA </w:instrText>
      </w:r>
      <w:r w:rsidR="00AE0467" w:rsidRPr="00C666FA">
        <w:rPr>
          <w:rFonts w:ascii="Times New Roman" w:eastAsia="仿宋" w:hAnsi="Times New Roman" w:cs="Times New Roman"/>
          <w:color w:val="000000" w:themeColor="text1"/>
          <w:szCs w:val="22"/>
          <w14:ligatures w14:val="none"/>
        </w:rPr>
      </w:r>
      <w:r w:rsidR="00AE0467" w:rsidRPr="00C666FA">
        <w:rPr>
          <w:rFonts w:ascii="Times New Roman" w:eastAsia="仿宋" w:hAnsi="Times New Roman" w:cs="Times New Roman"/>
          <w:color w:val="000000" w:themeColor="text1"/>
          <w:szCs w:val="22"/>
          <w14:ligatures w14:val="none"/>
        </w:rPr>
        <w:fldChar w:fldCharType="end"/>
      </w:r>
      <w:r w:rsidR="00C93625" w:rsidRPr="00C666FA">
        <w:rPr>
          <w:rFonts w:ascii="Times New Roman" w:eastAsia="仿宋" w:hAnsi="Times New Roman" w:cs="Times New Roman"/>
          <w:color w:val="000000" w:themeColor="text1"/>
          <w:szCs w:val="22"/>
          <w14:ligatures w14:val="none"/>
        </w:rPr>
      </w:r>
      <w:r w:rsidR="00C93625" w:rsidRPr="00C666FA">
        <w:rPr>
          <w:rFonts w:ascii="Times New Roman" w:eastAsia="仿宋" w:hAnsi="Times New Roman" w:cs="Times New Roman"/>
          <w:color w:val="000000" w:themeColor="text1"/>
          <w:szCs w:val="22"/>
          <w14:ligatures w14:val="none"/>
        </w:rPr>
        <w:fldChar w:fldCharType="separate"/>
      </w:r>
      <w:r w:rsidR="00AE0467" w:rsidRPr="00C666FA">
        <w:rPr>
          <w:rFonts w:ascii="Times New Roman" w:eastAsia="仿宋" w:hAnsi="Times New Roman" w:cs="Times New Roman"/>
          <w:noProof/>
          <w:color w:val="000000" w:themeColor="text1"/>
          <w:szCs w:val="22"/>
          <w14:ligatures w14:val="none"/>
        </w:rPr>
        <w:t>(Bianconi et al., 2021; Yilmazkuday, 2025)</w:t>
      </w:r>
      <w:r w:rsidR="00C93625"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 xml:space="preserve">, technological competition </w:t>
      </w:r>
      <w:r w:rsidR="00AE0467" w:rsidRPr="00C666FA">
        <w:rPr>
          <w:rFonts w:ascii="Times New Roman" w:eastAsia="仿宋" w:hAnsi="Times New Roman" w:cs="Times New Roman"/>
          <w:color w:val="000000" w:themeColor="text1"/>
          <w:szCs w:val="22"/>
          <w14:ligatures w14:val="none"/>
        </w:rPr>
        <w:fldChar w:fldCharType="begin"/>
      </w:r>
      <w:r w:rsidR="00AE0467" w:rsidRPr="00C666FA">
        <w:rPr>
          <w:rFonts w:ascii="Times New Roman" w:eastAsia="仿宋" w:hAnsi="Times New Roman" w:cs="Times New Roman"/>
          <w:color w:val="000000" w:themeColor="text1"/>
          <w:szCs w:val="22"/>
          <w14:ligatures w14:val="none"/>
        </w:rPr>
        <w:instrText xml:space="preserve"> ADDIN EN.CITE &lt;EndNote&gt;&lt;Cite&gt;&lt;Author&gt;Zhang&lt;/Author&gt;&lt;Year&gt;2024&lt;/Year&gt;&lt;RecNum&gt;595&lt;/RecNum&gt;&lt;DisplayText&gt;(Zhang, 2024)&lt;/DisplayText&gt;&lt;record&gt;&lt;rec-number&gt;595&lt;/rec-number&gt;&lt;foreign-keys&gt;&lt;key app="EN" db-id="dvsp2e2z3a9fzpezr9n5pp2lw9tf5rvzrx9x" timestamp="1751276555"&gt;595&lt;/key&gt;&lt;/foreign-keys&gt;&lt;ref-type name="Journal Article"&gt;17&lt;/ref-type&gt;&lt;contributors&gt;&lt;authors&gt;&lt;author&gt;Zhang, Kevin Honglin&lt;/author&gt;&lt;/authors&gt;&lt;/contributors&gt;&lt;titles&gt;&lt;title&gt;Geoeconomics of US-China tech rivalry and industrial policy&lt;/title&gt;&lt;secondary-title&gt;Asia and the Global Economy&lt;/secondary-title&gt;&lt;/titles&gt;&lt;periodical&gt;&lt;full-title&gt;Asia and the Global Economy&lt;/full-title&gt;&lt;/periodical&gt;&lt;pages&gt;100098&lt;/pages&gt;&lt;volume&gt;4&lt;/volume&gt;&lt;number&gt;2&lt;/number&gt;&lt;keywords&gt;&lt;keyword&gt;Geoeconomics of technology&lt;/keyword&gt;&lt;keyword&gt;Industrial policy&lt;/keyword&gt;&lt;keyword&gt;Global tech statism&lt;/keyword&gt;&lt;keyword&gt;Us-china tech rivalry&lt;/keyword&gt;&lt;keyword&gt;Tech nationalism&lt;/keyword&gt;&lt;/keywords&gt;&lt;dates&gt;&lt;year&gt;2024&lt;/year&gt;&lt;pub-dates&gt;&lt;date&gt;2024/07/01/&lt;/date&gt;&lt;/pub-dates&gt;&lt;/dates&gt;&lt;isbn&gt;2667-1115&lt;/isbn&gt;&lt;urls&gt;&lt;related-urls&gt;&lt;url&gt;https://www.sciencedirect.com/science/article/pii/S2667111524000227&lt;/url&gt;&lt;/related-urls&gt;&lt;/urls&gt;&lt;electronic-resource-num&gt;https://doi.org/10.1016/j.aglobe.2024.100098&lt;/electronic-resource-num&gt;&lt;/record&gt;&lt;/Cite&gt;&lt;/EndNote&gt;</w:instrText>
      </w:r>
      <w:r w:rsidR="00AE0467" w:rsidRPr="00C666FA">
        <w:rPr>
          <w:rFonts w:ascii="Times New Roman" w:eastAsia="仿宋" w:hAnsi="Times New Roman" w:cs="Times New Roman"/>
          <w:color w:val="000000" w:themeColor="text1"/>
          <w:szCs w:val="22"/>
          <w14:ligatures w14:val="none"/>
        </w:rPr>
        <w:fldChar w:fldCharType="separate"/>
      </w:r>
      <w:r w:rsidR="00AE0467" w:rsidRPr="00C666FA">
        <w:rPr>
          <w:rFonts w:ascii="Times New Roman" w:eastAsia="仿宋" w:hAnsi="Times New Roman" w:cs="Times New Roman"/>
          <w:noProof/>
          <w:color w:val="000000" w:themeColor="text1"/>
          <w:szCs w:val="22"/>
          <w14:ligatures w14:val="none"/>
        </w:rPr>
        <w:t>(Zhang, 2024)</w:t>
      </w:r>
      <w:r w:rsidR="00AE0467"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 xml:space="preserve">, and military posturing </w:t>
      </w:r>
      <w:r w:rsidR="00AE0467" w:rsidRPr="00C666FA">
        <w:rPr>
          <w:rFonts w:ascii="Times New Roman" w:eastAsia="仿宋" w:hAnsi="Times New Roman" w:cs="Times New Roman"/>
          <w:color w:val="000000" w:themeColor="text1"/>
          <w:szCs w:val="22"/>
          <w14:ligatures w14:val="none"/>
        </w:rPr>
        <w:fldChar w:fldCharType="begin"/>
      </w:r>
      <w:r w:rsidR="00AE0467" w:rsidRPr="00C666FA">
        <w:rPr>
          <w:rFonts w:ascii="Times New Roman" w:eastAsia="仿宋" w:hAnsi="Times New Roman" w:cs="Times New Roman"/>
          <w:color w:val="000000" w:themeColor="text1"/>
          <w:szCs w:val="22"/>
          <w14:ligatures w14:val="none"/>
        </w:rPr>
        <w:instrText xml:space="preserve"> ADDIN EN.CITE &lt;EndNote&gt;&lt;Cite&gt;&lt;Author&gt;Glaser&lt;/Author&gt;&lt;Year&gt;2015&lt;/Year&gt;&lt;RecNum&gt;603&lt;/RecNum&gt;&lt;DisplayText&gt;(Glaser, 2015)&lt;/DisplayText&gt;&lt;record&gt;&lt;rec-number&gt;603&lt;/rec-number&gt;&lt;foreign-keys&gt;&lt;key app="EN" db-id="dvsp2e2z3a9fzpezr9n5pp2lw9tf5rvzrx9x" timestamp="1751292055"&gt;603&lt;/key&gt;&lt;/foreign-keys&gt;&lt;ref-type name="Journal Article"&gt;17&lt;/ref-type&gt;&lt;contributors&gt;&lt;authors&gt;&lt;author&gt;Glaser, Charles L.&lt;/author&gt;&lt;/authors&gt;&lt;/contributors&gt;&lt;titles&gt;&lt;title&gt;A U.S.-China Grand Bargain? The Hard Choice between Military Competition and Accommodation&lt;/title&gt;&lt;secondary-title&gt;International Security&lt;/secondary-title&gt;&lt;/titles&gt;&lt;periodical&gt;&lt;full-title&gt;International Security&lt;/full-title&gt;&lt;/periodical&gt;&lt;pages&gt;49-90&lt;/pages&gt;&lt;volume&gt;39&lt;/volume&gt;&lt;number&gt;4&lt;/number&gt;&lt;dates&gt;&lt;year&gt;2015&lt;/year&gt;&lt;/dates&gt;&lt;publisher&gt;The MIT Press&lt;/publisher&gt;&lt;isbn&gt;01622889, 15314804&lt;/isbn&gt;&lt;urls&gt;&lt;related-urls&gt;&lt;url&gt;http://www.jstor.org/stable/24480607&lt;/url&gt;&lt;/related-urls&gt;&lt;/urls&gt;&lt;custom1&gt;Full publication date: SPRING 2015&lt;/custom1&gt;&lt;remote-database-name&gt;JSTOR&lt;/remote-database-name&gt;&lt;access-date&gt;2025/06/30/&lt;/access-date&gt;&lt;/record&gt;&lt;/Cite&gt;&lt;/EndNote&gt;</w:instrText>
      </w:r>
      <w:r w:rsidR="00AE0467" w:rsidRPr="00C666FA">
        <w:rPr>
          <w:rFonts w:ascii="Times New Roman" w:eastAsia="仿宋" w:hAnsi="Times New Roman" w:cs="Times New Roman"/>
          <w:color w:val="000000" w:themeColor="text1"/>
          <w:szCs w:val="22"/>
          <w14:ligatures w14:val="none"/>
        </w:rPr>
        <w:fldChar w:fldCharType="separate"/>
      </w:r>
      <w:r w:rsidR="00AE0467" w:rsidRPr="00C666FA">
        <w:rPr>
          <w:rFonts w:ascii="Times New Roman" w:eastAsia="仿宋" w:hAnsi="Times New Roman" w:cs="Times New Roman"/>
          <w:noProof/>
          <w:color w:val="000000" w:themeColor="text1"/>
          <w:szCs w:val="22"/>
          <w14:ligatures w14:val="none"/>
        </w:rPr>
        <w:t>(Glaser, 2015)</w:t>
      </w:r>
      <w:r w:rsidR="00AE0467"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 these factors collectively constitute a systemic and long-term source of geopolitical risk, bringing sustained uncertainty to global financial and economic markets.</w:t>
      </w:r>
    </w:p>
    <w:p w14:paraId="3DF3568B" w14:textId="1D23F364" w:rsidR="00BA2606" w:rsidRPr="00C666FA" w:rsidRDefault="00BA2606" w:rsidP="00BA2606">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In the economic and trade sphere, the rise in trade policy uncertainty has significantly increased the risk premium of major U.S. stock indices, with an annualized increase of 4% to 6% </w:t>
      </w:r>
      <w:r w:rsidR="00AE0467" w:rsidRPr="00C666FA">
        <w:rPr>
          <w:rFonts w:ascii="Times New Roman" w:eastAsia="仿宋" w:hAnsi="Times New Roman" w:cs="Times New Roman"/>
          <w:color w:val="000000" w:themeColor="text1"/>
          <w:szCs w:val="22"/>
          <w14:ligatures w14:val="none"/>
        </w:rPr>
        <w:fldChar w:fldCharType="begin"/>
      </w:r>
      <w:r w:rsidR="00AE0467" w:rsidRPr="00C666FA">
        <w:rPr>
          <w:rFonts w:ascii="Times New Roman" w:eastAsia="仿宋" w:hAnsi="Times New Roman" w:cs="Times New Roman"/>
          <w:color w:val="000000" w:themeColor="text1"/>
          <w:szCs w:val="22"/>
          <w14:ligatures w14:val="none"/>
        </w:rPr>
        <w:instrText xml:space="preserve"> ADDIN EN.CITE &lt;EndNote&gt;&lt;Cite&gt;&lt;Author&gt;Bianconi&lt;/Author&gt;&lt;Year&gt;2021&lt;/Year&gt;&lt;RecNum&gt;602&lt;/RecNum&gt;&lt;DisplayText&gt;(Bianconi et al., 2021)&lt;/DisplayText&gt;&lt;record&gt;&lt;rec-number&gt;602&lt;/rec-number&gt;&lt;foreign-keys&gt;&lt;key app="EN" db-id="dvsp2e2z3a9fzpezr9n5pp2lw9tf5rvzrx9x" timestamp="1751291651"&gt;602&lt;/key&gt;&lt;/foreign-keys&gt;&lt;ref-type name="Journal Article"&gt;17&lt;/ref-type&gt;&lt;contributors&gt;&lt;authors&gt;&lt;author&gt;Bianconi, Marcelo&lt;/author&gt;&lt;author&gt;Esposito, Federico&lt;/author&gt;&lt;author&gt;Sammon, Marco&lt;/author&gt;&lt;/authors&gt;&lt;/contributors&gt;&lt;titles&gt;&lt;title&gt;Trade policy uncertainty and stock returns&lt;/title&gt;&lt;secondary-title&gt;Journal of International Money and Finance&lt;/secondary-title&gt;&lt;/titles&gt;&lt;periodical&gt;&lt;full-title&gt;Journal of International Money and Finance&lt;/full-title&gt;&lt;/periodical&gt;&lt;pages&gt;102492&lt;/pages&gt;&lt;volume&gt;119&lt;/volume&gt;&lt;keywords&gt;&lt;keyword&gt;Trade policy&lt;/keyword&gt;&lt;keyword&gt;Risk premium&lt;/keyword&gt;&lt;keyword&gt;Uncertainty&lt;/keyword&gt;&lt;keyword&gt;Tariff rates&lt;/keyword&gt;&lt;keyword&gt;Portfolio analysis&lt;/keyword&gt;&lt;/keywords&gt;&lt;dates&gt;&lt;year&gt;2021&lt;/year&gt;&lt;pub-dates&gt;&lt;date&gt;2021/12/01/&lt;/date&gt;&lt;/pub-dates&gt;&lt;/dates&gt;&lt;isbn&gt;0261-5606&lt;/isbn&gt;&lt;urls&gt;&lt;related-urls&gt;&lt;url&gt;https://www.sciencedirect.com/science/article/pii/S0261560621001431&lt;/url&gt;&lt;/related-urls&gt;&lt;/urls&gt;&lt;electronic-resource-num&gt;https://doi.org/10.1016/j.jimonfin.2021.102492&lt;/electronic-resource-num&gt;&lt;/record&gt;&lt;/Cite&gt;&lt;/EndNote&gt;</w:instrText>
      </w:r>
      <w:r w:rsidR="00AE0467" w:rsidRPr="00C666FA">
        <w:rPr>
          <w:rFonts w:ascii="Times New Roman" w:eastAsia="仿宋" w:hAnsi="Times New Roman" w:cs="Times New Roman"/>
          <w:color w:val="000000" w:themeColor="text1"/>
          <w:szCs w:val="22"/>
          <w14:ligatures w14:val="none"/>
        </w:rPr>
        <w:fldChar w:fldCharType="separate"/>
      </w:r>
      <w:r w:rsidR="00AE0467" w:rsidRPr="00C666FA">
        <w:rPr>
          <w:rFonts w:ascii="Times New Roman" w:eastAsia="仿宋" w:hAnsi="Times New Roman" w:cs="Times New Roman"/>
          <w:noProof/>
          <w:color w:val="000000" w:themeColor="text1"/>
          <w:szCs w:val="22"/>
          <w14:ligatures w14:val="none"/>
        </w:rPr>
        <w:t>(Bianconi et al., 2021)</w:t>
      </w:r>
      <w:r w:rsidR="00AE0467"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w:t>
      </w:r>
      <w:r w:rsidRPr="00C666FA">
        <w:rPr>
          <w:rFonts w:ascii="Times New Roman" w:eastAsia="仿宋" w:hAnsi="Times New Roman" w:cs="Times New Roman" w:hint="eastAsia"/>
          <w:color w:val="000000" w:themeColor="text1"/>
          <w:szCs w:val="22"/>
          <w14:ligatures w14:val="none"/>
        </w:rPr>
        <w:t xml:space="preserve"> </w:t>
      </w:r>
      <w:r w:rsidRPr="00C666FA">
        <w:rPr>
          <w:rFonts w:ascii="Times New Roman" w:eastAsia="仿宋" w:hAnsi="Times New Roman" w:cs="Times New Roman"/>
          <w:color w:val="000000" w:themeColor="text1"/>
          <w:szCs w:val="22"/>
          <w14:ligatures w14:val="none"/>
        </w:rPr>
        <w:t xml:space="preserve">Building on this, some studies suggest that when the </w:t>
      </w:r>
      <w:r w:rsidRPr="00C666FA">
        <w:rPr>
          <w:rFonts w:ascii="Times New Roman" w:eastAsia="仿宋" w:hAnsi="Times New Roman" w:cs="Times New Roman" w:hint="eastAsia"/>
          <w:color w:val="000000" w:themeColor="text1"/>
          <w:szCs w:val="22"/>
          <w14:ligatures w14:val="none"/>
        </w:rPr>
        <w:t>U.S.</w:t>
      </w:r>
      <w:r w:rsidRPr="00C666FA">
        <w:rPr>
          <w:rFonts w:ascii="Times New Roman" w:eastAsia="仿宋" w:hAnsi="Times New Roman" w:cs="Times New Roman"/>
          <w:color w:val="000000" w:themeColor="text1"/>
          <w:szCs w:val="22"/>
          <w14:ligatures w14:val="none"/>
        </w:rPr>
        <w:t xml:space="preserve"> imposes additional tariffs or trade policy expectations deteriorate, major indices such as the S&amp;P 500, Dow Jones, and Nasdaq may cumulatively decline by 7% to 10% over the next two years </w:t>
      </w:r>
      <w:r w:rsidR="00AE0467" w:rsidRPr="00C666FA">
        <w:rPr>
          <w:rFonts w:ascii="Times New Roman" w:eastAsia="仿宋" w:hAnsi="Times New Roman" w:cs="Times New Roman"/>
          <w:color w:val="000000" w:themeColor="text1"/>
          <w:szCs w:val="22"/>
          <w14:ligatures w14:val="none"/>
        </w:rPr>
        <w:fldChar w:fldCharType="begin"/>
      </w:r>
      <w:r w:rsidR="00AE0467" w:rsidRPr="00C666FA">
        <w:rPr>
          <w:rFonts w:ascii="Times New Roman" w:eastAsia="仿宋" w:hAnsi="Times New Roman" w:cs="Times New Roman"/>
          <w:color w:val="000000" w:themeColor="text1"/>
          <w:szCs w:val="22"/>
          <w14:ligatures w14:val="none"/>
        </w:rPr>
        <w:instrText xml:space="preserve"> ADDIN EN.CITE &lt;EndNote&gt;&lt;Cite&gt;&lt;Author&gt;Yilmazkuday&lt;/Author&gt;&lt;Year&gt;2025&lt;/Year&gt;&lt;RecNum&gt;565&lt;/RecNum&gt;&lt;DisplayText&gt;(Yilmazkuday, 2025)&lt;/DisplayText&gt;&lt;record&gt;&lt;rec-number&gt;565&lt;/rec-number&gt;&lt;foreign-keys&gt;&lt;key app="EN" db-id="dvsp2e2z3a9fzpezr9n5pp2lw9tf5rvzrx9x" timestamp="1751172915"&gt;565&lt;/key&gt;&lt;/foreign-keys&gt;&lt;ref-type name="Journal Article"&gt;17&lt;/ref-type&gt;&lt;contributors&gt;&lt;authors&gt;&lt;author&gt;Yilmazkuday, Hakan&lt;/author&gt;&lt;/authors&gt;&lt;/contributors&gt;&lt;titles&gt;&lt;title&gt;U.S. tariffs and stock prices&lt;/title&gt;&lt;secondary-title&gt;Finance Research Letters&lt;/secondary-title&gt;&lt;/titles&gt;&lt;periodical&gt;&lt;full-title&gt;Finance Research Letters&lt;/full-title&gt;&lt;/periodical&gt;&lt;pages&gt;107708&lt;/pages&gt;&lt;volume&gt;83&lt;/volume&gt;&lt;keywords&gt;&lt;keyword&gt;Tariffs&lt;/keyword&gt;&lt;keyword&gt;Trade policy uncertainty&lt;/keyword&gt;&lt;keyword&gt;Stock prices&lt;/keyword&gt;&lt;keyword&gt;S&amp;amp;P 500&lt;/keyword&gt;&lt;keyword&gt;Nasdaq&lt;/keyword&gt;&lt;keyword&gt;Dow Jones&lt;/keyword&gt;&lt;/keywords&gt;&lt;dates&gt;&lt;year&gt;2025&lt;/year&gt;&lt;pub-dates&gt;&lt;date&gt;2025/10/01/&lt;/date&gt;&lt;/pub-dates&gt;&lt;/dates&gt;&lt;isbn&gt;1544-6123&lt;/isbn&gt;&lt;urls&gt;&lt;related-urls&gt;&lt;url&gt;https://www.sciencedirect.com/science/article/pii/S1544612325009663&lt;/url&gt;&lt;/related-urls&gt;&lt;/urls&gt;&lt;electronic-resource-num&gt;https://doi.org/10.1016/j.frl.2025.107708&lt;/electronic-resource-num&gt;&lt;/record&gt;&lt;/Cite&gt;&lt;/EndNote&gt;</w:instrText>
      </w:r>
      <w:r w:rsidR="00AE0467" w:rsidRPr="00C666FA">
        <w:rPr>
          <w:rFonts w:ascii="Times New Roman" w:eastAsia="仿宋" w:hAnsi="Times New Roman" w:cs="Times New Roman"/>
          <w:color w:val="000000" w:themeColor="text1"/>
          <w:szCs w:val="22"/>
          <w14:ligatures w14:val="none"/>
        </w:rPr>
        <w:fldChar w:fldCharType="separate"/>
      </w:r>
      <w:r w:rsidR="00AE0467" w:rsidRPr="00C666FA">
        <w:rPr>
          <w:rFonts w:ascii="Times New Roman" w:eastAsia="仿宋" w:hAnsi="Times New Roman" w:cs="Times New Roman"/>
          <w:noProof/>
          <w:color w:val="000000" w:themeColor="text1"/>
          <w:szCs w:val="22"/>
          <w14:ligatures w14:val="none"/>
        </w:rPr>
        <w:t>(Yilmazkuday, 2025)</w:t>
      </w:r>
      <w:r w:rsidR="00AE0467"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 Such shocks not only trigger significant fluctuations in asset prices but also have profound implications for cross-border capital flows, global asset allocation, and corporate profit expectations.</w:t>
      </w:r>
    </w:p>
    <w:p w14:paraId="3B4BE3A5" w14:textId="4750E97E" w:rsidR="00BA2606" w:rsidRPr="00C666FA" w:rsidRDefault="00BA2606" w:rsidP="00BA2606">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At the technological level, U.S. restrictions on technology transfers to China reflect geopolitical competition over global technological dominance. Technological advantages are not only crucial to national security but also significantly determine a country's influence and institutional shaping capabilities in global governance </w:t>
      </w:r>
      <w:r w:rsidR="00AE0467" w:rsidRPr="00C666FA">
        <w:rPr>
          <w:rFonts w:ascii="Times New Roman" w:eastAsia="仿宋" w:hAnsi="Times New Roman" w:cs="Times New Roman"/>
          <w:color w:val="000000" w:themeColor="text1"/>
          <w:szCs w:val="22"/>
          <w14:ligatures w14:val="none"/>
        </w:rPr>
        <w:fldChar w:fldCharType="begin"/>
      </w:r>
      <w:r w:rsidR="00AE0467" w:rsidRPr="00C666FA">
        <w:rPr>
          <w:rFonts w:ascii="Times New Roman" w:eastAsia="仿宋" w:hAnsi="Times New Roman" w:cs="Times New Roman"/>
          <w:color w:val="000000" w:themeColor="text1"/>
          <w:szCs w:val="22"/>
          <w14:ligatures w14:val="none"/>
        </w:rPr>
        <w:instrText xml:space="preserve"> ADDIN EN.CITE &lt;EndNote&gt;&lt;Cite&gt;&lt;Author&gt;Zhang&lt;/Author&gt;&lt;Year&gt;2024&lt;/Year&gt;&lt;RecNum&gt;595&lt;/RecNum&gt;&lt;DisplayText&gt;(Zhang, 2024)&lt;/DisplayText&gt;&lt;record&gt;&lt;rec-number&gt;595&lt;/rec-number&gt;&lt;foreign-keys&gt;&lt;key app="EN" db-id="dvsp2e2z3a9fzpezr9n5pp2lw9tf5rvzrx9x" timestamp="1751276555"&gt;595&lt;/key&gt;&lt;/foreign-keys&gt;&lt;ref-type name="Journal Article"&gt;17&lt;/ref-type&gt;&lt;contributors&gt;&lt;authors&gt;&lt;author&gt;Zhang, Kevin Honglin&lt;/author&gt;&lt;/authors&gt;&lt;/contributors&gt;&lt;titles&gt;&lt;title&gt;Geoeconomics of US-China tech rivalry and industrial policy&lt;/title&gt;&lt;secondary-title&gt;Asia and the Global Economy&lt;/secondary-title&gt;&lt;/titles&gt;&lt;periodical&gt;&lt;full-title&gt;Asia and the Global Economy&lt;/full-title&gt;&lt;/periodical&gt;&lt;pages&gt;100098&lt;/pages&gt;&lt;volume&gt;4&lt;/volume&gt;&lt;number&gt;2&lt;/number&gt;&lt;keywords&gt;&lt;keyword&gt;Geoeconomics of technology&lt;/keyword&gt;&lt;keyword&gt;Industrial policy&lt;/keyword&gt;&lt;keyword&gt;Global tech statism&lt;/keyword&gt;&lt;keyword&gt;Us-china tech rivalry&lt;/keyword&gt;&lt;keyword&gt;Tech nationalism&lt;/keyword&gt;&lt;/keywords&gt;&lt;dates&gt;&lt;year&gt;2024&lt;/year&gt;&lt;pub-dates&gt;&lt;date&gt;2024/07/01/&lt;/date&gt;&lt;/pub-dates&gt;&lt;/dates&gt;&lt;isbn&gt;2667-1115&lt;/isbn&gt;&lt;urls&gt;&lt;related-urls&gt;&lt;url&gt;https://www.sciencedirect.com/science/article/pii/S2667111524000227&lt;/url&gt;&lt;/related-urls&gt;&lt;/urls&gt;&lt;electronic-resource-num&gt;https://doi.org/10.1016/j.aglobe.2024.100098&lt;/electronic-resource-num&gt;&lt;/record&gt;&lt;/Cite&gt;&lt;/EndNote&gt;</w:instrText>
      </w:r>
      <w:r w:rsidR="00AE0467" w:rsidRPr="00C666FA">
        <w:rPr>
          <w:rFonts w:ascii="Times New Roman" w:eastAsia="仿宋" w:hAnsi="Times New Roman" w:cs="Times New Roman"/>
          <w:color w:val="000000" w:themeColor="text1"/>
          <w:szCs w:val="22"/>
          <w14:ligatures w14:val="none"/>
        </w:rPr>
        <w:fldChar w:fldCharType="separate"/>
      </w:r>
      <w:r w:rsidR="00AE0467" w:rsidRPr="00C666FA">
        <w:rPr>
          <w:rFonts w:ascii="Times New Roman" w:eastAsia="仿宋" w:hAnsi="Times New Roman" w:cs="Times New Roman"/>
          <w:noProof/>
          <w:color w:val="000000" w:themeColor="text1"/>
          <w:szCs w:val="22"/>
          <w14:ligatures w14:val="none"/>
        </w:rPr>
        <w:t>(Zhang, 2024)</w:t>
      </w:r>
      <w:r w:rsidR="00AE0467"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w:t>
      </w:r>
    </w:p>
    <w:p w14:paraId="6968FFEA" w14:textId="470B5460" w:rsidR="00BA2606" w:rsidRPr="00C666FA" w:rsidRDefault="00BA2606" w:rsidP="00BA2606">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On the security front, faced with China's rapid rise, the </w:t>
      </w:r>
      <w:r w:rsidRPr="00C666FA">
        <w:rPr>
          <w:rFonts w:ascii="Times New Roman" w:eastAsia="仿宋" w:hAnsi="Times New Roman" w:cs="Times New Roman" w:hint="eastAsia"/>
          <w:color w:val="000000" w:themeColor="text1"/>
          <w:szCs w:val="22"/>
          <w14:ligatures w14:val="none"/>
        </w:rPr>
        <w:t>U.S.</w:t>
      </w:r>
      <w:r w:rsidRPr="00C666FA">
        <w:rPr>
          <w:rFonts w:ascii="Times New Roman" w:eastAsia="仿宋" w:hAnsi="Times New Roman" w:cs="Times New Roman"/>
          <w:color w:val="000000" w:themeColor="text1"/>
          <w:szCs w:val="22"/>
          <w14:ligatures w14:val="none"/>
        </w:rPr>
        <w:t xml:space="preserve"> is grappling with a difficult choice between “military competition” and “strategic dialogue,” particularly given its long-standing security commitments toward Taiwan, which could serve as a potential trigger for strategic conflict between the </w:t>
      </w:r>
      <w:r w:rsidRPr="00C666FA">
        <w:rPr>
          <w:rFonts w:ascii="Times New Roman" w:eastAsia="仿宋" w:hAnsi="Times New Roman" w:cs="Times New Roman" w:hint="eastAsia"/>
          <w:color w:val="000000" w:themeColor="text1"/>
          <w:szCs w:val="22"/>
          <w14:ligatures w14:val="none"/>
        </w:rPr>
        <w:t>U.S.</w:t>
      </w:r>
      <w:r w:rsidRPr="00C666FA">
        <w:rPr>
          <w:rFonts w:ascii="Times New Roman" w:eastAsia="仿宋" w:hAnsi="Times New Roman" w:cs="Times New Roman"/>
          <w:color w:val="000000" w:themeColor="text1"/>
          <w:szCs w:val="22"/>
          <w14:ligatures w14:val="none"/>
        </w:rPr>
        <w:t xml:space="preserve"> and China, and exacerbate geopolitical competition over maritime transport routes in East Asia </w:t>
      </w:r>
      <w:r w:rsidR="00AE0467" w:rsidRPr="00C666FA">
        <w:rPr>
          <w:rFonts w:ascii="Times New Roman" w:eastAsia="仿宋" w:hAnsi="Times New Roman" w:cs="Times New Roman"/>
          <w:color w:val="000000" w:themeColor="text1"/>
          <w:szCs w:val="22"/>
          <w14:ligatures w14:val="none"/>
        </w:rPr>
        <w:fldChar w:fldCharType="begin"/>
      </w:r>
      <w:r w:rsidR="00AE0467" w:rsidRPr="00C666FA">
        <w:rPr>
          <w:rFonts w:ascii="Times New Roman" w:eastAsia="仿宋" w:hAnsi="Times New Roman" w:cs="Times New Roman"/>
          <w:color w:val="000000" w:themeColor="text1"/>
          <w:szCs w:val="22"/>
          <w14:ligatures w14:val="none"/>
        </w:rPr>
        <w:instrText xml:space="preserve"> ADDIN EN.CITE &lt;EndNote&gt;&lt;Cite&gt;&lt;Author&gt;Glaser&lt;/Author&gt;&lt;Year&gt;2015&lt;/Year&gt;&lt;RecNum&gt;603&lt;/RecNum&gt;&lt;DisplayText&gt;(Glaser, 2015)&lt;/DisplayText&gt;&lt;record&gt;&lt;rec-number&gt;603&lt;/rec-number&gt;&lt;foreign-keys&gt;&lt;key app="EN" db-id="dvsp2e2z3a9fzpezr9n5pp2lw9tf5rvzrx9x" timestamp="1751292055"&gt;603&lt;/key&gt;&lt;/foreign-keys&gt;&lt;ref-type name="Journal Article"&gt;17&lt;/ref-type&gt;&lt;contributors&gt;&lt;authors&gt;&lt;author&gt;Glaser, Charles L.&lt;/author&gt;&lt;/authors&gt;&lt;/contributors&gt;&lt;titles&gt;&lt;title&gt;A U.S.-China Grand Bargain? The Hard Choice between Military Competition and Accommodation&lt;/title&gt;&lt;secondary-title&gt;International Security&lt;/secondary-title&gt;&lt;/titles&gt;&lt;periodical&gt;&lt;full-title&gt;International Security&lt;/full-title&gt;&lt;/periodical&gt;&lt;pages&gt;49-90&lt;/pages&gt;&lt;volume&gt;39&lt;/volume&gt;&lt;number&gt;4&lt;/number&gt;&lt;dates&gt;&lt;year&gt;2015&lt;/year&gt;&lt;/dates&gt;&lt;publisher&gt;The MIT Press&lt;/publisher&gt;&lt;isbn&gt;01622889, 15314804&lt;/isbn&gt;&lt;urls&gt;&lt;related-urls&gt;&lt;url&gt;http://www.jstor.org/stable/24480607&lt;/url&gt;&lt;/related-urls&gt;&lt;/urls&gt;&lt;custom1&gt;Full publication date: SPRING 2015&lt;/custom1&gt;&lt;remote-database-name&gt;JSTOR&lt;/remote-database-name&gt;&lt;access-date&gt;2025/06/30/&lt;/access-date&gt;&lt;/record&gt;&lt;/Cite&gt;&lt;/EndNote&gt;</w:instrText>
      </w:r>
      <w:r w:rsidR="00AE0467" w:rsidRPr="00C666FA">
        <w:rPr>
          <w:rFonts w:ascii="Times New Roman" w:eastAsia="仿宋" w:hAnsi="Times New Roman" w:cs="Times New Roman"/>
          <w:color w:val="000000" w:themeColor="text1"/>
          <w:szCs w:val="22"/>
          <w14:ligatures w14:val="none"/>
        </w:rPr>
        <w:fldChar w:fldCharType="separate"/>
      </w:r>
      <w:r w:rsidR="00AE0467" w:rsidRPr="00C666FA">
        <w:rPr>
          <w:rFonts w:ascii="Times New Roman" w:eastAsia="仿宋" w:hAnsi="Times New Roman" w:cs="Times New Roman"/>
          <w:noProof/>
          <w:color w:val="000000" w:themeColor="text1"/>
          <w:szCs w:val="22"/>
          <w14:ligatures w14:val="none"/>
        </w:rPr>
        <w:t>(Glaser, 2015)</w:t>
      </w:r>
      <w:r w:rsidR="00AE0467"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w:t>
      </w:r>
    </w:p>
    <w:p w14:paraId="7C2E9F14" w14:textId="3DB30789" w:rsidR="00BA2606" w:rsidRPr="00C666FA" w:rsidRDefault="00BA2606" w:rsidP="00BA2606">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The </w:t>
      </w:r>
      <w:proofErr w:type="gramStart"/>
      <w:r w:rsidRPr="00C666FA">
        <w:rPr>
          <w:rFonts w:ascii="Times New Roman" w:eastAsia="仿宋" w:hAnsi="Times New Roman" w:cs="Times New Roman"/>
          <w:color w:val="000000" w:themeColor="text1"/>
          <w:szCs w:val="22"/>
          <w14:ligatures w14:val="none"/>
        </w:rPr>
        <w:t>aforementioned geopolitical</w:t>
      </w:r>
      <w:proofErr w:type="gramEnd"/>
      <w:r w:rsidRPr="00C666FA">
        <w:rPr>
          <w:rFonts w:ascii="Times New Roman" w:eastAsia="仿宋" w:hAnsi="Times New Roman" w:cs="Times New Roman"/>
          <w:color w:val="000000" w:themeColor="text1"/>
          <w:szCs w:val="22"/>
          <w14:ligatures w14:val="none"/>
        </w:rPr>
        <w:t xml:space="preserve"> risks are being transmitted to global markets through financial channels. On the one hand, the escalation of U.S.-China tensions often triggers risk aversion (such as a decline in investor risk appetite and capital inflows into safe assets), driving up the prices of safe-haven assets such as gold, while also causing sharp adjustments in stock markets and a significant increase in volatility</w:t>
      </w:r>
      <w:r w:rsidR="00831F58" w:rsidRPr="00C666FA">
        <w:rPr>
          <w:rFonts w:ascii="Times New Roman" w:eastAsia="仿宋" w:hAnsi="Times New Roman" w:cs="Times New Roman" w:hint="eastAsia"/>
          <w:color w:val="000000" w:themeColor="text1"/>
          <w:szCs w:val="22"/>
          <w14:ligatures w14:val="none"/>
        </w:rPr>
        <w:t xml:space="preserve"> </w:t>
      </w:r>
      <w:r w:rsidR="00831F58" w:rsidRPr="00C666FA">
        <w:rPr>
          <w:rFonts w:ascii="Times New Roman" w:eastAsia="仿宋" w:hAnsi="Times New Roman" w:cs="Times New Roman"/>
          <w:color w:val="000000" w:themeColor="text1"/>
          <w:szCs w:val="22"/>
          <w14:ligatures w14:val="none"/>
        </w:rPr>
        <w:fldChar w:fldCharType="begin">
          <w:fldData xml:space="preserve">PEVuZE5vdGU+PENpdGU+PEF1dGhvcj5UcmlraTwvQXV0aG9yPjxZZWFyPjIwMjE8L1llYXI+PFJl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</w:fldData>
        </w:fldChar>
      </w:r>
      <w:r w:rsidR="00831F58" w:rsidRPr="00C666FA">
        <w:rPr>
          <w:rFonts w:ascii="Times New Roman" w:eastAsia="仿宋" w:hAnsi="Times New Roman" w:cs="Times New Roman"/>
          <w:color w:val="000000" w:themeColor="text1"/>
          <w:szCs w:val="22"/>
          <w14:ligatures w14:val="none"/>
        </w:rPr>
        <w:instrText xml:space="preserve"> ADDIN EN.CITE </w:instrText>
      </w:r>
      <w:r w:rsidR="00831F58" w:rsidRPr="00C666FA">
        <w:rPr>
          <w:rFonts w:ascii="Times New Roman" w:eastAsia="仿宋" w:hAnsi="Times New Roman" w:cs="Times New Roman"/>
          <w:color w:val="000000" w:themeColor="text1"/>
          <w:szCs w:val="22"/>
          <w14:ligatures w14:val="none"/>
        </w:rPr>
        <w:fldChar w:fldCharType="begin">
          <w:fldData xml:space="preserve">PEVuZE5vdGU+PENpdGU+PEF1dGhvcj5UcmlraTwvQXV0aG9yPjxZZWFyPjIwMjE8L1llYXI+PFJl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</w:fldData>
        </w:fldChar>
      </w:r>
      <w:r w:rsidR="00831F58" w:rsidRPr="00C666FA">
        <w:rPr>
          <w:rFonts w:ascii="Times New Roman" w:eastAsia="仿宋" w:hAnsi="Times New Roman" w:cs="Times New Roman"/>
          <w:color w:val="000000" w:themeColor="text1"/>
          <w:szCs w:val="22"/>
          <w14:ligatures w14:val="none"/>
        </w:rPr>
        <w:instrText xml:space="preserve"> ADDIN EN.CITE.DATA </w:instrText>
      </w:r>
      <w:r w:rsidR="00831F58" w:rsidRPr="00C666FA">
        <w:rPr>
          <w:rFonts w:ascii="Times New Roman" w:eastAsia="仿宋" w:hAnsi="Times New Roman" w:cs="Times New Roman"/>
          <w:color w:val="000000" w:themeColor="text1"/>
          <w:szCs w:val="22"/>
          <w14:ligatures w14:val="none"/>
        </w:rPr>
      </w:r>
      <w:r w:rsidR="00831F58" w:rsidRPr="00C666FA">
        <w:rPr>
          <w:rFonts w:ascii="Times New Roman" w:eastAsia="仿宋" w:hAnsi="Times New Roman" w:cs="Times New Roman"/>
          <w:color w:val="000000" w:themeColor="text1"/>
          <w:szCs w:val="22"/>
          <w14:ligatures w14:val="none"/>
        </w:rPr>
        <w:fldChar w:fldCharType="end"/>
      </w:r>
      <w:r w:rsidR="00831F58" w:rsidRPr="00C666FA">
        <w:rPr>
          <w:rFonts w:ascii="Times New Roman" w:eastAsia="仿宋" w:hAnsi="Times New Roman" w:cs="Times New Roman"/>
          <w:color w:val="000000" w:themeColor="text1"/>
          <w:szCs w:val="22"/>
          <w14:ligatures w14:val="none"/>
        </w:rPr>
      </w:r>
      <w:r w:rsidR="00831F58" w:rsidRPr="00C666FA">
        <w:rPr>
          <w:rFonts w:ascii="Times New Roman" w:eastAsia="仿宋" w:hAnsi="Times New Roman" w:cs="Times New Roman"/>
          <w:color w:val="000000" w:themeColor="text1"/>
          <w:szCs w:val="22"/>
          <w14:ligatures w14:val="none"/>
        </w:rPr>
        <w:fldChar w:fldCharType="separate"/>
      </w:r>
      <w:r w:rsidR="00831F58" w:rsidRPr="00C666FA">
        <w:rPr>
          <w:rFonts w:ascii="Times New Roman" w:eastAsia="仿宋" w:hAnsi="Times New Roman" w:cs="Times New Roman"/>
          <w:noProof/>
          <w:color w:val="000000" w:themeColor="text1"/>
          <w:szCs w:val="22"/>
          <w14:ligatures w14:val="none"/>
        </w:rPr>
        <w:t>(Chiang, 2022; Feder-Sempach et al., 2024; Triki &amp; Ben Maatoug, 2021)</w:t>
      </w:r>
      <w:r w:rsidR="00831F58"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w:t>
      </w:r>
      <w:r w:rsidRPr="00C666FA">
        <w:rPr>
          <w:rFonts w:ascii="Times New Roman" w:eastAsia="仿宋" w:hAnsi="Times New Roman" w:cs="Times New Roman" w:hint="eastAsia"/>
          <w:color w:val="000000" w:themeColor="text1"/>
          <w:szCs w:val="22"/>
          <w14:ligatures w14:val="none"/>
        </w:rPr>
        <w:t xml:space="preserve"> </w:t>
      </w:r>
      <w:r w:rsidRPr="00C666FA">
        <w:rPr>
          <w:rFonts w:ascii="Times New Roman" w:eastAsia="仿宋" w:hAnsi="Times New Roman" w:cs="Times New Roman"/>
          <w:color w:val="000000" w:themeColor="text1"/>
          <w:szCs w:val="22"/>
          <w14:ligatures w14:val="none"/>
        </w:rPr>
        <w:t xml:space="preserve">On the other hand, exchange rate markets are also significantly affected by changes in policy expectations, which may lead to structural fluctuations, thereby </w:t>
      </w:r>
      <w:r w:rsidRPr="00C666FA">
        <w:rPr>
          <w:rFonts w:ascii="Times New Roman" w:eastAsia="仿宋" w:hAnsi="Times New Roman" w:cs="Times New Roman"/>
          <w:color w:val="000000" w:themeColor="text1"/>
          <w:szCs w:val="22"/>
          <w14:ligatures w14:val="none"/>
        </w:rPr>
        <w:lastRenderedPageBreak/>
        <w:t>exacerbating the contagion effect on global asset prices and systemic risks in financial markets</w:t>
      </w:r>
      <w:r w:rsidR="00831F58" w:rsidRPr="00C666FA">
        <w:rPr>
          <w:rFonts w:ascii="Times New Roman" w:eastAsia="仿宋" w:hAnsi="Times New Roman" w:cs="Times New Roman" w:hint="eastAsia"/>
          <w:color w:val="000000" w:themeColor="text1"/>
          <w:szCs w:val="22"/>
          <w14:ligatures w14:val="none"/>
        </w:rPr>
        <w:t xml:space="preserve"> </w:t>
      </w:r>
      <w:r w:rsidR="00831F58" w:rsidRPr="00C666FA">
        <w:rPr>
          <w:rFonts w:ascii="Times New Roman" w:eastAsia="仿宋" w:hAnsi="Times New Roman" w:cs="Times New Roman"/>
          <w:color w:val="000000" w:themeColor="text1"/>
          <w:szCs w:val="22"/>
          <w14:ligatures w14:val="none"/>
        </w:rPr>
        <w:fldChar w:fldCharType="begin">
          <w:fldData xml:space="preserve">PEVuZE5vdGU+PENpdGU+PEF1dGhvcj5MdTwvQXV0aG9yPjxZZWFyPjIwMjQ8L1llYXI+PFJlY051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</w:fldData>
        </w:fldChar>
      </w:r>
      <w:r w:rsidR="00831F58" w:rsidRPr="00C666FA">
        <w:rPr>
          <w:rFonts w:ascii="Times New Roman" w:eastAsia="仿宋" w:hAnsi="Times New Roman" w:cs="Times New Roman"/>
          <w:color w:val="000000" w:themeColor="text1"/>
          <w:szCs w:val="22"/>
          <w14:ligatures w14:val="none"/>
        </w:rPr>
        <w:instrText xml:space="preserve"> ADDIN EN.CITE </w:instrText>
      </w:r>
      <w:r w:rsidR="00831F58" w:rsidRPr="00C666FA">
        <w:rPr>
          <w:rFonts w:ascii="Times New Roman" w:eastAsia="仿宋" w:hAnsi="Times New Roman" w:cs="Times New Roman"/>
          <w:color w:val="000000" w:themeColor="text1"/>
          <w:szCs w:val="22"/>
          <w14:ligatures w14:val="none"/>
        </w:rPr>
        <w:fldChar w:fldCharType="begin">
          <w:fldData xml:space="preserve">PEVuZE5vdGU+PENpdGU+PEF1dGhvcj5MdTwvQXV0aG9yPjxZZWFyPjIwMjQ8L1llYXI+PFJlY051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</w:fldData>
        </w:fldChar>
      </w:r>
      <w:r w:rsidR="00831F58" w:rsidRPr="00C666FA">
        <w:rPr>
          <w:rFonts w:ascii="Times New Roman" w:eastAsia="仿宋" w:hAnsi="Times New Roman" w:cs="Times New Roman"/>
          <w:color w:val="000000" w:themeColor="text1"/>
          <w:szCs w:val="22"/>
          <w14:ligatures w14:val="none"/>
        </w:rPr>
        <w:instrText xml:space="preserve"> ADDIN EN.CITE.DATA </w:instrText>
      </w:r>
      <w:r w:rsidR="00831F58" w:rsidRPr="00C666FA">
        <w:rPr>
          <w:rFonts w:ascii="Times New Roman" w:eastAsia="仿宋" w:hAnsi="Times New Roman" w:cs="Times New Roman"/>
          <w:color w:val="000000" w:themeColor="text1"/>
          <w:szCs w:val="22"/>
          <w14:ligatures w14:val="none"/>
        </w:rPr>
      </w:r>
      <w:r w:rsidR="00831F58" w:rsidRPr="00C666FA">
        <w:rPr>
          <w:rFonts w:ascii="Times New Roman" w:eastAsia="仿宋" w:hAnsi="Times New Roman" w:cs="Times New Roman"/>
          <w:color w:val="000000" w:themeColor="text1"/>
          <w:szCs w:val="22"/>
          <w14:ligatures w14:val="none"/>
        </w:rPr>
        <w:fldChar w:fldCharType="end"/>
      </w:r>
      <w:r w:rsidR="00831F58" w:rsidRPr="00C666FA">
        <w:rPr>
          <w:rFonts w:ascii="Times New Roman" w:eastAsia="仿宋" w:hAnsi="Times New Roman" w:cs="Times New Roman"/>
          <w:color w:val="000000" w:themeColor="text1"/>
          <w:szCs w:val="22"/>
          <w14:ligatures w14:val="none"/>
        </w:rPr>
      </w:r>
      <w:r w:rsidR="00831F58" w:rsidRPr="00C666FA">
        <w:rPr>
          <w:rFonts w:ascii="Times New Roman" w:eastAsia="仿宋" w:hAnsi="Times New Roman" w:cs="Times New Roman"/>
          <w:color w:val="000000" w:themeColor="text1"/>
          <w:szCs w:val="22"/>
          <w14:ligatures w14:val="none"/>
        </w:rPr>
        <w:fldChar w:fldCharType="separate"/>
      </w:r>
      <w:r w:rsidR="00831F58" w:rsidRPr="00C666FA">
        <w:rPr>
          <w:rFonts w:ascii="Times New Roman" w:eastAsia="仿宋" w:hAnsi="Times New Roman" w:cs="Times New Roman"/>
          <w:noProof/>
          <w:color w:val="000000" w:themeColor="text1"/>
          <w:szCs w:val="22"/>
          <w14:ligatures w14:val="none"/>
        </w:rPr>
        <w:t>(Lu et al., 2024; Wang &amp; Lee, 2022)</w:t>
      </w:r>
      <w:r w:rsidR="00831F58"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w:t>
      </w:r>
    </w:p>
    <w:p w14:paraId="37FF82D6" w14:textId="5200D5F6" w:rsidR="00BA2606" w:rsidRPr="00C666FA" w:rsidRDefault="00BA2606" w:rsidP="00BA2606">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Therefore, the evolution of U.S.-China relations not only constitutes a core issue in bilateral relations but also represents an important external shock source affecting global economic and financial stability. Systematically assessing and deeply understanding the impact of U.S.-China tensions on financial markets is of great theoretical value and practical significance.</w:t>
      </w:r>
    </w:p>
    <w:p w14:paraId="0C61331E" w14:textId="3A3C5837" w:rsidR="00564B74" w:rsidRPr="00C666FA" w:rsidRDefault="00564B74" w:rsidP="00BA2606">
      <w:pPr>
        <w:pStyle w:val="4"/>
        <w:keepNext w:val="0"/>
        <w:keepLines w:val="0"/>
        <w:widowControl/>
        <w:spacing w:before="240" w:after="0" w:line="360" w:lineRule="auto"/>
        <w:rPr>
          <w:rFonts w:ascii="Palatino Linotype" w:hAnsi="Palatino Linotype"/>
          <w:b/>
          <w:snapToGrid w:val="0"/>
          <w:color w:val="000000" w:themeColor="text1"/>
          <w:kern w:val="0"/>
          <w:sz w:val="22"/>
          <w:szCs w:val="22"/>
          <w:lang w:bidi="en-US"/>
        </w:rPr>
      </w:pPr>
      <w:r w:rsidRPr="00C666FA">
        <w:rPr>
          <w:rFonts w:ascii="Palatino Linotype" w:hAnsi="Palatino Linotype"/>
          <w:b/>
          <w:snapToGrid w:val="0"/>
          <w:color w:val="000000" w:themeColor="text1"/>
          <w:kern w:val="0"/>
          <w:sz w:val="22"/>
          <w:szCs w:val="22"/>
          <w:lang w:bidi="en-US"/>
        </w:rPr>
        <w:t>Appendix B:</w:t>
      </w:r>
      <w:r w:rsidRPr="00C666FA">
        <w:rPr>
          <w:rFonts w:ascii="Palatino Linotype" w:hAnsi="Palatino Linotype" w:hint="eastAsia"/>
          <w:b/>
          <w:snapToGrid w:val="0"/>
          <w:color w:val="000000" w:themeColor="text1"/>
          <w:kern w:val="0"/>
          <w:sz w:val="22"/>
          <w:szCs w:val="22"/>
          <w:lang w:bidi="en-US"/>
        </w:rPr>
        <w:t xml:space="preserve"> Li</w:t>
      </w:r>
      <w:r w:rsidRPr="00C666FA">
        <w:rPr>
          <w:rFonts w:ascii="Palatino Linotype" w:hAnsi="Palatino Linotype"/>
          <w:b/>
          <w:snapToGrid w:val="0"/>
          <w:color w:val="000000" w:themeColor="text1"/>
          <w:kern w:val="0"/>
          <w:sz w:val="22"/>
          <w:szCs w:val="22"/>
          <w:lang w:bidi="en-US"/>
        </w:rPr>
        <w:t xml:space="preserve">terature </w:t>
      </w:r>
      <w:r w:rsidRPr="00C666FA">
        <w:rPr>
          <w:rFonts w:ascii="Palatino Linotype" w:hAnsi="Palatino Linotype" w:hint="eastAsia"/>
          <w:b/>
          <w:snapToGrid w:val="0"/>
          <w:color w:val="000000" w:themeColor="text1"/>
          <w:kern w:val="0"/>
          <w:sz w:val="22"/>
          <w:szCs w:val="22"/>
          <w:lang w:bidi="en-US"/>
        </w:rPr>
        <w:t>R</w:t>
      </w:r>
      <w:r w:rsidRPr="00C666FA">
        <w:rPr>
          <w:rFonts w:ascii="Palatino Linotype" w:hAnsi="Palatino Linotype"/>
          <w:b/>
          <w:snapToGrid w:val="0"/>
          <w:color w:val="000000" w:themeColor="text1"/>
          <w:kern w:val="0"/>
          <w:sz w:val="22"/>
          <w:szCs w:val="22"/>
          <w:lang w:bidi="en-US"/>
        </w:rPr>
        <w:t>eview</w:t>
      </w:r>
    </w:p>
    <w:p w14:paraId="1E69CC3C" w14:textId="77777777" w:rsidR="00BA2606" w:rsidRPr="00C666FA" w:rsidRDefault="00BA2606" w:rsidP="00BA2606">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The impact of geopolitical risk (GPR) on stock market volatility has garnered significant scholarly attention. Existing literature approaches this issue from three primary perspectives: macro-finance theory, behavioral finance, and global risk transmission mechanisms.</w:t>
      </w:r>
    </w:p>
    <w:p w14:paraId="5BCCE1A7" w14:textId="262F02A4" w:rsidR="00BA2606" w:rsidRPr="00C666FA" w:rsidRDefault="00BA2606" w:rsidP="00215CBF">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From the macro-financial perspective, uncertainty shocks are regarded as a fundamental determinant of asset pricing and market volatility. </w:t>
      </w:r>
      <w:r w:rsidR="00831F58" w:rsidRPr="00C666FA">
        <w:rPr>
          <w:rFonts w:ascii="Times New Roman" w:eastAsia="仿宋" w:hAnsi="Times New Roman" w:cs="Times New Roman"/>
          <w:color w:val="000000" w:themeColor="text1"/>
          <w:szCs w:val="22"/>
          <w14:ligatures w14:val="none"/>
        </w:rPr>
        <w:fldChar w:fldCharType="begin"/>
      </w:r>
      <w:r w:rsidR="00831F58" w:rsidRPr="00C666FA">
        <w:rPr>
          <w:rFonts w:ascii="Times New Roman" w:eastAsia="仿宋" w:hAnsi="Times New Roman" w:cs="Times New Roman"/>
          <w:color w:val="000000" w:themeColor="text1"/>
          <w:szCs w:val="22"/>
          <w14:ligatures w14:val="none"/>
        </w:rPr>
        <w:instrText xml:space="preserve"> ADDIN EN.CITE &lt;EndNote&gt;&lt;Cite AuthorYear="1"&gt;&lt;Author&gt;Caldara&lt;/Author&gt;&lt;Year&gt;2022&lt;/Year&gt;&lt;RecNum&gt;567&lt;/RecNum&gt;&lt;DisplayText&gt;Caldara and Iacoviello (2022)&lt;/DisplayText&gt;&lt;record&gt;&lt;rec-number&gt;567&lt;/rec-number&gt;&lt;foreign-keys&gt;&lt;key app="EN" db-id="dvsp2e2z3a9fzpezr9n5pp2lw9tf5rvzrx9x" timestamp="1751205303"&gt;567&lt;/key&gt;&lt;/foreign-keys&gt;&lt;ref-type name="Journal Article"&gt;17&lt;/ref-type&gt;&lt;contributors&gt;&lt;authors&gt;&lt;author&gt;Caldara, Dario&lt;/author&gt;&lt;author&gt;Iacoviello, Matteo&lt;/author&gt;&lt;/authors&gt;&lt;/contributors&gt;&lt;titles&gt;&lt;title&gt;Measuring Geopolitical Risk&lt;/title&gt;&lt;secondary-title&gt;American Economic Review&lt;/secondary-title&gt;&lt;/titles&gt;&lt;periodical&gt;&lt;full-title&gt;American Economic Review&lt;/full-title&gt;&lt;/periodical&gt;&lt;pages&gt;1194-1225&lt;/pages&gt;&lt;volume&gt;112&lt;/volume&gt;&lt;number&gt;4&lt;/number&gt;&lt;dates&gt;&lt;year&gt;2022&lt;/year&gt;&lt;/dates&gt;&lt;urls&gt;&lt;related-urls&gt;&lt;url&gt;https://www.aeaweb.org/articles?id=10.1257/aer.20191823&lt;/url&gt;&lt;/related-urls&gt;&lt;/urls&gt;&lt;electronic-resource-num&gt;10.1257/aer.20191823&lt;/electronic-resource-num&gt;&lt;/record&gt;&lt;/Cite&gt;&lt;/EndNote&gt;</w:instrText>
      </w:r>
      <w:r w:rsidR="00831F58" w:rsidRPr="00C666FA">
        <w:rPr>
          <w:rFonts w:ascii="Times New Roman" w:eastAsia="仿宋" w:hAnsi="Times New Roman" w:cs="Times New Roman"/>
          <w:color w:val="000000" w:themeColor="text1"/>
          <w:szCs w:val="22"/>
          <w14:ligatures w14:val="none"/>
        </w:rPr>
        <w:fldChar w:fldCharType="separate"/>
      </w:r>
      <w:r w:rsidR="00831F58" w:rsidRPr="00C666FA">
        <w:rPr>
          <w:rFonts w:ascii="Times New Roman" w:eastAsia="仿宋" w:hAnsi="Times New Roman" w:cs="Times New Roman"/>
          <w:noProof/>
          <w:color w:val="000000" w:themeColor="text1"/>
          <w:szCs w:val="22"/>
          <w14:ligatures w14:val="none"/>
        </w:rPr>
        <w:t>Caldara and Iacoviello (2022)</w:t>
      </w:r>
      <w:r w:rsidR="00831F58"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 xml:space="preserve"> pioneered the construction of a geopolitical risk index (GPR) within a vector autoregression (VAR) framework. Their empirical findings indicate that increases in GPR significantly elevate the VIX index and depress equity prices, thus exhibiting the characteristics of a prototypical “uncertainty shock effect”. </w:t>
      </w:r>
      <w:r w:rsidR="00215CBF" w:rsidRPr="00C666FA">
        <w:rPr>
          <w:rFonts w:ascii="Times New Roman" w:eastAsia="仿宋" w:hAnsi="Times New Roman" w:cs="Times New Roman"/>
          <w:color w:val="000000" w:themeColor="text1"/>
          <w:szCs w:val="22"/>
          <w14:ligatures w14:val="none"/>
        </w:rPr>
        <w:t>T</w:t>
      </w:r>
      <w:r w:rsidR="00215CBF" w:rsidRPr="00C666FA">
        <w:rPr>
          <w:rFonts w:ascii="Times New Roman" w:eastAsia="仿宋" w:hAnsi="Times New Roman" w:cs="Times New Roman" w:hint="eastAsia"/>
          <w:color w:val="000000" w:themeColor="text1"/>
          <w:szCs w:val="22"/>
          <w14:ligatures w14:val="none"/>
        </w:rPr>
        <w:t xml:space="preserve">his </w:t>
      </w:r>
      <w:r w:rsidRPr="00C666FA">
        <w:rPr>
          <w:rFonts w:ascii="Times New Roman" w:eastAsia="仿宋" w:hAnsi="Times New Roman" w:cs="Times New Roman"/>
          <w:color w:val="000000" w:themeColor="text1"/>
          <w:szCs w:val="22"/>
          <w14:ligatures w14:val="none"/>
        </w:rPr>
        <w:t xml:space="preserve">study suggests that rising geopolitical risk increases perceived market risk, leading investors to revise downward their expectations of future earnings and apply higher discount rates, thereby amplifying market fluctuations. </w:t>
      </w:r>
      <w:r w:rsidR="00492646" w:rsidRPr="00C666FA">
        <w:rPr>
          <w:rFonts w:ascii="Times New Roman" w:eastAsia="仿宋" w:hAnsi="Times New Roman" w:cs="Times New Roman"/>
          <w:color w:val="000000" w:themeColor="text1"/>
          <w:szCs w:val="22"/>
          <w14:ligatures w14:val="none"/>
        </w:rPr>
        <w:fldChar w:fldCharType="begin"/>
      </w:r>
      <w:r w:rsidR="00492646" w:rsidRPr="00C666FA">
        <w:rPr>
          <w:rFonts w:ascii="Times New Roman" w:eastAsia="仿宋" w:hAnsi="Times New Roman" w:cs="Times New Roman"/>
          <w:color w:val="000000" w:themeColor="text1"/>
          <w:szCs w:val="22"/>
          <w14:ligatures w14:val="none"/>
        </w:rPr>
        <w:instrText xml:space="preserve"> ADDIN EN.CITE &lt;EndNote&gt;&lt;Cite AuthorYear="1"&gt;&lt;Author&gt;Zhang&lt;/Author&gt;&lt;Year&gt;2023&lt;/Year&gt;&lt;RecNum&gt;568&lt;/RecNum&gt;&lt;DisplayText&gt;Zhang et al. (2023)&lt;/DisplayText&gt;&lt;record&gt;&lt;rec-number&gt;568&lt;/rec-number&gt;&lt;foreign-keys&gt;&lt;key app="EN" db-id="dvsp2e2z3a9fzpezr9n5pp2lw9tf5rvzrx9x" timestamp="1751205628"&gt;568&lt;/key&gt;&lt;/foreign-keys&gt;&lt;ref-type name="Journal Article"&gt;17&lt;/ref-type&gt;&lt;contributors&gt;&lt;authors&gt;&lt;author&gt;Zhang, Yaojie&lt;/author&gt;&lt;author&gt;He, Jiaxin&lt;/author&gt;&lt;author&gt;He, Mengxi&lt;/author&gt;&lt;author&gt;Li, Shaofang&lt;/author&gt;&lt;/authors&gt;&lt;/contributors&gt;&lt;titles&gt;&lt;title&gt;Geopolitical risk and stock market volatility: A global perspective&lt;/title&gt;&lt;secondary-title&gt;Finance Research Letters&lt;/secondary-title&gt;&lt;/titles&gt;&lt;periodical&gt;&lt;full-title&gt;Finance Research Letters&lt;/full-title&gt;&lt;/periodical&gt;&lt;pages&gt;103620&lt;/pages&gt;&lt;volume&gt;53&lt;/volume&gt;&lt;keywords&gt;&lt;keyword&gt;Geopolitical risk&lt;/keyword&gt;&lt;keyword&gt;Stock market volatility&lt;/keyword&gt;&lt;keyword&gt;Global perspective&lt;/keyword&gt;&lt;keyword&gt;Dynamic panel data&lt;/keyword&gt;&lt;keyword&gt;LSDV estimator&lt;/keyword&gt;&lt;/keywords&gt;&lt;dates&gt;&lt;year&gt;2023&lt;/year&gt;&lt;pub-dates&gt;&lt;date&gt;2023/05/01/&lt;/date&gt;&lt;/pub-dates&gt;&lt;/dates&gt;&lt;isbn&gt;1544-6123&lt;/isbn&gt;&lt;urls&gt;&lt;related-urls&gt;&lt;url&gt;https://www.sciencedirect.com/science/article/pii/S1544612322007966&lt;/url&gt;&lt;/related-urls&gt;&lt;/urls&gt;&lt;electronic-resource-num&gt;https://doi.org/10.1016/j.frl.2022.103620&lt;/electronic-resource-num&gt;&lt;/record&gt;&lt;/Cite&gt;&lt;/EndNote&gt;</w:instrText>
      </w:r>
      <w:r w:rsidR="00492646" w:rsidRPr="00C666FA">
        <w:rPr>
          <w:rFonts w:ascii="Times New Roman" w:eastAsia="仿宋" w:hAnsi="Times New Roman" w:cs="Times New Roman"/>
          <w:color w:val="000000" w:themeColor="text1"/>
          <w:szCs w:val="22"/>
          <w14:ligatures w14:val="none"/>
        </w:rPr>
        <w:fldChar w:fldCharType="separate"/>
      </w:r>
      <w:r w:rsidR="00492646" w:rsidRPr="00C666FA">
        <w:rPr>
          <w:rFonts w:ascii="Times New Roman" w:eastAsia="仿宋" w:hAnsi="Times New Roman" w:cs="Times New Roman"/>
          <w:noProof/>
          <w:color w:val="000000" w:themeColor="text1"/>
          <w:szCs w:val="22"/>
          <w14:ligatures w14:val="none"/>
        </w:rPr>
        <w:t>Zhang et al. (2023)</w:t>
      </w:r>
      <w:r w:rsidR="00492646"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 xml:space="preserve"> further demonstrate that the effect of GPR on volatility is more pronounced in emerging markets and during pe</w:t>
      </w:r>
      <w:r w:rsidRPr="00C666FA">
        <w:rPr>
          <w:rFonts w:ascii="Times New Roman" w:eastAsia="仿宋" w:hAnsi="Times New Roman" w:cs="Times New Roman" w:hint="eastAsia"/>
          <w:color w:val="000000" w:themeColor="text1"/>
          <w:szCs w:val="22"/>
          <w14:ligatures w14:val="none"/>
        </w:rPr>
        <w:t>riods of peac</w:t>
      </w:r>
      <w:r w:rsidRPr="00C666FA">
        <w:rPr>
          <w:rFonts w:ascii="Times New Roman" w:eastAsia="仿宋" w:hAnsi="Times New Roman" w:cs="Times New Roman"/>
          <w:color w:val="000000" w:themeColor="text1"/>
          <w:szCs w:val="22"/>
          <w14:ligatures w14:val="none"/>
        </w:rPr>
        <w:t>e, implying that geopolitical risk, by intensifying macroeconomic uncertainty and risk premiums, enhances the sensitivity of stock markets to external shocks.</w:t>
      </w:r>
    </w:p>
    <w:p w14:paraId="5DF9A4EC" w14:textId="068CDFB1" w:rsidR="00BA2606" w:rsidRPr="00C666FA" w:rsidRDefault="00BA2606" w:rsidP="00BA2606">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Behavioral finance theory emphasizes that investors are not fully rational and are often influenced by emotional and cognitive biases when interpreting geopolitical information. </w:t>
      </w:r>
      <w:r w:rsidR="00492646" w:rsidRPr="00C666FA">
        <w:rPr>
          <w:rFonts w:ascii="Times New Roman" w:eastAsia="仿宋" w:hAnsi="Times New Roman" w:cs="Times New Roman"/>
          <w:color w:val="000000" w:themeColor="text1"/>
          <w:szCs w:val="22"/>
          <w14:ligatures w14:val="none"/>
        </w:rPr>
        <w:fldChar w:fldCharType="begin"/>
      </w:r>
      <w:r w:rsidR="00492646" w:rsidRPr="00C666FA">
        <w:rPr>
          <w:rFonts w:ascii="Times New Roman" w:eastAsia="仿宋" w:hAnsi="Times New Roman" w:cs="Times New Roman"/>
          <w:color w:val="000000" w:themeColor="text1"/>
          <w:szCs w:val="22"/>
          <w14:ligatures w14:val="none"/>
        </w:rPr>
        <w:instrText xml:space="preserve"> ADDIN EN.CITE &lt;EndNote&gt;&lt;Cite AuthorYear="1"&gt;&lt;Author&gt;Zaremba&lt;/Author&gt;&lt;Year&gt;2022&lt;/Year&gt;&lt;RecNum&gt;569&lt;/RecNum&gt;&lt;DisplayText&gt;Zaremba et al. (2022)&lt;/DisplayText&gt;&lt;record&gt;&lt;rec-number&gt;569&lt;/rec-number&gt;&lt;foreign-keys&gt;&lt;key app="EN" db-id="dvsp2e2z3a9fzpezr9n5pp2lw9tf5rvzrx9x" timestamp="1751206193"&gt;569&lt;/key&gt;&lt;/foreign-keys&gt;&lt;ref-type name="Journal Article"&gt;17&lt;/ref-type&gt;&lt;contributors&gt;&lt;authors&gt;&lt;author&gt;Zaremba, Adam&lt;/author&gt;&lt;author&gt;Cakici, Nusret&lt;/author&gt;&lt;author&gt;Demir, Ender&lt;/author&gt;&lt;author&gt;Long, Huaigang&lt;/author&gt;&lt;/authors&gt;&lt;/contributors&gt;&lt;titles&gt;&lt;title&gt;When bad news is good news: Geopolitical risk and the cross-section of emerging market stock returns&lt;/title&gt;&lt;secondary-title&gt;Journal of Financial Stability&lt;/secondary-title&gt;&lt;/titles&gt;&lt;periodical&gt;&lt;full-title&gt;Journal of Financial Stability&lt;/full-title&gt;&lt;/periodical&gt;&lt;pages&gt;100964&lt;/pages&gt;&lt;volume&gt;58&lt;/volume&gt;&lt;keywords&gt;&lt;keyword&gt;Geopolitical Risk Index&lt;/keyword&gt;&lt;keyword&gt;The cross-section of stock returns&lt;/keyword&gt;&lt;keyword&gt;Emerging markets&lt;/keyword&gt;&lt;keyword&gt;Equity anomalies&lt;/keyword&gt;&lt;keyword&gt;Asset pricing&lt;/keyword&gt;&lt;keyword&gt;Return predictability&lt;/keyword&gt;&lt;keyword&gt;Overreaction&lt;/keyword&gt;&lt;keyword&gt;Availability heuristic&lt;/keyword&gt;&lt;keyword&gt;Salience&lt;/keyword&gt;&lt;/keywords&gt;&lt;dates&gt;&lt;year&gt;2022&lt;/year&gt;&lt;pub-dates&gt;&lt;date&gt;2022/02/01/&lt;/date&gt;&lt;/pub-dates&gt;&lt;/dates&gt;&lt;isbn&gt;1572-3089&lt;/isbn&gt;&lt;urls&gt;&lt;related-urls&gt;&lt;url&gt;https://www.sciencedirect.com/science/article/pii/S1572308921001236&lt;/url&gt;&lt;/related-urls&gt;&lt;/urls&gt;&lt;electronic-resource-num&gt;https://doi.org/10.1016/j.jfs.2021.100964&lt;/electronic-resource-num&gt;&lt;/record&gt;&lt;/Cite&gt;&lt;/EndNote&gt;</w:instrText>
      </w:r>
      <w:r w:rsidR="00492646" w:rsidRPr="00C666FA">
        <w:rPr>
          <w:rFonts w:ascii="Times New Roman" w:eastAsia="仿宋" w:hAnsi="Times New Roman" w:cs="Times New Roman"/>
          <w:color w:val="000000" w:themeColor="text1"/>
          <w:szCs w:val="22"/>
          <w14:ligatures w14:val="none"/>
        </w:rPr>
        <w:fldChar w:fldCharType="separate"/>
      </w:r>
      <w:r w:rsidR="00492646" w:rsidRPr="00C666FA">
        <w:rPr>
          <w:rFonts w:ascii="Times New Roman" w:eastAsia="仿宋" w:hAnsi="Times New Roman" w:cs="Times New Roman"/>
          <w:noProof/>
          <w:color w:val="000000" w:themeColor="text1"/>
          <w:szCs w:val="22"/>
          <w14:ligatures w14:val="none"/>
        </w:rPr>
        <w:t>Zaremba et al. (2022)</w:t>
      </w:r>
      <w:r w:rsidR="00492646"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 xml:space="preserve"> document a counterintuitive phenomenon in which stock returns in certain emerging markets increase following a rise in geopolitical risk. This anomaly is explained through the “availability heuristic”</w:t>
      </w:r>
      <w:r w:rsidR="00215CBF" w:rsidRPr="00C666FA">
        <w:rPr>
          <w:rFonts w:ascii="Times New Roman" w:eastAsia="仿宋" w:hAnsi="Times New Roman" w:cs="Times New Roman"/>
          <w:color w:val="000000" w:themeColor="text1"/>
          <w:szCs w:val="22"/>
          <w14:ligatures w14:val="none"/>
        </w:rPr>
        <w:t>,</w:t>
      </w:r>
      <w:r w:rsidRPr="00C666FA">
        <w:rPr>
          <w:rFonts w:ascii="Times New Roman" w:eastAsia="仿宋" w:hAnsi="Times New Roman" w:cs="Times New Roman"/>
          <w:color w:val="000000" w:themeColor="text1"/>
          <w:szCs w:val="22"/>
          <w14:ligatures w14:val="none"/>
        </w:rPr>
        <w:t xml:space="preserve"> whereby investors overreact to highly salient geopolitical events, resulting in short-term pricing distortions. </w:t>
      </w:r>
      <w:r w:rsidR="00492646" w:rsidRPr="00C666FA">
        <w:rPr>
          <w:rFonts w:ascii="Times New Roman" w:eastAsia="仿宋" w:hAnsi="Times New Roman" w:cs="Times New Roman"/>
          <w:color w:val="000000" w:themeColor="text1"/>
          <w:szCs w:val="22"/>
          <w14:ligatures w14:val="none"/>
        </w:rPr>
        <w:fldChar w:fldCharType="begin"/>
      </w:r>
      <w:r w:rsidR="00492646" w:rsidRPr="00C666FA">
        <w:rPr>
          <w:rFonts w:ascii="Times New Roman" w:eastAsia="仿宋" w:hAnsi="Times New Roman" w:cs="Times New Roman"/>
          <w:color w:val="000000" w:themeColor="text1"/>
          <w:szCs w:val="22"/>
          <w14:ligatures w14:val="none"/>
        </w:rPr>
        <w:instrText xml:space="preserve"> ADDIN EN.CITE &lt;EndNote&gt;&lt;Cite AuthorYear="1"&gt;&lt;Author&gt;He&lt;/Author&gt;&lt;Year&gt;2023&lt;/Year&gt;&lt;RecNum&gt;570&lt;/RecNum&gt;&lt;DisplayText&gt;He (2023)&lt;/DisplayText&gt;&lt;record&gt;&lt;rec-number&gt;570&lt;/rec-number&gt;&lt;foreign-keys&gt;&lt;key app="EN" db-id="dvsp2e2z3a9fzpezr9n5pp2lw9tf5rvzrx9x" timestamp="1751206277"&gt;570&lt;/key&gt;&lt;/foreign-keys&gt;&lt;ref-type name="Journal Article"&gt;17&lt;/ref-type&gt;&lt;contributors&gt;&lt;authors&gt;&lt;author&gt;He, Zhifang&lt;/author&gt;&lt;/authors&gt;&lt;/contributors&gt;&lt;titles&gt;&lt;title&gt;Geopolitical risks and investor sentiment: Causality and TVP-VAR analysis&lt;/title&gt;&lt;secondary-title&gt;The North American Journal of Economics and Finance&lt;/secondary-title&gt;&lt;/titles&gt;&lt;periodical&gt;&lt;full-title&gt;The North American Journal of Economics and Finance&lt;/full-title&gt;&lt;/periodical&gt;&lt;pages&gt;101947&lt;/pages&gt;&lt;volume&gt;67&lt;/volume&gt;&lt;keywords&gt;&lt;keyword&gt;Geopolitical risk&lt;/keyword&gt;&lt;keyword&gt;Investor sentiment&lt;/keyword&gt;&lt;keyword&gt;TVP-VAR&lt;/keyword&gt;&lt;keyword&gt;Time-varying impact&lt;/keyword&gt;&lt;/keywords&gt;&lt;dates&gt;&lt;year&gt;2023&lt;/year&gt;&lt;pub-dates&gt;&lt;date&gt;2023/07/01/&lt;/date&gt;&lt;/pub-dates&gt;&lt;/dates&gt;&lt;isbn&gt;1062-9408&lt;/isbn&gt;&lt;urls&gt;&lt;related-urls&gt;&lt;url&gt;https://www.sciencedirect.com/science/article/pii/S1062940823000700&lt;/url&gt;&lt;/related-urls&gt;&lt;/urls&gt;&lt;electronic-resource-num&gt;https://doi.org/10.1016/j.najef.2023.101947&lt;/electronic-resource-num&gt;&lt;/record&gt;&lt;/Cite&gt;&lt;/EndNote&gt;</w:instrText>
      </w:r>
      <w:r w:rsidR="00492646" w:rsidRPr="00C666FA">
        <w:rPr>
          <w:rFonts w:ascii="Times New Roman" w:eastAsia="仿宋" w:hAnsi="Times New Roman" w:cs="Times New Roman"/>
          <w:color w:val="000000" w:themeColor="text1"/>
          <w:szCs w:val="22"/>
          <w14:ligatures w14:val="none"/>
        </w:rPr>
        <w:fldChar w:fldCharType="separate"/>
      </w:r>
      <w:r w:rsidR="00492646" w:rsidRPr="00C666FA">
        <w:rPr>
          <w:rFonts w:ascii="Times New Roman" w:eastAsia="仿宋" w:hAnsi="Times New Roman" w:cs="Times New Roman"/>
          <w:noProof/>
          <w:color w:val="000000" w:themeColor="text1"/>
          <w:szCs w:val="22"/>
          <w14:ligatures w14:val="none"/>
        </w:rPr>
        <w:t>He (2023)</w:t>
      </w:r>
      <w:r w:rsidR="00492646"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 xml:space="preserve"> further provides empirical evidence of a negative causal relationship between GPR and investor sentiment, indicating that geopolitical fear reinforces investors’ loss aversion, which in turn triggers abrupt changes in trading behavior and asymmetric adjustments in market volatility. These findings are consistent with key concepts in behavioral finance</w:t>
      </w:r>
      <w:r w:rsidRPr="00C666FA">
        <w:rPr>
          <w:rFonts w:ascii="Times New Roman" w:eastAsia="仿宋" w:hAnsi="Times New Roman" w:cs="Times New Roman" w:hint="eastAsia"/>
          <w:color w:val="000000" w:themeColor="text1"/>
          <w:szCs w:val="22"/>
          <w14:ligatures w14:val="none"/>
        </w:rPr>
        <w:t>,</w:t>
      </w:r>
      <w:r w:rsidRPr="00C666FA">
        <w:rPr>
          <w:rFonts w:ascii="Times New Roman" w:eastAsia="仿宋" w:hAnsi="Times New Roman" w:cs="Times New Roman"/>
          <w:color w:val="000000" w:themeColor="text1"/>
          <w:szCs w:val="22"/>
          <w14:ligatures w14:val="none"/>
        </w:rPr>
        <w:t xml:space="preserve"> such as “loss aversion” and “herding behavior”</w:t>
      </w:r>
      <w:r w:rsidR="00215CBF" w:rsidRPr="00C666FA">
        <w:rPr>
          <w:rFonts w:ascii="Times New Roman" w:eastAsia="仿宋" w:hAnsi="Times New Roman" w:cs="Times New Roman"/>
          <w:color w:val="000000" w:themeColor="text1"/>
          <w:szCs w:val="22"/>
          <w14:ligatures w14:val="none"/>
        </w:rPr>
        <w:t>.</w:t>
      </w:r>
    </w:p>
    <w:p w14:paraId="4D38E918" w14:textId="357039E1" w:rsidR="00BA2606" w:rsidRPr="00C666FA" w:rsidRDefault="00BA2606" w:rsidP="00BA2606">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lastRenderedPageBreak/>
        <w:t>From a global perspective, geopolitical risk is not confined to individual markets</w:t>
      </w:r>
      <w:r w:rsidRPr="00C666FA">
        <w:rPr>
          <w:rFonts w:ascii="Times New Roman" w:eastAsia="仿宋" w:hAnsi="Times New Roman" w:cs="Times New Roman" w:hint="eastAsia"/>
          <w:color w:val="000000" w:themeColor="text1"/>
          <w:szCs w:val="22"/>
          <w14:ligatures w14:val="none"/>
        </w:rPr>
        <w:t>. However, i</w:t>
      </w:r>
      <w:r w:rsidRPr="00C666FA">
        <w:rPr>
          <w:rFonts w:ascii="Times New Roman" w:eastAsia="仿宋" w:hAnsi="Times New Roman" w:cs="Times New Roman"/>
          <w:color w:val="000000" w:themeColor="text1"/>
          <w:szCs w:val="22"/>
          <w14:ligatures w14:val="none"/>
        </w:rPr>
        <w:t xml:space="preserve">t is transmitted internationally through cross-border capital flows, shifts in asset pricing expectations, and the reallocation of safe-haven assets. </w:t>
      </w:r>
      <w:r w:rsidR="00377025" w:rsidRPr="00C666FA">
        <w:rPr>
          <w:rFonts w:ascii="Times New Roman" w:eastAsia="仿宋" w:hAnsi="Times New Roman" w:cs="Times New Roman"/>
          <w:color w:val="000000" w:themeColor="text1"/>
          <w:szCs w:val="22"/>
          <w14:ligatures w14:val="none"/>
        </w:rPr>
        <w:fldChar w:fldCharType="begin"/>
      </w:r>
      <w:r w:rsidR="00377025" w:rsidRPr="00C666FA">
        <w:rPr>
          <w:rFonts w:ascii="Times New Roman" w:eastAsia="仿宋" w:hAnsi="Times New Roman" w:cs="Times New Roman"/>
          <w:color w:val="000000" w:themeColor="text1"/>
          <w:szCs w:val="22"/>
          <w14:ligatures w14:val="none"/>
        </w:rPr>
        <w:instrText xml:space="preserve"> ADDIN EN.CITE &lt;EndNote&gt;&lt;Cite AuthorYear="1"&gt;&lt;Author&gt;Zheng&lt;/Author&gt;&lt;Year&gt;2023&lt;/Year&gt;&lt;RecNum&gt;571&lt;/RecNum&gt;&lt;DisplayText&gt;Zheng et al. (2023)&lt;/DisplayText&gt;&lt;record&gt;&lt;rec-number&gt;571&lt;/rec-number&gt;&lt;foreign-keys&gt;&lt;key app="EN" db-id="dvsp2e2z3a9fzpezr9n5pp2lw9tf5rvzrx9x" timestamp="1751206517"&gt;571&lt;/key&gt;&lt;/foreign-keys&gt;&lt;ref-type name="Journal Article"&gt;17&lt;/ref-type&gt;&lt;contributors&gt;&lt;authors&gt;&lt;author&gt;Zheng, Jinlin&lt;/author&gt;&lt;author&gt;Wen, Baoyu&lt;/author&gt;&lt;author&gt;Jiang, Yaohui&lt;/author&gt;&lt;author&gt;Wang, Xiaohan&lt;/author&gt;&lt;author&gt;Shen, Yue&lt;/author&gt;&lt;/authors&gt;&lt;/contributors&gt;&lt;titles&gt;&lt;title&gt;Risk spillovers across geopolitical risk and global financial markets&lt;/title&gt;&lt;secondary-title&gt;Energy Economics&lt;/secondary-title&gt;&lt;/titles&gt;&lt;periodical&gt;&lt;full-title&gt;Energy Economics&lt;/full-title&gt;&lt;/periodical&gt;&lt;pages&gt;107051&lt;/pages&gt;&lt;volume&gt;127&lt;/volume&gt;&lt;keywords&gt;&lt;keyword&gt;Geopolitical risk&lt;/keyword&gt;&lt;keyword&gt;Global financial market&lt;/keyword&gt;&lt;keyword&gt;Cross-market risk spillover&lt;/keyword&gt;&lt;keyword&gt;Time-frequency analysis&lt;/keyword&gt;&lt;/keywords&gt;&lt;dates&gt;&lt;year&gt;2023&lt;/year&gt;&lt;pub-dates&gt;&lt;date&gt;2023/11/01/&lt;/date&gt;&lt;/pub-dates&gt;&lt;/dates&gt;&lt;isbn&gt;0140-9883&lt;/isbn&gt;&lt;urls&gt;&lt;related-urls&gt;&lt;url&gt;https://www.sciencedirect.com/science/article/pii/S0140988323005492&lt;/url&gt;&lt;/related-urls&gt;&lt;/urls&gt;&lt;electronic-resource-num&gt;https://doi.org/10.1016/j.eneco.2023.107051&lt;/electronic-resource-num&gt;&lt;/record&gt;&lt;/Cite&gt;&lt;/EndNote&gt;</w:instrText>
      </w:r>
      <w:r w:rsidR="00377025" w:rsidRPr="00C666FA">
        <w:rPr>
          <w:rFonts w:ascii="Times New Roman" w:eastAsia="仿宋" w:hAnsi="Times New Roman" w:cs="Times New Roman"/>
          <w:color w:val="000000" w:themeColor="text1"/>
          <w:szCs w:val="22"/>
          <w14:ligatures w14:val="none"/>
        </w:rPr>
        <w:fldChar w:fldCharType="separate"/>
      </w:r>
      <w:r w:rsidR="00377025" w:rsidRPr="00C666FA">
        <w:rPr>
          <w:rFonts w:ascii="Times New Roman" w:eastAsia="仿宋" w:hAnsi="Times New Roman" w:cs="Times New Roman"/>
          <w:noProof/>
          <w:color w:val="000000" w:themeColor="text1"/>
          <w:szCs w:val="22"/>
          <w14:ligatures w14:val="none"/>
        </w:rPr>
        <w:t>Zheng et al. (2023)</w:t>
      </w:r>
      <w:r w:rsidR="00377025"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 xml:space="preserve"> </w:t>
      </w:r>
      <w:r w:rsidRPr="00C666FA">
        <w:rPr>
          <w:rFonts w:ascii="Times New Roman" w:eastAsia="仿宋" w:hAnsi="Times New Roman" w:cs="Times New Roman" w:hint="eastAsia"/>
          <w:color w:val="000000" w:themeColor="text1"/>
          <w:szCs w:val="22"/>
          <w14:ligatures w14:val="none"/>
        </w:rPr>
        <w:t>demonstrate that GPR is closely linked to commodity markets, particularly oil and gold, and facilitates cross-asset risk spillovers through</w:t>
      </w:r>
      <w:r w:rsidRPr="00C666FA">
        <w:rPr>
          <w:rFonts w:ascii="Times New Roman" w:eastAsia="仿宋" w:hAnsi="Times New Roman" w:cs="Times New Roman"/>
          <w:color w:val="000000" w:themeColor="text1"/>
          <w:szCs w:val="22"/>
          <w14:ligatures w14:val="none"/>
        </w:rPr>
        <w:t xml:space="preserve"> the bond and foreign exchange markets. During geopolitical crises, assets such as gold and government bonds tend to function as safe havens, while equity markets become the primary recipients of risk transmission. </w:t>
      </w:r>
      <w:r w:rsidR="00377025" w:rsidRPr="00C666FA">
        <w:rPr>
          <w:rFonts w:ascii="Times New Roman" w:eastAsia="仿宋" w:hAnsi="Times New Roman" w:cs="Times New Roman"/>
          <w:color w:val="000000" w:themeColor="text1"/>
          <w:szCs w:val="22"/>
          <w14:ligatures w14:val="none"/>
        </w:rPr>
        <w:fldChar w:fldCharType="begin"/>
      </w:r>
      <w:r w:rsidR="00377025" w:rsidRPr="00C666FA">
        <w:rPr>
          <w:rFonts w:ascii="Times New Roman" w:eastAsia="仿宋" w:hAnsi="Times New Roman" w:cs="Times New Roman"/>
          <w:color w:val="000000" w:themeColor="text1"/>
          <w:szCs w:val="22"/>
          <w14:ligatures w14:val="none"/>
        </w:rPr>
        <w:instrText xml:space="preserve"> ADDIN EN.CITE &lt;EndNote&gt;&lt;Cite AuthorYear="1"&gt;&lt;Author&gt;Hao&lt;/Author&gt;&lt;Year&gt;2024&lt;/Year&gt;&lt;RecNum&gt;573&lt;/RecNum&gt;&lt;DisplayText&gt;Hao et al. (2024)&lt;/DisplayText&gt;&lt;record&gt;&lt;rec-number&gt;573&lt;/rec-number&gt;&lt;foreign-keys&gt;&lt;key app="EN" db-id="dvsp2e2z3a9fzpezr9n5pp2lw9tf5rvzrx9x" timestamp="1751206801"&gt;573&lt;/key&gt;&lt;/foreign-keys&gt;&lt;ref-type name="Journal Article"&gt;17&lt;/ref-type&gt;&lt;contributors&gt;&lt;authors&gt;&lt;author&gt;Hao, Xinlei&lt;/author&gt;&lt;author&gt;Ma, Yong&lt;/author&gt;&lt;author&gt;Pan, Dongtao&lt;/author&gt;&lt;/authors&gt;&lt;/contributors&gt;&lt;titles&gt;&lt;title&gt;Geopolitical risk and the predictability of spillovers between exchange, commodity and stock markets&lt;/title&gt;&lt;secondary-title&gt;Journal of Multinational Financial Management&lt;/secondary-title&gt;&lt;/titles&gt;&lt;periodical&gt;&lt;full-title&gt;Journal of Multinational Financial Management&lt;/full-title&gt;&lt;/periodical&gt;&lt;pages&gt;100843&lt;/pages&gt;&lt;volume&gt;73&lt;/volume&gt;&lt;keywords&gt;&lt;keyword&gt;Geopolitical risk&lt;/keyword&gt;&lt;keyword&gt;Volatility spillover&lt;/keyword&gt;&lt;keyword&gt;Cross-quantilogram&lt;/keyword&gt;&lt;keyword&gt;Commodity market&lt;/keyword&gt;&lt;keyword&gt;Foreign exchange market&lt;/keyword&gt;&lt;keyword&gt;Stock market&lt;/keyword&gt;&lt;/keywords&gt;&lt;dates&gt;&lt;year&gt;2024&lt;/year&gt;&lt;pub-dates&gt;&lt;date&gt;2024/04/01/&lt;/date&gt;&lt;/pub-dates&gt;&lt;/dates&gt;&lt;isbn&gt;1042-444X&lt;/isbn&gt;&lt;urls&gt;&lt;related-urls&gt;&lt;url&gt;https://www.sciencedirect.com/science/article/pii/S1042444X24000082&lt;/url&gt;&lt;/related-urls&gt;&lt;/urls&gt;&lt;electronic-resource-num&gt;https://doi.org/10.1016/j.mulfin.2024.100843&lt;/electronic-resource-num&gt;&lt;/record&gt;&lt;/Cite&gt;&lt;/EndNote&gt;</w:instrText>
      </w:r>
      <w:r w:rsidR="00377025" w:rsidRPr="00C666FA">
        <w:rPr>
          <w:rFonts w:ascii="Times New Roman" w:eastAsia="仿宋" w:hAnsi="Times New Roman" w:cs="Times New Roman"/>
          <w:color w:val="000000" w:themeColor="text1"/>
          <w:szCs w:val="22"/>
          <w14:ligatures w14:val="none"/>
        </w:rPr>
        <w:fldChar w:fldCharType="separate"/>
      </w:r>
      <w:r w:rsidR="00377025" w:rsidRPr="00C666FA">
        <w:rPr>
          <w:rFonts w:ascii="Times New Roman" w:eastAsia="仿宋" w:hAnsi="Times New Roman" w:cs="Times New Roman"/>
          <w:noProof/>
          <w:color w:val="000000" w:themeColor="text1"/>
          <w:szCs w:val="22"/>
          <w14:ligatures w14:val="none"/>
        </w:rPr>
        <w:t>Hao et al. (2024)</w:t>
      </w:r>
      <w:r w:rsidR="00377025"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 xml:space="preserve"> find that GPR exerts significant and directional volatility spillovers between the equity markets of China and the U.S., with these effects becoming stronger and more persistent during periods of heightened geopolitical tension.</w:t>
      </w:r>
    </w:p>
    <w:p w14:paraId="049936BE" w14:textId="0F8CFCD5" w:rsidR="00564B74" w:rsidRPr="00C666FA" w:rsidRDefault="00BA2606" w:rsidP="00BA2606">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Furthermore, </w:t>
      </w:r>
      <w:r w:rsidR="00377025" w:rsidRPr="00C666FA">
        <w:rPr>
          <w:rFonts w:ascii="Times New Roman" w:eastAsia="仿宋" w:hAnsi="Times New Roman" w:cs="Times New Roman"/>
          <w:color w:val="000000" w:themeColor="text1"/>
          <w:szCs w:val="22"/>
          <w14:ligatures w14:val="none"/>
        </w:rPr>
        <w:fldChar w:fldCharType="begin"/>
      </w:r>
      <w:r w:rsidR="00377025" w:rsidRPr="00C666FA">
        <w:rPr>
          <w:rFonts w:ascii="Times New Roman" w:eastAsia="仿宋" w:hAnsi="Times New Roman" w:cs="Times New Roman"/>
          <w:color w:val="000000" w:themeColor="text1"/>
          <w:szCs w:val="22"/>
          <w14:ligatures w14:val="none"/>
        </w:rPr>
        <w:instrText xml:space="preserve"> ADDIN EN.CITE &lt;EndNote&gt;&lt;Cite AuthorYear="1"&gt;&lt;Author&gt;Salachas&lt;/Author&gt;&lt;Year&gt;2024&lt;/Year&gt;&lt;RecNum&gt;574&lt;/RecNum&gt;&lt;DisplayText&gt;Salachas et al. (2024)&lt;/DisplayText&gt;&lt;record&gt;&lt;rec-number&gt;574&lt;/rec-number&gt;&lt;foreign-keys&gt;&lt;key app="EN" db-id="dvsp2e2z3a9fzpezr9n5pp2lw9tf5rvzrx9x" timestamp="1751206924"&gt;574&lt;/key&gt;&lt;/foreign-keys&gt;&lt;ref-type name="Journal Article"&gt;17&lt;/ref-type&gt;&lt;contributors&gt;&lt;authors&gt;&lt;author&gt;Salachas, Evangelos&lt;/author&gt;&lt;author&gt;Kouretas, Georgios P.&lt;/author&gt;&lt;author&gt;Laopodis, Nikiforos T.&lt;/author&gt;&lt;author&gt;Vlamis, Prodromos&lt;/author&gt;&lt;/authors&gt;&lt;/contributors&gt;&lt;titles&gt;&lt;title&gt;Stock market spillovers of global risks and hedging opportunities&lt;/title&gt;&lt;secondary-title&gt;European Journal of Political Economy&lt;/secondary-title&gt;&lt;/titles&gt;&lt;periodical&gt;&lt;full-title&gt;European Journal of Political Economy&lt;/full-title&gt;&lt;/periodical&gt;&lt;pages&gt;102533&lt;/pages&gt;&lt;volume&gt;83&lt;/volume&gt;&lt;keywords&gt;&lt;keyword&gt;Geopolitical risk index&lt;/keyword&gt;&lt;keyword&gt;Stock returns&lt;/keyword&gt;&lt;keyword&gt;Climate risk&lt;/keyword&gt;&lt;keyword&gt;Panel VAR&lt;/keyword&gt;&lt;keyword&gt;GARCH models&lt;/keyword&gt;&lt;keyword&gt;Stock market hedging&lt;/keyword&gt;&lt;/keywords&gt;&lt;dates&gt;&lt;year&gt;2024&lt;/year&gt;&lt;pub-dates&gt;&lt;date&gt;2024/06/01/&lt;/date&gt;&lt;/pub-dates&gt;&lt;/dates&gt;&lt;isbn&gt;0176-2680&lt;/isbn&gt;&lt;urls&gt;&lt;related-urls&gt;&lt;url&gt;https://www.sciencedirect.com/science/article/pii/S0176268024000351&lt;/url&gt;&lt;/related-urls&gt;&lt;/urls&gt;&lt;electronic-resource-num&gt;https://doi.org/10.1016/j.ejpoleco.2024.102533&lt;/electronic-resource-num&gt;&lt;/record&gt;&lt;/Cite&gt;&lt;/EndNote&gt;</w:instrText>
      </w:r>
      <w:r w:rsidR="00377025" w:rsidRPr="00C666FA">
        <w:rPr>
          <w:rFonts w:ascii="Times New Roman" w:eastAsia="仿宋" w:hAnsi="Times New Roman" w:cs="Times New Roman"/>
          <w:color w:val="000000" w:themeColor="text1"/>
          <w:szCs w:val="22"/>
          <w14:ligatures w14:val="none"/>
        </w:rPr>
        <w:fldChar w:fldCharType="separate"/>
      </w:r>
      <w:r w:rsidR="00377025" w:rsidRPr="00C666FA">
        <w:rPr>
          <w:rFonts w:ascii="Times New Roman" w:eastAsia="仿宋" w:hAnsi="Times New Roman" w:cs="Times New Roman"/>
          <w:noProof/>
          <w:color w:val="000000" w:themeColor="text1"/>
          <w:szCs w:val="22"/>
          <w14:ligatures w14:val="none"/>
        </w:rPr>
        <w:t>Salachas et al. (2024)</w:t>
      </w:r>
      <w:r w:rsidR="00377025"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hint="eastAsia"/>
          <w:color w:val="000000" w:themeColor="text1"/>
          <w:szCs w:val="22"/>
          <w14:ligatures w14:val="none"/>
        </w:rPr>
        <w:t xml:space="preserve"> use cross-country panel data to</w:t>
      </w:r>
      <w:r w:rsidRPr="00C666FA">
        <w:rPr>
          <w:rFonts w:ascii="Times New Roman" w:eastAsia="仿宋" w:hAnsi="Times New Roman" w:cs="Times New Roman"/>
          <w:color w:val="000000" w:themeColor="text1"/>
          <w:szCs w:val="22"/>
          <w14:ligatures w14:val="none"/>
        </w:rPr>
        <w:t xml:space="preserve"> empirically investigate the transmission of geopolitical conflict to market volatility in G7 and BRICS economies. Their results reveal that GPR not only suppresses market returns but also intensifies </w:t>
      </w:r>
      <w:proofErr w:type="spellStart"/>
      <w:r w:rsidRPr="00C666FA">
        <w:rPr>
          <w:rFonts w:ascii="Times New Roman" w:eastAsia="仿宋" w:hAnsi="Times New Roman" w:cs="Times New Roman" w:hint="eastAsia"/>
          <w:color w:val="000000" w:themeColor="text1"/>
          <w:szCs w:val="22"/>
          <w14:ligatures w14:val="none"/>
        </w:rPr>
        <w:t>comovements</w:t>
      </w:r>
      <w:proofErr w:type="spellEnd"/>
      <w:r w:rsidRPr="00C666FA">
        <w:rPr>
          <w:rFonts w:ascii="Times New Roman" w:eastAsia="仿宋" w:hAnsi="Times New Roman" w:cs="Times New Roman" w:hint="eastAsia"/>
          <w:color w:val="000000" w:themeColor="text1"/>
          <w:szCs w:val="22"/>
          <w14:ligatures w14:val="none"/>
        </w:rPr>
        <w:t xml:space="preserve"> in volatility</w:t>
      </w:r>
      <w:r w:rsidRPr="00C666FA">
        <w:rPr>
          <w:rFonts w:ascii="Times New Roman" w:eastAsia="仿宋" w:hAnsi="Times New Roman" w:cs="Times New Roman"/>
          <w:color w:val="000000" w:themeColor="text1"/>
          <w:szCs w:val="22"/>
          <w14:ligatures w14:val="none"/>
        </w:rPr>
        <w:t xml:space="preserve"> across countries. These findings are consistent with </w:t>
      </w:r>
      <w:r w:rsidR="00377025" w:rsidRPr="00C666FA">
        <w:rPr>
          <w:rFonts w:ascii="Times New Roman" w:eastAsia="仿宋" w:hAnsi="Times New Roman" w:cs="Times New Roman"/>
          <w:color w:val="000000" w:themeColor="text1"/>
          <w:szCs w:val="22"/>
          <w14:ligatures w14:val="none"/>
        </w:rPr>
        <w:fldChar w:fldCharType="begin"/>
      </w:r>
      <w:r w:rsidR="00377025" w:rsidRPr="00C666FA">
        <w:rPr>
          <w:rFonts w:ascii="Times New Roman" w:eastAsia="仿宋" w:hAnsi="Times New Roman" w:cs="Times New Roman"/>
          <w:color w:val="000000" w:themeColor="text1"/>
          <w:szCs w:val="22"/>
          <w14:ligatures w14:val="none"/>
        </w:rPr>
        <w:instrText xml:space="preserve"> ADDIN EN.CITE &lt;EndNote&gt;&lt;Cite AuthorYear="1"&gt;&lt;Author&gt;Bouras&lt;/Author&gt;&lt;Year&gt;2019&lt;/Year&gt;&lt;RecNum&gt;575&lt;/RecNum&gt;&lt;DisplayText&gt;Bouras et al. (2019)&lt;/DisplayText&gt;&lt;record&gt;&lt;rec-number&gt;575&lt;/rec-number&gt;&lt;foreign-keys&gt;&lt;key app="EN" db-id="dvsp2e2z3a9fzpezr9n5pp2lw9tf5rvzrx9x" timestamp="1751207194"&gt;575&lt;/key&gt;&lt;/foreign-keys&gt;&lt;ref-type name="Journal Article"&gt;17&lt;/ref-type&gt;&lt;contributors&gt;&lt;authors&gt;&lt;author&gt;Bouras, Christos&lt;/author&gt;&lt;author&gt;Christou Christina&lt;/author&gt;&lt;author&gt;Gupta Rangan&lt;/author&gt;&lt;author&gt;and Suleman, Tahir&lt;/author&gt;&lt;/authors&gt;&lt;/contributors&gt;&lt;titles&gt;&lt;title&gt;Geopolitical Risks, Returns, and Volatility in Emerging Stock Markets: Evidence from a Panel GARCH Model&lt;/title&gt;&lt;secondary-title&gt;Emerging Markets Finance and Trade&lt;/secondary-title&gt;&lt;/titles&gt;&lt;periodical&gt;&lt;full-title&gt;Emerging Markets Finance and Trade&lt;/full-title&gt;&lt;/periodical&gt;&lt;pages&gt;1841-1856&lt;/pages&gt;&lt;volume&gt;55&lt;/volume&gt;&lt;number&gt;8&lt;/number&gt;&lt;dates&gt;&lt;year&gt;2019&lt;/year&gt;&lt;pub-dates&gt;&lt;date&gt;2019/06/21&lt;/date&gt;&lt;/pub-dates&gt;&lt;/dates&gt;&lt;publisher&gt;Routledge&lt;/publisher&gt;&lt;isbn&gt;1540-496X&lt;/isbn&gt;&lt;urls&gt;&lt;related-urls&gt;&lt;url&gt;https://doi.org/10.1080/1540496X.2018.1507906&lt;/url&gt;&lt;/related-urls&gt;&lt;/urls&gt;&lt;electronic-resource-num&gt;10.1080/1540496X.2018.1507906&lt;/electronic-resource-num&gt;&lt;/record&gt;&lt;/Cite&gt;&lt;/EndNote&gt;</w:instrText>
      </w:r>
      <w:r w:rsidR="00377025" w:rsidRPr="00C666FA">
        <w:rPr>
          <w:rFonts w:ascii="Times New Roman" w:eastAsia="仿宋" w:hAnsi="Times New Roman" w:cs="Times New Roman"/>
          <w:color w:val="000000" w:themeColor="text1"/>
          <w:szCs w:val="22"/>
          <w14:ligatures w14:val="none"/>
        </w:rPr>
        <w:fldChar w:fldCharType="separate"/>
      </w:r>
      <w:r w:rsidR="00377025" w:rsidRPr="00C666FA">
        <w:rPr>
          <w:rFonts w:ascii="Times New Roman" w:eastAsia="仿宋" w:hAnsi="Times New Roman" w:cs="Times New Roman"/>
          <w:noProof/>
          <w:color w:val="000000" w:themeColor="text1"/>
          <w:szCs w:val="22"/>
          <w14:ligatures w14:val="none"/>
        </w:rPr>
        <w:t>Bouras et al. (2019)</w:t>
      </w:r>
      <w:r w:rsidR="00377025"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 who argue that global geopolitical tensions exhibit greater contagion effects on emerging markets, whereas domestic geopolitical risk plays a comparatively marginal role.</w:t>
      </w:r>
    </w:p>
    <w:p w14:paraId="44EA1DC1" w14:textId="6B27932E" w:rsidR="00B36226" w:rsidRPr="00C666FA" w:rsidRDefault="00342CF1" w:rsidP="00B36226">
      <w:pPr>
        <w:pStyle w:val="4"/>
        <w:keepNext w:val="0"/>
        <w:keepLines w:val="0"/>
        <w:widowControl/>
        <w:spacing w:before="240" w:after="0" w:line="360" w:lineRule="auto"/>
        <w:rPr>
          <w:rFonts w:ascii="Palatino Linotype" w:hAnsi="Palatino Linotype"/>
          <w:b/>
          <w:snapToGrid w:val="0"/>
          <w:color w:val="000000" w:themeColor="text1"/>
          <w:kern w:val="0"/>
          <w:sz w:val="22"/>
          <w:szCs w:val="22"/>
          <w:lang w:bidi="en-US"/>
        </w:rPr>
      </w:pPr>
      <w:r w:rsidRPr="00C666FA">
        <w:rPr>
          <w:rFonts w:ascii="Palatino Linotype" w:hAnsi="Palatino Linotype"/>
          <w:b/>
          <w:snapToGrid w:val="0"/>
          <w:color w:val="000000" w:themeColor="text1"/>
          <w:kern w:val="0"/>
          <w:sz w:val="22"/>
          <w:szCs w:val="22"/>
          <w:lang w:bidi="en-US"/>
        </w:rPr>
        <w:t xml:space="preserve">Appendix </w:t>
      </w:r>
      <w:r w:rsidR="00C90E1A" w:rsidRPr="00C666FA">
        <w:rPr>
          <w:rFonts w:ascii="Palatino Linotype" w:hAnsi="Palatino Linotype" w:hint="eastAsia"/>
          <w:b/>
          <w:snapToGrid w:val="0"/>
          <w:color w:val="000000" w:themeColor="text1"/>
          <w:kern w:val="0"/>
          <w:sz w:val="22"/>
          <w:szCs w:val="22"/>
          <w:lang w:bidi="en-US"/>
        </w:rPr>
        <w:t>C</w:t>
      </w:r>
      <w:r w:rsidRPr="00C666FA">
        <w:rPr>
          <w:rFonts w:ascii="Palatino Linotype" w:hAnsi="Palatino Linotype"/>
          <w:b/>
          <w:snapToGrid w:val="0"/>
          <w:color w:val="000000" w:themeColor="text1"/>
          <w:kern w:val="0"/>
          <w:sz w:val="22"/>
          <w:szCs w:val="22"/>
          <w:lang w:bidi="en-US"/>
        </w:rPr>
        <w:t xml:space="preserve">: </w:t>
      </w:r>
      <w:r w:rsidR="00B36226" w:rsidRPr="00C666FA">
        <w:rPr>
          <w:rFonts w:ascii="Palatino Linotype" w:hAnsi="Palatino Linotype"/>
          <w:b/>
          <w:snapToGrid w:val="0"/>
          <w:color w:val="000000" w:themeColor="text1"/>
          <w:kern w:val="0"/>
          <w:sz w:val="22"/>
          <w:szCs w:val="22"/>
          <w:lang w:bidi="en-US"/>
        </w:rPr>
        <w:t>Methodology</w:t>
      </w:r>
    </w:p>
    <w:p w14:paraId="2664647E" w14:textId="09A57988" w:rsidR="00D53B95" w:rsidRPr="00C666FA" w:rsidRDefault="00B36226"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This study's methodological foundation is based on </w:t>
      </w:r>
      <w:r w:rsidR="00377025" w:rsidRPr="00C666FA">
        <w:rPr>
          <w:rFonts w:ascii="Times New Roman" w:eastAsia="仿宋" w:hAnsi="Times New Roman" w:cs="Times New Roman"/>
          <w:color w:val="000000" w:themeColor="text1"/>
          <w:szCs w:val="22"/>
          <w14:ligatures w14:val="none"/>
        </w:rPr>
        <w:fldChar w:fldCharType="begin"/>
      </w:r>
      <w:r w:rsidR="00377025" w:rsidRPr="00C666FA">
        <w:rPr>
          <w:rFonts w:ascii="Times New Roman" w:eastAsia="仿宋" w:hAnsi="Times New Roman" w:cs="Times New Roman"/>
          <w:color w:val="000000" w:themeColor="text1"/>
          <w:szCs w:val="22"/>
          <w14:ligatures w14:val="none"/>
        </w:rPr>
        <w:instrText xml:space="preserve"> ADDIN EN.CITE &lt;EndNote&gt;&lt;Cite AuthorYear="1"&gt;&lt;Author&gt;Engle&lt;/Author&gt;&lt;Year&gt;2013&lt;/Year&gt;&lt;RecNum&gt;610&lt;/RecNum&gt;&lt;DisplayText&gt;Engle et al. (2013)&lt;/DisplayText&gt;&lt;record&gt;&lt;rec-number&gt;610&lt;/rec-number&gt;&lt;foreign-keys&gt;&lt;key app="EN" db-id="dvsp2e2z3a9fzpezr9n5pp2lw9tf5rvzrx9x" timestamp="1751299093"&gt;610&lt;/key&gt;&lt;/foreign-keys&gt;&lt;ref-type name="Journal Article"&gt;17&lt;/ref-type&gt;&lt;contributors&gt;&lt;authors&gt;&lt;author&gt;Engle, Robert F.&lt;/author&gt;&lt;author&gt;Ghysels, Eric&lt;/author&gt;&lt;author&gt;Sohn, Bumjean&lt;/author&gt;&lt;/authors&gt;&lt;/contributors&gt;&lt;titles&gt;&lt;title&gt;STOCK MARKET VOLATILITY AND MACROECONOMIC FUNDAMENTALS&lt;/title&gt;&lt;secondary-title&gt;The Review of Economics and Statistics&lt;/secondary-title&gt;&lt;/titles&gt;&lt;periodical&gt;&lt;full-title&gt;The Review of Economics and Statistics&lt;/full-title&gt;&lt;/periodical&gt;&lt;pages&gt;776-797&lt;/pages&gt;&lt;volume&gt;95&lt;/volume&gt;&lt;number&gt;3&lt;/number&gt;&lt;dates&gt;&lt;year&gt;2013&lt;/year&gt;&lt;/dates&gt;&lt;publisher&gt;The MIT Press&lt;/publisher&gt;&lt;isbn&gt;00346535, 15309142&lt;/isbn&gt;&lt;urls&gt;&lt;related-urls&gt;&lt;url&gt;http://www.jstor.org/stable/43554794&lt;/url&gt;&lt;/related-urls&gt;&lt;/urls&gt;&lt;custom1&gt;Full publication date: July 2013&lt;/custom1&gt;&lt;remote-database-name&gt;JSTOR&lt;/remote-database-name&gt;&lt;access-date&gt;2025/06/30/&lt;/access-date&gt;&lt;/record&gt;&lt;/Cite&gt;&lt;/EndNote&gt;</w:instrText>
      </w:r>
      <w:r w:rsidR="00377025" w:rsidRPr="00C666FA">
        <w:rPr>
          <w:rFonts w:ascii="Times New Roman" w:eastAsia="仿宋" w:hAnsi="Times New Roman" w:cs="Times New Roman"/>
          <w:color w:val="000000" w:themeColor="text1"/>
          <w:szCs w:val="22"/>
          <w14:ligatures w14:val="none"/>
        </w:rPr>
        <w:fldChar w:fldCharType="separate"/>
      </w:r>
      <w:r w:rsidR="00377025" w:rsidRPr="00C666FA">
        <w:rPr>
          <w:rFonts w:ascii="Times New Roman" w:eastAsia="仿宋" w:hAnsi="Times New Roman" w:cs="Times New Roman"/>
          <w:noProof/>
          <w:color w:val="000000" w:themeColor="text1"/>
          <w:szCs w:val="22"/>
          <w14:ligatures w14:val="none"/>
        </w:rPr>
        <w:t>Engle et al. (2013)</w:t>
      </w:r>
      <w:r w:rsidR="00377025"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 xml:space="preserve">'s pioneering work, which introduced the GARCH-MIDAS model to decompose time series data into high-frequency and low-frequency components. </w:t>
      </w:r>
    </w:p>
    <w:p w14:paraId="597908DD" w14:textId="77777777" w:rsidR="00D53B95" w:rsidRPr="00C666FA" w:rsidRDefault="00D53B95" w:rsidP="00D53B95">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The primary reasons for adopting this model are as follows:</w:t>
      </w:r>
    </w:p>
    <w:p w14:paraId="6D2B6E0B" w14:textId="77777777" w:rsidR="00D53B95" w:rsidRPr="00C666FA" w:rsidRDefault="00D53B95" w:rsidP="00D53B95">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First, the GJR-GARCH structure demonstrates excellent performance in capturing the amplifying effect of negative shocks on volatility, making it suitable for identifying asymmetric market responses to geopolitical risks.</w:t>
      </w:r>
    </w:p>
    <w:p w14:paraId="7AC90304" w14:textId="77777777" w:rsidR="00D53B95" w:rsidRPr="00C666FA" w:rsidRDefault="00D53B95" w:rsidP="00D53B95">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Second, the MIDAS specification effectively utilizes the long-term trend characteristics of low-frequency variables such as geopolitical factors while preserving high-frequency financial information, aligning well with the frequency heterogeneity of the data used in this study.</w:t>
      </w:r>
    </w:p>
    <w:p w14:paraId="62E5CB83" w14:textId="77777777" w:rsidR="00D53B95" w:rsidRPr="00C666FA" w:rsidRDefault="00D53B95" w:rsidP="00D53B95">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Third, the model </w:t>
      </w:r>
      <w:r w:rsidRPr="00C666FA">
        <w:rPr>
          <w:rFonts w:ascii="Times New Roman" w:eastAsia="仿宋" w:hAnsi="Times New Roman" w:cs="Times New Roman" w:hint="eastAsia"/>
          <w:color w:val="000000" w:themeColor="text1"/>
          <w:szCs w:val="22"/>
          <w14:ligatures w14:val="none"/>
        </w:rPr>
        <w:t>exhibits good scalability and can be further enhanced to</w:t>
      </w:r>
      <w:r w:rsidRPr="00C666FA">
        <w:rPr>
          <w:rFonts w:ascii="Times New Roman" w:eastAsia="仿宋" w:hAnsi="Times New Roman" w:cs="Times New Roman"/>
          <w:color w:val="000000" w:themeColor="text1"/>
          <w:szCs w:val="22"/>
          <w14:ligatures w14:val="none"/>
        </w:rPr>
        <w:t xml:space="preserve"> incorporate the positive and negative decomposition of geopolitical risks, thereby revealing the heterogeneous impact of different directional shocks on long-term volatility.</w:t>
      </w:r>
    </w:p>
    <w:p w14:paraId="735BE45C" w14:textId="7A672AE7" w:rsidR="00D53B95" w:rsidRPr="00C666FA" w:rsidRDefault="00D53B95" w:rsidP="00D53B95">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Therefore, the GJR-GARCH-MIDAS model demonstrates significant advantages in terms of theoretical suitability and empirical feasibility, providing a solid methodological foundation for exploring the predictive relationship between US-China geopolitical risks and stock market volatility.</w:t>
      </w:r>
    </w:p>
    <w:p w14:paraId="149DFD3F" w14:textId="7683837F" w:rsidR="00D53B95" w:rsidRPr="00C666FA" w:rsidRDefault="00D53B95"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hint="eastAsia"/>
          <w:color w:val="000000" w:themeColor="text1"/>
          <w:szCs w:val="22"/>
          <w14:ligatures w14:val="none"/>
        </w:rPr>
        <w:lastRenderedPageBreak/>
        <w:t>B</w:t>
      </w:r>
      <w:r w:rsidRPr="00C666FA">
        <w:rPr>
          <w:rFonts w:ascii="Times New Roman" w:eastAsia="仿宋" w:hAnsi="Times New Roman" w:cs="Times New Roman"/>
          <w:color w:val="000000" w:themeColor="text1"/>
          <w:szCs w:val="22"/>
          <w14:ligatures w14:val="none"/>
        </w:rPr>
        <w:t>ased on the GARCH-MIDAS framework, the daily return equation is set as follows:</w:t>
      </w:r>
    </w:p>
    <w:p w14:paraId="42A4DA83" w14:textId="77777777" w:rsidR="00B36226" w:rsidRPr="00C666FA" w:rsidRDefault="00000000"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m:oMathPara>
        <m:oMath>
          <m:eqArr>
            <m:eqArrPr>
              <m:maxDist m:val="1"/>
              <m:ctrlPr>
                <w:rPr>
                  <w:rFonts w:ascii="Cambria Math" w:eastAsia="仿宋" w:hAnsi="Cambria Math" w:cs="Times New Roman"/>
                  <w:color w:val="000000" w:themeColor="text1"/>
                  <w:szCs w:val="22"/>
                  <w14:ligatures w14:val="none"/>
                </w:rPr>
              </m:ctrlPr>
            </m:eqArrPr>
            <m:e>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r</m:t>
                  </m:r>
                </m:e>
                <m:sub>
                  <m:r>
                    <w:rPr>
                      <w:rFonts w:ascii="Cambria Math" w:eastAsia="仿宋" w:hAnsi="Cambria Math" w:cs="Times New Roman"/>
                      <w:color w:val="000000" w:themeColor="text1"/>
                      <w:szCs w:val="22"/>
                      <w14:ligatures w14:val="none"/>
                    </w:rPr>
                    <m:t>i</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t</m:t>
                  </m:r>
                </m:sub>
              </m:sSub>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μ</m:t>
              </m:r>
              <m:r>
                <m:rPr>
                  <m:sty m:val="p"/>
                </m:rPr>
                <w:rPr>
                  <w:rFonts w:ascii="Cambria Math" w:eastAsia="仿宋" w:hAnsi="Cambria Math" w:cs="Times New Roman"/>
                  <w:color w:val="000000" w:themeColor="text1"/>
                  <w:szCs w:val="22"/>
                  <w14:ligatures w14:val="none"/>
                </w:rPr>
                <m:t>+</m:t>
              </m:r>
              <m:rad>
                <m:radPr>
                  <m:degHide m:val="1"/>
                  <m:ctrlPr>
                    <w:rPr>
                      <w:rFonts w:ascii="Cambria Math" w:eastAsia="仿宋" w:hAnsi="Cambria Math" w:cs="Times New Roman"/>
                      <w:color w:val="000000" w:themeColor="text1"/>
                      <w:szCs w:val="22"/>
                      <w14:ligatures w14:val="none"/>
                    </w:rPr>
                  </m:ctrlPr>
                </m:radPr>
                <m:deg/>
                <m:e>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τ</m:t>
                      </m:r>
                    </m:e>
                    <m:sub>
                      <m:r>
                        <w:rPr>
                          <w:rFonts w:ascii="Cambria Math" w:eastAsia="仿宋" w:hAnsi="Cambria Math" w:cs="Times New Roman"/>
                          <w:color w:val="000000" w:themeColor="text1"/>
                          <w:szCs w:val="22"/>
                          <w14:ligatures w14:val="none"/>
                        </w:rPr>
                        <m:t>t</m:t>
                      </m:r>
                    </m:sub>
                  </m:sSub>
                  <m:r>
                    <m:rPr>
                      <m:sty m:val="p"/>
                    </m:rPr>
                    <w:rPr>
                      <w:rFonts w:ascii="Cambria Math" w:eastAsia="仿宋" w:hAnsi="Cambria Math" w:cs="Times New Roman"/>
                      <w:color w:val="000000" w:themeColor="text1"/>
                      <w:szCs w:val="22"/>
                      <w14:ligatures w14:val="none"/>
                    </w:rPr>
                    <m:t>*</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g</m:t>
                      </m:r>
                    </m:e>
                    <m:sub>
                      <m:r>
                        <w:rPr>
                          <w:rFonts w:ascii="Cambria Math" w:eastAsia="仿宋" w:hAnsi="Cambria Math" w:cs="Times New Roman"/>
                          <w:color w:val="000000" w:themeColor="text1"/>
                          <w:szCs w:val="22"/>
                          <w14:ligatures w14:val="none"/>
                        </w:rPr>
                        <m:t>i</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t</m:t>
                      </m:r>
                    </m:sub>
                  </m:sSub>
                </m:e>
              </m:rad>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ε</m:t>
                  </m:r>
                </m:e>
                <m:sub>
                  <m:r>
                    <w:rPr>
                      <w:rFonts w:ascii="Cambria Math" w:eastAsia="仿宋" w:hAnsi="Cambria Math" w:cs="Times New Roman"/>
                      <w:color w:val="000000" w:themeColor="text1"/>
                      <w:szCs w:val="22"/>
                      <w14:ligatures w14:val="none"/>
                    </w:rPr>
                    <m:t>i</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t</m:t>
                  </m:r>
                </m:sub>
              </m:sSub>
              <m:r>
                <m:rPr>
                  <m:sty m:val="p"/>
                </m:rPr>
                <w:rPr>
                  <w:rFonts w:ascii="Cambria Math" w:eastAsia="仿宋" w:hAnsi="Cambria Math" w:cs="Times New Roman"/>
                  <w:color w:val="000000" w:themeColor="text1"/>
                  <w:szCs w:val="22"/>
                  <w14:ligatures w14:val="none"/>
                </w:rPr>
                <m:t xml:space="preserve">           ∀i=1,…,</m:t>
              </m:r>
              <m:sSub>
                <m:sSubPr>
                  <m:ctrlPr>
                    <w:rPr>
                      <w:rFonts w:ascii="Cambria Math" w:eastAsia="仿宋" w:hAnsi="Cambria Math" w:cs="Times New Roman"/>
                      <w:color w:val="000000" w:themeColor="text1"/>
                      <w:szCs w:val="22"/>
                      <w14:ligatures w14:val="none"/>
                    </w:rPr>
                  </m:ctrlPr>
                </m:sSubPr>
                <m:e>
                  <m:r>
                    <m:rPr>
                      <m:sty m:val="p"/>
                    </m:rPr>
                    <w:rPr>
                      <w:rFonts w:ascii="Cambria Math" w:eastAsia="仿宋" w:hAnsi="Cambria Math" w:cs="Times New Roman"/>
                      <w:color w:val="000000" w:themeColor="text1"/>
                      <w:szCs w:val="22"/>
                      <w14:ligatures w14:val="none"/>
                    </w:rPr>
                    <m:t>N</m:t>
                  </m:r>
                </m:e>
                <m:sub>
                  <m:r>
                    <m:rPr>
                      <m:sty m:val="p"/>
                    </m:rPr>
                    <w:rPr>
                      <w:rFonts w:ascii="Cambria Math" w:eastAsia="仿宋" w:hAnsi="Cambria Math" w:cs="Times New Roman"/>
                      <w:color w:val="000000" w:themeColor="text1"/>
                      <w:szCs w:val="22"/>
                      <w14:ligatures w14:val="none"/>
                    </w:rPr>
                    <m:t>t</m:t>
                  </m:r>
                </m:sub>
              </m:sSub>
              <m:r>
                <m:rPr>
                  <m:sty m:val="p"/>
                </m:rPr>
                <w:rPr>
                  <w:rFonts w:ascii="Cambria Math" w:eastAsia="仿宋" w:hAnsi="Cambria Math" w:cs="Times New Roman"/>
                  <w:color w:val="000000" w:themeColor="text1"/>
                  <w:szCs w:val="22"/>
                  <w14:ligatures w14:val="none"/>
                </w:rPr>
                <m:t>#</m:t>
              </m:r>
              <m:d>
                <m:dPr>
                  <m:ctrlPr>
                    <w:rPr>
                      <w:rFonts w:ascii="Cambria Math" w:eastAsia="仿宋" w:hAnsi="Cambria Math" w:cs="Times New Roman"/>
                      <w:color w:val="000000" w:themeColor="text1"/>
                      <w:szCs w:val="22"/>
                      <w14:ligatures w14:val="none"/>
                    </w:rPr>
                  </m:ctrlPr>
                </m:dPr>
                <m:e>
                  <m:r>
                    <m:rPr>
                      <m:sty m:val="p"/>
                    </m:rPr>
                    <w:rPr>
                      <w:rFonts w:ascii="Cambria Math" w:eastAsia="仿宋" w:hAnsi="Cambria Math" w:cs="Times New Roman"/>
                      <w:color w:val="000000" w:themeColor="text1"/>
                      <w:szCs w:val="22"/>
                      <w14:ligatures w14:val="none"/>
                    </w:rPr>
                    <m:t>1</m:t>
                  </m:r>
                </m:e>
              </m:d>
            </m:e>
          </m:eqArr>
        </m:oMath>
      </m:oMathPara>
    </w:p>
    <w:p w14:paraId="495FA64F" w14:textId="77777777" w:rsidR="00B36226" w:rsidRPr="00C666FA" w:rsidRDefault="00B36226"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bookmarkStart w:id="1" w:name="OLE_LINK77"/>
      <w:r w:rsidRPr="00C666FA">
        <w:rPr>
          <w:rFonts w:ascii="Times New Roman" w:eastAsia="仿宋" w:hAnsi="Times New Roman" w:cs="Times New Roman"/>
          <w:color w:val="000000" w:themeColor="text1"/>
          <w:szCs w:val="22"/>
          <w14:ligatures w14:val="none"/>
        </w:rPr>
        <w:t xml:space="preserve">In Equation (1), </w:t>
      </w:r>
      <m:oMath>
        <m:r>
          <w:rPr>
            <w:rFonts w:ascii="Cambria Math" w:eastAsia="仿宋" w:hAnsi="Cambria Math" w:cs="Times New Roman"/>
            <w:color w:val="000000" w:themeColor="text1"/>
            <w:szCs w:val="22"/>
            <w14:ligatures w14:val="none"/>
          </w:rPr>
          <m:t>μ</m:t>
        </m:r>
      </m:oMath>
      <w:r w:rsidRPr="00C666FA">
        <w:rPr>
          <w:rFonts w:ascii="Times New Roman" w:eastAsia="仿宋" w:hAnsi="Times New Roman" w:cs="Times New Roman"/>
          <w:color w:val="000000" w:themeColor="text1"/>
          <w:szCs w:val="22"/>
          <w14:ligatures w14:val="none"/>
        </w:rPr>
        <w:t xml:space="preserve"> represents the unconditional mean, </w:t>
      </w:r>
      <w:r w:rsidRPr="00C666FA">
        <w:rPr>
          <w:rFonts w:ascii="Times New Roman" w:eastAsia="仿宋" w:hAnsi="Times New Roman" w:cs="Times New Roman" w:hint="eastAsia"/>
          <w:color w:val="000000" w:themeColor="text1"/>
          <w:szCs w:val="22"/>
          <w14:ligatures w14:val="none"/>
        </w:rPr>
        <w:t>t</w:t>
      </w:r>
      <w:r w:rsidRPr="00C666FA">
        <w:rPr>
          <w:rFonts w:ascii="Times New Roman" w:eastAsia="仿宋" w:hAnsi="Times New Roman" w:cs="Times New Roman"/>
          <w:color w:val="000000" w:themeColor="text1"/>
          <w:szCs w:val="22"/>
          <w14:ligatures w14:val="none"/>
        </w:rPr>
        <w:t xml:space="preserve"> denotes time measured monthly, and </w:t>
      </w:r>
      <m:oMath>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r</m:t>
            </m:r>
          </m:e>
          <m:sub>
            <m:r>
              <w:rPr>
                <w:rFonts w:ascii="Cambria Math" w:eastAsia="仿宋" w:hAnsi="Cambria Math" w:cs="Times New Roman"/>
                <w:color w:val="000000" w:themeColor="text1"/>
                <w:szCs w:val="22"/>
                <w14:ligatures w14:val="none"/>
              </w:rPr>
              <m:t>i</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t</m:t>
            </m:r>
          </m:sub>
        </m:sSub>
      </m:oMath>
      <w:r w:rsidRPr="00C666FA">
        <w:rPr>
          <w:rFonts w:ascii="Times New Roman" w:eastAsia="仿宋" w:hAnsi="Times New Roman" w:cs="Times New Roman"/>
          <w:color w:val="000000" w:themeColor="text1"/>
          <w:szCs w:val="22"/>
          <w14:ligatures w14:val="none"/>
        </w:rPr>
        <w:t xml:space="preserve"> refers to the daily log return of the market index. This equation decomposes the conditional variance into the short-term volatility component </w:t>
      </w:r>
      <m:oMath>
        <m:sSub>
          <m:sSubPr>
            <m:ctrlPr>
              <w:rPr>
                <w:rFonts w:ascii="Cambria Math" w:eastAsia="仿宋" w:hAnsi="Cambria Math" w:cs="Times New Roman" w:hint="eastAsia"/>
                <w:color w:val="000000" w:themeColor="text1"/>
                <w:szCs w:val="22"/>
                <w14:ligatures w14:val="none"/>
              </w:rPr>
            </m:ctrlPr>
          </m:sSubPr>
          <m:e>
            <m:r>
              <w:rPr>
                <w:rFonts w:ascii="Cambria Math" w:eastAsia="仿宋" w:hAnsi="Cambria Math" w:cs="Times New Roman"/>
                <w:color w:val="000000" w:themeColor="text1"/>
                <w:szCs w:val="22"/>
                <w14:ligatures w14:val="none"/>
              </w:rPr>
              <m:t>g</m:t>
            </m:r>
            <m:ctrlPr>
              <w:rPr>
                <w:rFonts w:ascii="Cambria Math" w:eastAsia="仿宋" w:hAnsi="Cambria Math" w:cs="Times New Roman"/>
                <w:color w:val="000000" w:themeColor="text1"/>
                <w:szCs w:val="22"/>
                <w14:ligatures w14:val="none"/>
              </w:rPr>
            </m:ctrlPr>
          </m:e>
          <m:sub>
            <m:r>
              <w:rPr>
                <w:rFonts w:ascii="Cambria Math" w:eastAsia="仿宋" w:hAnsi="Cambria Math" w:cs="Times New Roman"/>
                <w:color w:val="000000" w:themeColor="text1"/>
                <w:szCs w:val="22"/>
                <w14:ligatures w14:val="none"/>
              </w:rPr>
              <m:t>i</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t</m:t>
            </m:r>
            <m:ctrlPr>
              <w:rPr>
                <w:rFonts w:ascii="Cambria Math" w:eastAsia="仿宋" w:hAnsi="Cambria Math" w:cs="Times New Roman"/>
                <w:color w:val="000000" w:themeColor="text1"/>
                <w:szCs w:val="22"/>
                <w14:ligatures w14:val="none"/>
              </w:rPr>
            </m:ctrlPr>
          </m:sub>
        </m:sSub>
      </m:oMath>
      <w:r w:rsidRPr="00C666FA">
        <w:rPr>
          <w:rFonts w:ascii="Times New Roman" w:eastAsia="仿宋" w:hAnsi="Times New Roman" w:cs="Times New Roman"/>
          <w:color w:val="000000" w:themeColor="text1"/>
          <w:szCs w:val="22"/>
          <w14:ligatures w14:val="none"/>
        </w:rPr>
        <w:t xml:space="preserve"> and the long-term volatility component </w:t>
      </w:r>
      <m:oMath>
        <m:sSub>
          <m:sSubPr>
            <m:ctrlPr>
              <w:rPr>
                <w:rFonts w:ascii="Cambria Math" w:eastAsia="仿宋" w:hAnsi="Cambria Math" w:cs="Times New Roman" w:hint="eastAsia"/>
                <w:color w:val="000000" w:themeColor="text1"/>
                <w:szCs w:val="22"/>
                <w14:ligatures w14:val="none"/>
              </w:rPr>
            </m:ctrlPr>
          </m:sSubPr>
          <m:e>
            <m:r>
              <w:rPr>
                <w:rFonts w:ascii="Cambria Math" w:eastAsia="仿宋" w:hAnsi="Cambria Math" w:cs="Times New Roman"/>
                <w:color w:val="000000" w:themeColor="text1"/>
                <w:szCs w:val="22"/>
                <w14:ligatures w14:val="none"/>
              </w:rPr>
              <m:t>τ</m:t>
            </m:r>
            <m:ctrlPr>
              <w:rPr>
                <w:rFonts w:ascii="Cambria Math" w:eastAsia="仿宋" w:hAnsi="Cambria Math" w:cs="Times New Roman"/>
                <w:color w:val="000000" w:themeColor="text1"/>
                <w:szCs w:val="22"/>
                <w14:ligatures w14:val="none"/>
              </w:rPr>
            </m:ctrlPr>
          </m:e>
          <m:sub>
            <m:r>
              <w:rPr>
                <w:rFonts w:ascii="Cambria Math" w:eastAsia="仿宋" w:hAnsi="Cambria Math" w:cs="Times New Roman"/>
                <w:color w:val="000000" w:themeColor="text1"/>
                <w:szCs w:val="22"/>
                <w14:ligatures w14:val="none"/>
              </w:rPr>
              <m:t>t</m:t>
            </m:r>
            <m:ctrlPr>
              <w:rPr>
                <w:rFonts w:ascii="Cambria Math" w:eastAsia="仿宋" w:hAnsi="Cambria Math" w:cs="Times New Roman"/>
                <w:color w:val="000000" w:themeColor="text1"/>
                <w:szCs w:val="22"/>
                <w14:ligatures w14:val="none"/>
              </w:rPr>
            </m:ctrlPr>
          </m:sub>
        </m:sSub>
      </m:oMath>
      <w:r w:rsidRPr="00C666FA">
        <w:rPr>
          <w:rFonts w:ascii="Times New Roman" w:eastAsia="仿宋" w:hAnsi="Times New Roman" w:cs="Times New Roman"/>
          <w:color w:val="000000" w:themeColor="text1"/>
          <w:szCs w:val="22"/>
          <w14:ligatures w14:val="none"/>
        </w:rPr>
        <w:t>.</w:t>
      </w:r>
    </w:p>
    <w:bookmarkEnd w:id="1"/>
    <w:p w14:paraId="757C12EA" w14:textId="77777777" w:rsidR="00B36226" w:rsidRPr="00C666FA" w:rsidRDefault="00000000"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m:oMathPara>
        <m:oMath>
          <m:eqArr>
            <m:eqArrPr>
              <m:maxDist m:val="1"/>
              <m:ctrlPr>
                <w:rPr>
                  <w:rFonts w:ascii="Cambria Math" w:eastAsia="仿宋" w:hAnsi="Cambria Math" w:cs="Times New Roman"/>
                  <w:color w:val="000000" w:themeColor="text1"/>
                  <w:szCs w:val="22"/>
                  <w14:ligatures w14:val="none"/>
                </w:rPr>
              </m:ctrlPr>
            </m:eqArrPr>
            <m:e>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g</m:t>
                  </m:r>
                </m:e>
                <m:sub>
                  <m:r>
                    <w:rPr>
                      <w:rFonts w:ascii="Cambria Math" w:eastAsia="仿宋" w:hAnsi="Cambria Math" w:cs="Times New Roman"/>
                      <w:color w:val="000000" w:themeColor="text1"/>
                      <w:szCs w:val="22"/>
                      <w14:ligatures w14:val="none"/>
                    </w:rPr>
                    <m:t>i</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t</m:t>
                  </m:r>
                </m:sub>
              </m:sSub>
              <m:r>
                <m:rPr>
                  <m:sty m:val="p"/>
                </m:rPr>
                <w:rPr>
                  <w:rFonts w:ascii="Cambria Math" w:eastAsia="仿宋" w:hAnsi="Cambria Math" w:cs="Times New Roman"/>
                  <w:color w:val="000000" w:themeColor="text1"/>
                  <w:szCs w:val="22"/>
                  <w14:ligatures w14:val="none"/>
                </w:rPr>
                <m:t>=</m:t>
              </m:r>
              <m:d>
                <m:dPr>
                  <m:ctrlPr>
                    <w:rPr>
                      <w:rFonts w:ascii="Cambria Math" w:eastAsia="仿宋" w:hAnsi="Cambria Math" w:cs="Times New Roman"/>
                      <w:color w:val="000000" w:themeColor="text1"/>
                      <w:szCs w:val="22"/>
                      <w14:ligatures w14:val="none"/>
                    </w:rPr>
                  </m:ctrlPr>
                </m:dPr>
                <m:e>
                  <m:r>
                    <m:rPr>
                      <m:sty m:val="p"/>
                    </m:rPr>
                    <w:rPr>
                      <w:rFonts w:ascii="Cambria Math" w:eastAsia="仿宋" w:hAnsi="Cambria Math" w:cs="Times New Roman"/>
                      <w:color w:val="000000" w:themeColor="text1"/>
                      <w:szCs w:val="22"/>
                      <w14:ligatures w14:val="none"/>
                    </w:rPr>
                    <m:t>1-</m:t>
                  </m:r>
                  <m:r>
                    <w:rPr>
                      <w:rFonts w:ascii="Cambria Math" w:eastAsia="仿宋" w:hAnsi="Cambria Math" w:cs="Times New Roman"/>
                      <w:color w:val="000000" w:themeColor="text1"/>
                      <w:szCs w:val="22"/>
                      <w14:ligatures w14:val="none"/>
                    </w:rPr>
                    <m:t>α</m:t>
                  </m:r>
                  <m:r>
                    <m:rPr>
                      <m:sty m:val="p"/>
                    </m:rPr>
                    <w:rPr>
                      <w:rFonts w:ascii="Cambria Math" w:eastAsia="仿宋" w:hAnsi="Cambria Math" w:cs="Times New Roman"/>
                      <w:color w:val="000000" w:themeColor="text1"/>
                      <w:szCs w:val="22"/>
                      <w14:ligatures w14:val="none"/>
                    </w:rPr>
                    <m:t>-</m:t>
                  </m:r>
                  <m:f>
                    <m:fPr>
                      <m:ctrlPr>
                        <w:rPr>
                          <w:rFonts w:ascii="Cambria Math" w:eastAsia="仿宋" w:hAnsi="Cambria Math" w:cs="Times New Roman"/>
                          <w:color w:val="000000" w:themeColor="text1"/>
                          <w:szCs w:val="22"/>
                          <w14:ligatures w14:val="none"/>
                        </w:rPr>
                      </m:ctrlPr>
                    </m:fPr>
                    <m:num>
                      <m:r>
                        <w:rPr>
                          <w:rFonts w:ascii="Cambria Math" w:eastAsia="仿宋" w:hAnsi="Cambria Math" w:cs="Times New Roman"/>
                          <w:color w:val="000000" w:themeColor="text1"/>
                          <w:szCs w:val="22"/>
                          <w14:ligatures w14:val="none"/>
                        </w:rPr>
                        <m:t>γ</m:t>
                      </m:r>
                    </m:num>
                    <m:den>
                      <m:r>
                        <m:rPr>
                          <m:sty m:val="p"/>
                        </m:rPr>
                        <w:rPr>
                          <w:rFonts w:ascii="Cambria Math" w:eastAsia="仿宋" w:hAnsi="Cambria Math" w:cs="Times New Roman"/>
                          <w:color w:val="000000" w:themeColor="text1"/>
                          <w:szCs w:val="22"/>
                          <w14:ligatures w14:val="none"/>
                        </w:rPr>
                        <m:t>2</m:t>
                      </m:r>
                    </m:den>
                  </m:f>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β</m:t>
                  </m:r>
                </m:e>
              </m:d>
              <m:r>
                <m:rPr>
                  <m:sty m:val="p"/>
                </m:rPr>
                <w:rPr>
                  <w:rFonts w:ascii="Cambria Math" w:eastAsia="仿宋" w:hAnsi="Cambria Math" w:cs="Times New Roman"/>
                  <w:color w:val="000000" w:themeColor="text1"/>
                  <w:szCs w:val="22"/>
                  <w14:ligatures w14:val="none"/>
                </w:rPr>
                <m:t>+</m:t>
              </m:r>
              <m:d>
                <m:dPr>
                  <m:ctrlPr>
                    <w:rPr>
                      <w:rFonts w:ascii="Cambria Math" w:eastAsia="仿宋" w:hAnsi="Cambria Math" w:cs="Times New Roman"/>
                      <w:color w:val="000000" w:themeColor="text1"/>
                      <w:szCs w:val="22"/>
                      <w14:ligatures w14:val="none"/>
                    </w:rPr>
                  </m:ctrlPr>
                </m:dPr>
                <m:e>
                  <m:r>
                    <w:rPr>
                      <w:rFonts w:ascii="Cambria Math" w:eastAsia="仿宋" w:hAnsi="Cambria Math" w:cs="Times New Roman"/>
                      <w:color w:val="000000" w:themeColor="text1"/>
                      <w:szCs w:val="22"/>
                      <w14:ligatures w14:val="none"/>
                    </w:rPr>
                    <m:t>α</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γ</m:t>
                  </m:r>
                  <m:r>
                    <m:rPr>
                      <m:sty m:val="p"/>
                    </m:rPr>
                    <w:rPr>
                      <w:rFonts w:ascii="Cambria Math" w:eastAsia="仿宋" w:hAnsi="Cambria Math" w:cs="Times New Roman"/>
                      <w:color w:val="000000" w:themeColor="text1"/>
                      <w:szCs w:val="22"/>
                      <w14:ligatures w14:val="none"/>
                    </w:rPr>
                    <m:t>*</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I</m:t>
                      </m:r>
                    </m:e>
                    <m:sub>
                      <m:d>
                        <m:dPr>
                          <m:begChr m:val="{"/>
                          <m:endChr m:val="}"/>
                          <m:ctrlPr>
                            <w:rPr>
                              <w:rFonts w:ascii="Cambria Math" w:eastAsia="仿宋" w:hAnsi="Cambria Math" w:cs="Times New Roman"/>
                              <w:color w:val="000000" w:themeColor="text1"/>
                              <w:szCs w:val="22"/>
                              <w14:ligatures w14:val="none"/>
                            </w:rPr>
                          </m:ctrlPr>
                        </m:dPr>
                        <m:e>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ε</m:t>
                              </m:r>
                            </m:e>
                            <m:sub>
                              <m:r>
                                <w:rPr>
                                  <w:rFonts w:ascii="Cambria Math" w:eastAsia="仿宋" w:hAnsi="Cambria Math" w:cs="Times New Roman"/>
                                  <w:color w:val="000000" w:themeColor="text1"/>
                                  <w:szCs w:val="22"/>
                                  <w14:ligatures w14:val="none"/>
                                </w:rPr>
                                <m:t>i</m:t>
                              </m:r>
                              <m:r>
                                <m:rPr>
                                  <m:sty m:val="p"/>
                                </m:rPr>
                                <w:rPr>
                                  <w:rFonts w:ascii="Cambria Math" w:eastAsia="仿宋" w:hAnsi="Cambria Math" w:cs="Times New Roman"/>
                                  <w:color w:val="000000" w:themeColor="text1"/>
                                  <w:szCs w:val="22"/>
                                  <w14:ligatures w14:val="none"/>
                                </w:rPr>
                                <m:t>-1,</m:t>
                              </m:r>
                              <m:r>
                                <w:rPr>
                                  <w:rFonts w:ascii="Cambria Math" w:eastAsia="仿宋" w:hAnsi="Cambria Math" w:cs="Times New Roman"/>
                                  <w:color w:val="000000" w:themeColor="text1"/>
                                  <w:szCs w:val="22"/>
                                  <w14:ligatures w14:val="none"/>
                                </w:rPr>
                                <m:t>t</m:t>
                              </m:r>
                            </m:sub>
                          </m:sSub>
                          <m:r>
                            <m:rPr>
                              <m:sty m:val="p"/>
                            </m:rPr>
                            <w:rPr>
                              <w:rFonts w:ascii="Cambria Math" w:eastAsia="仿宋" w:hAnsi="Cambria Math" w:cs="Times New Roman"/>
                              <w:color w:val="000000" w:themeColor="text1"/>
                              <w:szCs w:val="22"/>
                              <w14:ligatures w14:val="none"/>
                            </w:rPr>
                            <m:t>&lt;0</m:t>
                          </m:r>
                        </m:e>
                      </m:d>
                    </m:sub>
                  </m:sSub>
                </m:e>
              </m:d>
              <m:f>
                <m:fPr>
                  <m:ctrlPr>
                    <w:rPr>
                      <w:rFonts w:ascii="Cambria Math" w:eastAsia="仿宋" w:hAnsi="Cambria Math" w:cs="Times New Roman"/>
                      <w:color w:val="000000" w:themeColor="text1"/>
                      <w:szCs w:val="22"/>
                      <w14:ligatures w14:val="none"/>
                    </w:rPr>
                  </m:ctrlPr>
                </m:fPr>
                <m:num>
                  <m:sSubSup>
                    <m:sSubSupPr>
                      <m:ctrlPr>
                        <w:rPr>
                          <w:rFonts w:ascii="Cambria Math" w:eastAsia="仿宋" w:hAnsi="Cambria Math" w:cs="Times New Roman"/>
                          <w:color w:val="000000" w:themeColor="text1"/>
                          <w:szCs w:val="22"/>
                          <w14:ligatures w14:val="none"/>
                        </w:rPr>
                      </m:ctrlPr>
                    </m:sSubSupPr>
                    <m:e>
                      <m:r>
                        <w:rPr>
                          <w:rFonts w:ascii="Cambria Math" w:eastAsia="仿宋" w:hAnsi="Cambria Math" w:cs="Times New Roman"/>
                          <w:color w:val="000000" w:themeColor="text1"/>
                          <w:szCs w:val="22"/>
                          <w14:ligatures w14:val="none"/>
                        </w:rPr>
                        <m:t>ε</m:t>
                      </m:r>
                    </m:e>
                    <m:sub>
                      <m:r>
                        <w:rPr>
                          <w:rFonts w:ascii="Cambria Math" w:eastAsia="仿宋" w:hAnsi="Cambria Math" w:cs="Times New Roman"/>
                          <w:color w:val="000000" w:themeColor="text1"/>
                          <w:szCs w:val="22"/>
                          <w14:ligatures w14:val="none"/>
                        </w:rPr>
                        <m:t>i</m:t>
                      </m:r>
                      <m:r>
                        <m:rPr>
                          <m:sty m:val="p"/>
                        </m:rPr>
                        <w:rPr>
                          <w:rFonts w:ascii="Cambria Math" w:eastAsia="仿宋" w:hAnsi="Cambria Math" w:cs="Times New Roman"/>
                          <w:color w:val="000000" w:themeColor="text1"/>
                          <w:szCs w:val="22"/>
                          <w14:ligatures w14:val="none"/>
                        </w:rPr>
                        <m:t>-1,</m:t>
                      </m:r>
                      <m:r>
                        <w:rPr>
                          <w:rFonts w:ascii="Cambria Math" w:eastAsia="仿宋" w:hAnsi="Cambria Math" w:cs="Times New Roman"/>
                          <w:color w:val="000000" w:themeColor="text1"/>
                          <w:szCs w:val="22"/>
                          <w14:ligatures w14:val="none"/>
                        </w:rPr>
                        <m:t>t</m:t>
                      </m:r>
                    </m:sub>
                    <m:sup>
                      <m:r>
                        <m:rPr>
                          <m:sty m:val="p"/>
                        </m:rPr>
                        <w:rPr>
                          <w:rFonts w:ascii="Cambria Math" w:eastAsia="仿宋" w:hAnsi="Cambria Math" w:cs="Times New Roman"/>
                          <w:color w:val="000000" w:themeColor="text1"/>
                          <w:szCs w:val="22"/>
                          <w14:ligatures w14:val="none"/>
                        </w:rPr>
                        <m:t>2</m:t>
                      </m:r>
                    </m:sup>
                  </m:sSubSup>
                </m:num>
                <m:den>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τ</m:t>
                      </m:r>
                    </m:e>
                    <m:sub>
                      <m:r>
                        <w:rPr>
                          <w:rFonts w:ascii="Cambria Math" w:eastAsia="仿宋" w:hAnsi="Cambria Math" w:cs="Times New Roman"/>
                          <w:color w:val="000000" w:themeColor="text1"/>
                          <w:szCs w:val="22"/>
                          <w14:ligatures w14:val="none"/>
                        </w:rPr>
                        <m:t>t</m:t>
                      </m:r>
                    </m:sub>
                  </m:sSub>
                </m:den>
              </m:f>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β</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g</m:t>
                  </m:r>
                </m:e>
                <m:sub>
                  <m:r>
                    <w:rPr>
                      <w:rFonts w:ascii="Cambria Math" w:eastAsia="仿宋" w:hAnsi="Cambria Math" w:cs="Times New Roman"/>
                      <w:color w:val="000000" w:themeColor="text1"/>
                      <w:szCs w:val="22"/>
                      <w14:ligatures w14:val="none"/>
                    </w:rPr>
                    <m:t>i</m:t>
                  </m:r>
                  <m:r>
                    <m:rPr>
                      <m:sty m:val="p"/>
                    </m:rPr>
                    <w:rPr>
                      <w:rFonts w:ascii="Cambria Math" w:eastAsia="仿宋" w:hAnsi="Cambria Math" w:cs="Times New Roman"/>
                      <w:color w:val="000000" w:themeColor="text1"/>
                      <w:szCs w:val="22"/>
                      <w14:ligatures w14:val="none"/>
                    </w:rPr>
                    <m:t>-1,</m:t>
                  </m:r>
                  <m:r>
                    <w:rPr>
                      <w:rFonts w:ascii="Cambria Math" w:eastAsia="仿宋" w:hAnsi="Cambria Math" w:cs="Times New Roman"/>
                      <w:color w:val="000000" w:themeColor="text1"/>
                      <w:szCs w:val="22"/>
                      <w14:ligatures w14:val="none"/>
                    </w:rPr>
                    <m:t>t</m:t>
                  </m:r>
                </m:sub>
              </m:sSub>
              <m:r>
                <m:rPr>
                  <m:sty m:val="p"/>
                </m:rPr>
                <w:rPr>
                  <w:rFonts w:ascii="Cambria Math" w:eastAsia="仿宋" w:hAnsi="Cambria Math" w:cs="Times New Roman"/>
                  <w:color w:val="000000" w:themeColor="text1"/>
                  <w:szCs w:val="22"/>
                  <w14:ligatures w14:val="none"/>
                </w:rPr>
                <m:t>#</m:t>
              </m:r>
              <m:d>
                <m:dPr>
                  <m:ctrlPr>
                    <w:rPr>
                      <w:rFonts w:ascii="Cambria Math" w:eastAsia="仿宋" w:hAnsi="Cambria Math" w:cs="Times New Roman"/>
                      <w:color w:val="000000" w:themeColor="text1"/>
                      <w:szCs w:val="22"/>
                      <w14:ligatures w14:val="none"/>
                    </w:rPr>
                  </m:ctrlPr>
                </m:dPr>
                <m:e>
                  <m:r>
                    <m:rPr>
                      <m:sty m:val="p"/>
                    </m:rPr>
                    <w:rPr>
                      <w:rFonts w:ascii="Cambria Math" w:eastAsia="仿宋" w:hAnsi="Cambria Math" w:cs="Times New Roman"/>
                      <w:color w:val="000000" w:themeColor="text1"/>
                      <w:szCs w:val="22"/>
                      <w14:ligatures w14:val="none"/>
                    </w:rPr>
                    <m:t>2</m:t>
                  </m:r>
                </m:e>
              </m:d>
            </m:e>
          </m:eqArr>
        </m:oMath>
      </m:oMathPara>
    </w:p>
    <w:p w14:paraId="33EEA2A1" w14:textId="1123EE46" w:rsidR="00B36226" w:rsidRPr="00C666FA" w:rsidRDefault="00B36226"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In Equation (2), the short-term volatility </w:t>
      </w:r>
      <m:oMath>
        <m:sSub>
          <m:sSubPr>
            <m:ctrlPr>
              <w:rPr>
                <w:rFonts w:ascii="Cambria Math" w:eastAsia="仿宋" w:hAnsi="Cambria Math" w:cs="Times New Roman" w:hint="eastAsia"/>
                <w:color w:val="000000" w:themeColor="text1"/>
                <w:szCs w:val="22"/>
                <w14:ligatures w14:val="none"/>
              </w:rPr>
            </m:ctrlPr>
          </m:sSubPr>
          <m:e>
            <m:r>
              <w:rPr>
                <w:rFonts w:ascii="Cambria Math" w:eastAsia="仿宋" w:hAnsi="Cambria Math" w:cs="Times New Roman"/>
                <w:color w:val="000000" w:themeColor="text1"/>
                <w:szCs w:val="22"/>
                <w14:ligatures w14:val="none"/>
              </w:rPr>
              <m:t>g</m:t>
            </m:r>
            <m:ctrlPr>
              <w:rPr>
                <w:rFonts w:ascii="Cambria Math" w:eastAsia="仿宋" w:hAnsi="Cambria Math" w:cs="Times New Roman"/>
                <w:color w:val="000000" w:themeColor="text1"/>
                <w:szCs w:val="22"/>
                <w14:ligatures w14:val="none"/>
              </w:rPr>
            </m:ctrlPr>
          </m:e>
          <m:sub>
            <m:r>
              <w:rPr>
                <w:rFonts w:ascii="Cambria Math" w:eastAsia="仿宋" w:hAnsi="Cambria Math" w:cs="Times New Roman"/>
                <w:color w:val="000000" w:themeColor="text1"/>
                <w:szCs w:val="22"/>
                <w14:ligatures w14:val="none"/>
              </w:rPr>
              <m:t>i</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t</m:t>
            </m:r>
            <m:ctrlPr>
              <w:rPr>
                <w:rFonts w:ascii="Cambria Math" w:eastAsia="仿宋" w:hAnsi="Cambria Math" w:cs="Times New Roman"/>
                <w:color w:val="000000" w:themeColor="text1"/>
                <w:szCs w:val="22"/>
                <w14:ligatures w14:val="none"/>
              </w:rPr>
            </m:ctrlPr>
          </m:sub>
        </m:sSub>
      </m:oMath>
      <w:r w:rsidRPr="00C666FA">
        <w:rPr>
          <w:rFonts w:ascii="Times New Roman" w:eastAsia="仿宋" w:hAnsi="Times New Roman" w:cs="Times New Roman"/>
          <w:color w:val="000000" w:themeColor="text1"/>
          <w:szCs w:val="22"/>
          <w14:ligatures w14:val="none"/>
        </w:rPr>
        <w:t xml:space="preserve"> is modeled using the GJR-GARCH(1,1) model, as proposed by </w:t>
      </w:r>
      <w:r w:rsidR="00377025" w:rsidRPr="00C666FA">
        <w:rPr>
          <w:rFonts w:ascii="Times New Roman" w:eastAsia="仿宋" w:hAnsi="Times New Roman" w:cs="Times New Roman"/>
          <w:color w:val="000000" w:themeColor="text1"/>
          <w:szCs w:val="22"/>
          <w14:ligatures w14:val="none"/>
        </w:rPr>
        <w:fldChar w:fldCharType="begin"/>
      </w:r>
      <w:r w:rsidR="00377025" w:rsidRPr="00C666FA">
        <w:rPr>
          <w:rFonts w:ascii="Times New Roman" w:eastAsia="仿宋" w:hAnsi="Times New Roman" w:cs="Times New Roman"/>
          <w:color w:val="000000" w:themeColor="text1"/>
          <w:szCs w:val="22"/>
          <w14:ligatures w14:val="none"/>
        </w:rPr>
        <w:instrText xml:space="preserve"> ADDIN EN.CITE &lt;EndNote&gt;&lt;Cite AuthorYear="1"&gt;&lt;Author&gt;Conrad&lt;/Author&gt;&lt;Year&gt;2020&lt;/Year&gt;&lt;RecNum&gt;589&lt;/RecNum&gt;&lt;DisplayText&gt;Conrad and Kleen (2020)&lt;/DisplayText&gt;&lt;record&gt;&lt;rec-number&gt;589&lt;/rec-number&gt;&lt;foreign-keys&gt;&lt;key app="EN" db-id="dvsp2e2z3a9fzpezr9n5pp2lw9tf5rvzrx9x" timestamp="1751249506"&gt;589&lt;/key&gt;&lt;/foreign-keys&gt;&lt;ref-type name="Journal Article"&gt;17&lt;/ref-type&gt;&lt;contributors&gt;&lt;authors&gt;&lt;author&gt;Conrad, Christian&lt;/author&gt;&lt;author&gt;Kleen, Onno&lt;/author&gt;&lt;/authors&gt;&lt;/contributors&gt;&lt;titles&gt;&lt;title&gt;Two are better than one: Volatility forecasting using multiplicative component GARCH-MIDAS models&lt;/title&gt;&lt;secondary-title&gt;Journal of Applied Econometrics&lt;/secondary-title&gt;&lt;/titles&gt;&lt;periodical&gt;&lt;full-title&gt;Journal of Applied Econometrics&lt;/full-title&gt;&lt;/periodical&gt;&lt;pages&gt;19-45&lt;/pages&gt;&lt;volume&gt;35&lt;/volume&gt;&lt;number&gt;1&lt;/number&gt;&lt;dates&gt;&lt;year&gt;2020&lt;/year&gt;&lt;pub-dates&gt;&lt;date&gt;2020/01/01&lt;/date&gt;&lt;/pub-dates&gt;&lt;/dates&gt;&lt;publisher&gt;John Wiley &amp;amp; Sons, Ltd&lt;/publisher&gt;&lt;isbn&gt;0883-7252&lt;/isbn&gt;&lt;urls&gt;&lt;related-urls&gt;&lt;url&gt;https://doi.org/10.1002/jae.2742&lt;/url&gt;&lt;/related-urls&gt;&lt;/urls&gt;&lt;electronic-resource-num&gt;https://doi.org/10.1002/jae.2742&lt;/electronic-resource-num&gt;&lt;access-date&gt;2025/06/29&lt;/access-date&gt;&lt;/record&gt;&lt;/Cite&gt;&lt;/EndNote&gt;</w:instrText>
      </w:r>
      <w:r w:rsidR="00377025" w:rsidRPr="00C666FA">
        <w:rPr>
          <w:rFonts w:ascii="Times New Roman" w:eastAsia="仿宋" w:hAnsi="Times New Roman" w:cs="Times New Roman"/>
          <w:color w:val="000000" w:themeColor="text1"/>
          <w:szCs w:val="22"/>
          <w14:ligatures w14:val="none"/>
        </w:rPr>
        <w:fldChar w:fldCharType="separate"/>
      </w:r>
      <w:r w:rsidR="00377025" w:rsidRPr="00C666FA">
        <w:rPr>
          <w:rFonts w:ascii="Times New Roman" w:eastAsia="仿宋" w:hAnsi="Times New Roman" w:cs="Times New Roman"/>
          <w:noProof/>
          <w:color w:val="000000" w:themeColor="text1"/>
          <w:szCs w:val="22"/>
          <w14:ligatures w14:val="none"/>
        </w:rPr>
        <w:t>Conrad and Kleen (2020)</w:t>
      </w:r>
      <w:r w:rsidR="00377025"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 xml:space="preserve">. The equation must satisfy the following conditions: </w:t>
      </w:r>
      <m:oMath>
        <m:r>
          <w:rPr>
            <w:rFonts w:ascii="Cambria Math" w:eastAsia="仿宋" w:hAnsi="Cambria Math" w:cs="Times New Roman"/>
            <w:color w:val="000000" w:themeColor="text1"/>
            <w:szCs w:val="22"/>
            <w14:ligatures w14:val="none"/>
          </w:rPr>
          <m:t>α</m:t>
        </m:r>
        <m:r>
          <m:rPr>
            <m:sty m:val="p"/>
          </m:rPr>
          <w:rPr>
            <w:rFonts w:ascii="Cambria Math" w:eastAsia="仿宋" w:hAnsi="Cambria Math" w:cs="Times New Roman"/>
            <w:color w:val="000000" w:themeColor="text1"/>
            <w:szCs w:val="22"/>
            <w14:ligatures w14:val="none"/>
          </w:rPr>
          <m:t>&gt;0</m:t>
        </m:r>
      </m:oMath>
      <w:r w:rsidRPr="00C666FA">
        <w:rPr>
          <w:rFonts w:ascii="Times New Roman" w:eastAsia="仿宋" w:hAnsi="Times New Roman" w:cs="Times New Roman"/>
          <w:color w:val="000000" w:themeColor="text1"/>
          <w:szCs w:val="22"/>
          <w14:ligatures w14:val="none"/>
        </w:rPr>
        <w:t xml:space="preserve">, </w:t>
      </w:r>
      <m:oMath>
        <m:r>
          <w:rPr>
            <w:rFonts w:ascii="Cambria Math" w:eastAsia="仿宋" w:hAnsi="Cambria Math" w:cs="Times New Roman"/>
            <w:color w:val="000000" w:themeColor="text1"/>
            <w:szCs w:val="22"/>
            <w14:ligatures w14:val="none"/>
          </w:rPr>
          <m:t>β</m:t>
        </m:r>
        <m:r>
          <m:rPr>
            <m:sty m:val="p"/>
          </m:rPr>
          <w:rPr>
            <w:rFonts w:ascii="Cambria Math" w:eastAsia="仿宋" w:hAnsi="Cambria Math" w:cs="Times New Roman"/>
            <w:color w:val="000000" w:themeColor="text1"/>
            <w:szCs w:val="22"/>
            <w14:ligatures w14:val="none"/>
          </w:rPr>
          <m:t>≥0</m:t>
        </m:r>
      </m:oMath>
      <w:r w:rsidRPr="00C666FA">
        <w:rPr>
          <w:rFonts w:ascii="Times New Roman" w:eastAsia="仿宋" w:hAnsi="Times New Roman" w:cs="Times New Roman"/>
          <w:color w:val="000000" w:themeColor="text1"/>
          <w:szCs w:val="22"/>
          <w14:ligatures w14:val="none"/>
        </w:rPr>
        <w:t xml:space="preserve">, and </w:t>
      </w:r>
      <m:oMath>
        <m:r>
          <w:rPr>
            <w:rFonts w:ascii="Cambria Math" w:eastAsia="仿宋" w:hAnsi="Cambria Math" w:cs="Times New Roman"/>
            <w:color w:val="000000" w:themeColor="text1"/>
            <w:szCs w:val="22"/>
            <w14:ligatures w14:val="none"/>
          </w:rPr>
          <m:t>α</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β</m:t>
        </m:r>
        <m:r>
          <m:rPr>
            <m:sty m:val="p"/>
          </m:rPr>
          <w:rPr>
            <w:rFonts w:ascii="Cambria Math" w:eastAsia="仿宋" w:hAnsi="Cambria Math" w:cs="Times New Roman"/>
            <w:color w:val="000000" w:themeColor="text1"/>
            <w:szCs w:val="22"/>
            <w14:ligatures w14:val="none"/>
          </w:rPr>
          <m:t>+</m:t>
        </m:r>
        <m:f>
          <m:fPr>
            <m:ctrlPr>
              <w:rPr>
                <w:rFonts w:ascii="Cambria Math" w:eastAsia="仿宋" w:hAnsi="Cambria Math" w:cs="Times New Roman"/>
                <w:color w:val="000000" w:themeColor="text1"/>
                <w:szCs w:val="22"/>
                <w14:ligatures w14:val="none"/>
              </w:rPr>
            </m:ctrlPr>
          </m:fPr>
          <m:num>
            <m:r>
              <w:rPr>
                <w:rFonts w:ascii="Cambria Math" w:eastAsia="仿宋" w:hAnsi="Cambria Math" w:cs="Times New Roman"/>
                <w:color w:val="000000" w:themeColor="text1"/>
                <w:szCs w:val="22"/>
                <w14:ligatures w14:val="none"/>
              </w:rPr>
              <m:t>γ</m:t>
            </m:r>
          </m:num>
          <m:den>
            <m:r>
              <m:rPr>
                <m:sty m:val="p"/>
              </m:rPr>
              <w:rPr>
                <w:rFonts w:ascii="Cambria Math" w:eastAsia="仿宋" w:hAnsi="Cambria Math" w:cs="Times New Roman"/>
                <w:color w:val="000000" w:themeColor="text1"/>
                <w:szCs w:val="22"/>
                <w14:ligatures w14:val="none"/>
              </w:rPr>
              <m:t>2</m:t>
            </m:r>
          </m:den>
        </m:f>
        <m:r>
          <m:rPr>
            <m:sty m:val="p"/>
          </m:rPr>
          <w:rPr>
            <w:rFonts w:ascii="Cambria Math" w:eastAsia="仿宋" w:hAnsi="Cambria Math" w:cs="Times New Roman"/>
            <w:color w:val="000000" w:themeColor="text1"/>
            <w:szCs w:val="22"/>
            <w14:ligatures w14:val="none"/>
          </w:rPr>
          <m:t>&lt;1</m:t>
        </m:r>
      </m:oMath>
      <w:r w:rsidRPr="00C666FA">
        <w:rPr>
          <w:rFonts w:ascii="Times New Roman" w:eastAsia="仿宋" w:hAnsi="Times New Roman" w:cs="Times New Roman"/>
          <w:color w:val="000000" w:themeColor="text1"/>
          <w:szCs w:val="22"/>
          <w14:ligatures w14:val="none"/>
        </w:rPr>
        <w:t xml:space="preserve">. </w:t>
      </w:r>
      <w:r w:rsidRPr="00C666FA">
        <w:rPr>
          <w:rFonts w:ascii="Cambria Math" w:eastAsia="仿宋" w:hAnsi="Cambria Math" w:cs="Cambria Math"/>
          <w:color w:val="000000" w:themeColor="text1"/>
          <w:szCs w:val="22"/>
          <w14:ligatures w14:val="none"/>
        </w:rPr>
        <w:t>𝛾</w:t>
      </w:r>
      <w:r w:rsidRPr="00C666FA">
        <w:rPr>
          <w:rFonts w:ascii="Times New Roman" w:eastAsia="仿宋" w:hAnsi="Times New Roman" w:cs="Times New Roman"/>
          <w:color w:val="000000" w:themeColor="text1"/>
          <w:szCs w:val="22"/>
          <w14:ligatures w14:val="none"/>
        </w:rPr>
        <w:t xml:space="preserve"> represents the presence of asymmetry effects.</w:t>
      </w:r>
    </w:p>
    <w:p w14:paraId="64E1CB7C" w14:textId="77777777" w:rsidR="00B36226" w:rsidRPr="00C666FA" w:rsidRDefault="00000000"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m:oMathPara>
        <m:oMath>
          <m:eqArr>
            <m:eqArrPr>
              <m:maxDist m:val="1"/>
              <m:ctrlPr>
                <w:rPr>
                  <w:rFonts w:ascii="Cambria Math" w:eastAsia="仿宋" w:hAnsi="Cambria Math" w:cs="Times New Roman"/>
                  <w:color w:val="000000" w:themeColor="text1"/>
                  <w:szCs w:val="22"/>
                  <w14:ligatures w14:val="none"/>
                </w:rPr>
              </m:ctrlPr>
            </m:eqArrPr>
            <m:e>
              <m:r>
                <w:rPr>
                  <w:rFonts w:ascii="Cambria Math" w:eastAsia="仿宋" w:hAnsi="Cambria Math" w:cs="Times New Roman"/>
                  <w:color w:val="000000" w:themeColor="text1"/>
                  <w:szCs w:val="22"/>
                  <w14:ligatures w14:val="none"/>
                </w:rPr>
                <m:t>ln</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τ</m:t>
                  </m:r>
                </m:e>
                <m:sub>
                  <m:r>
                    <w:rPr>
                      <w:rFonts w:ascii="Cambria Math" w:eastAsia="仿宋" w:hAnsi="Cambria Math" w:cs="Times New Roman"/>
                      <w:color w:val="000000" w:themeColor="text1"/>
                      <w:szCs w:val="22"/>
                      <w14:ligatures w14:val="none"/>
                    </w:rPr>
                    <m:t>t</m:t>
                  </m:r>
                </m:sub>
              </m:sSub>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m</m:t>
              </m:r>
              <m:r>
                <m:rPr>
                  <m:sty m:val="p"/>
                </m:rPr>
                <w:rPr>
                  <w:rFonts w:ascii="Cambria Math" w:eastAsia="仿宋" w:hAnsi="Cambria Math" w:cs="Times New Roman"/>
                  <w:color w:val="000000" w:themeColor="text1"/>
                  <w:szCs w:val="22"/>
                  <w14:ligatures w14:val="none"/>
                </w:rPr>
                <m:t>+</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θ</m:t>
                  </m:r>
                </m:e>
                <m:sub>
                  <m:r>
                    <w:rPr>
                      <w:rFonts w:ascii="Cambria Math" w:eastAsia="仿宋" w:hAnsi="Cambria Math" w:cs="Times New Roman"/>
                      <w:color w:val="000000" w:themeColor="text1"/>
                      <w:szCs w:val="22"/>
                      <w14:ligatures w14:val="none"/>
                    </w:rPr>
                    <m:t>RV</m:t>
                  </m:r>
                </m:sub>
              </m:sSub>
              <m:nary>
                <m:naryPr>
                  <m:chr m:val="∑"/>
                  <m:limLoc m:val="undOvr"/>
                  <m:ctrlPr>
                    <w:rPr>
                      <w:rFonts w:ascii="Cambria Math" w:eastAsia="仿宋" w:hAnsi="Cambria Math" w:cs="Times New Roman"/>
                      <w:color w:val="000000" w:themeColor="text1"/>
                      <w:szCs w:val="22"/>
                      <w14:ligatures w14:val="none"/>
                    </w:rPr>
                  </m:ctrlPr>
                </m:naryPr>
                <m:sub>
                  <m:r>
                    <w:rPr>
                      <w:rFonts w:ascii="Cambria Math" w:eastAsia="仿宋" w:hAnsi="Cambria Math" w:cs="Times New Roman"/>
                      <w:color w:val="000000" w:themeColor="text1"/>
                      <w:szCs w:val="22"/>
                      <w14:ligatures w14:val="none"/>
                    </w:rPr>
                    <m:t>k</m:t>
                  </m:r>
                  <m:r>
                    <m:rPr>
                      <m:sty m:val="p"/>
                    </m:rPr>
                    <w:rPr>
                      <w:rFonts w:ascii="Cambria Math" w:eastAsia="仿宋" w:hAnsi="Cambria Math" w:cs="Times New Roman"/>
                      <w:color w:val="000000" w:themeColor="text1"/>
                      <w:szCs w:val="22"/>
                      <w14:ligatures w14:val="none"/>
                    </w:rPr>
                    <m:t>=1</m:t>
                  </m:r>
                </m:sub>
                <m:sup>
                  <m:r>
                    <w:rPr>
                      <w:rFonts w:ascii="Cambria Math" w:eastAsia="仿宋" w:hAnsi="Cambria Math" w:cs="Times New Roman"/>
                      <w:color w:val="000000" w:themeColor="text1"/>
                      <w:szCs w:val="22"/>
                      <w14:ligatures w14:val="none"/>
                    </w:rPr>
                    <m:t>K</m:t>
                  </m:r>
                </m:sup>
                <m:e>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φ</m:t>
                      </m:r>
                    </m:e>
                    <m:sub>
                      <m:r>
                        <w:rPr>
                          <w:rFonts w:ascii="Cambria Math" w:eastAsia="仿宋" w:hAnsi="Cambria Math" w:cs="Times New Roman"/>
                          <w:color w:val="000000" w:themeColor="text1"/>
                          <w:szCs w:val="22"/>
                          <w14:ligatures w14:val="none"/>
                        </w:rPr>
                        <m:t>k</m:t>
                      </m:r>
                    </m:sub>
                  </m:sSub>
                  <m:d>
                    <m:dPr>
                      <m:ctrlPr>
                        <w:rPr>
                          <w:rFonts w:ascii="Cambria Math" w:eastAsia="仿宋" w:hAnsi="Cambria Math" w:cs="Times New Roman"/>
                          <w:color w:val="000000" w:themeColor="text1"/>
                          <w:szCs w:val="22"/>
                          <w14:ligatures w14:val="none"/>
                        </w:rPr>
                      </m:ctrlPr>
                    </m:dPr>
                    <m:e>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1</m:t>
                          </m:r>
                        </m:sub>
                      </m:sSub>
                      <m:r>
                        <m:rPr>
                          <m:sty m:val="p"/>
                        </m:rPr>
                        <w:rPr>
                          <w:rFonts w:ascii="Cambria Math" w:eastAsia="仿宋" w:hAnsi="Cambria Math" w:cs="Times New Roman"/>
                          <w:color w:val="000000" w:themeColor="text1"/>
                          <w:szCs w:val="22"/>
                          <w14:ligatures w14:val="none"/>
                        </w:rPr>
                        <m:t>,</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2</m:t>
                          </m:r>
                        </m:sub>
                      </m:sSub>
                    </m:e>
                  </m:d>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RV</m:t>
                      </m:r>
                    </m:e>
                    <m:sub>
                      <m:r>
                        <w:rPr>
                          <w:rFonts w:ascii="Cambria Math" w:eastAsia="仿宋" w:hAnsi="Cambria Math" w:cs="Times New Roman"/>
                          <w:color w:val="000000" w:themeColor="text1"/>
                          <w:szCs w:val="22"/>
                          <w14:ligatures w14:val="none"/>
                        </w:rPr>
                        <m:t>t</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k</m:t>
                      </m:r>
                    </m:sub>
                  </m:sSub>
                  <m:ctrlPr>
                    <w:rPr>
                      <w:rFonts w:ascii="Cambria Math" w:eastAsia="仿宋" w:hAnsi="Cambria Math" w:cs="Times New Roman" w:hint="eastAsia"/>
                      <w:color w:val="000000" w:themeColor="text1"/>
                      <w:szCs w:val="22"/>
                      <w14:ligatures w14:val="none"/>
                    </w:rPr>
                  </m:ctrlPr>
                </m:e>
              </m:nary>
              <m:r>
                <m:rPr>
                  <m:sty m:val="p"/>
                </m:rPr>
                <w:rPr>
                  <w:rFonts w:ascii="Cambria Math" w:eastAsia="仿宋" w:hAnsi="Cambria Math" w:cs="Times New Roman"/>
                  <w:color w:val="000000" w:themeColor="text1"/>
                  <w:szCs w:val="22"/>
                  <w14:ligatures w14:val="none"/>
                </w:rPr>
                <m:t>#</m:t>
              </m:r>
              <m:d>
                <m:dPr>
                  <m:ctrlPr>
                    <w:rPr>
                      <w:rFonts w:ascii="Cambria Math" w:eastAsia="仿宋" w:hAnsi="Cambria Math" w:cs="Times New Roman"/>
                      <w:color w:val="000000" w:themeColor="text1"/>
                      <w:szCs w:val="22"/>
                      <w14:ligatures w14:val="none"/>
                    </w:rPr>
                  </m:ctrlPr>
                </m:dPr>
                <m:e>
                  <m:r>
                    <m:rPr>
                      <m:sty m:val="p"/>
                    </m:rPr>
                    <w:rPr>
                      <w:rFonts w:ascii="Cambria Math" w:eastAsia="仿宋" w:hAnsi="Cambria Math" w:cs="Times New Roman"/>
                      <w:color w:val="000000" w:themeColor="text1"/>
                      <w:szCs w:val="22"/>
                      <w14:ligatures w14:val="none"/>
                    </w:rPr>
                    <m:t>3</m:t>
                  </m:r>
                </m:e>
              </m:d>
            </m:e>
          </m:eqArr>
        </m:oMath>
      </m:oMathPara>
    </w:p>
    <w:p w14:paraId="45483B73" w14:textId="77777777" w:rsidR="00B36226" w:rsidRPr="00C666FA" w:rsidRDefault="00B36226"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In Equation (3), we use the realized volatility to describe the long-term volatility and take the logarithm to ensure that </w:t>
      </w:r>
      <m:oMath>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τ</m:t>
            </m:r>
          </m:e>
          <m:sub>
            <m:r>
              <w:rPr>
                <w:rFonts w:ascii="Cambria Math" w:eastAsia="仿宋" w:hAnsi="Cambria Math" w:cs="Times New Roman"/>
                <w:color w:val="000000" w:themeColor="text1"/>
                <w:szCs w:val="22"/>
                <w14:ligatures w14:val="none"/>
              </w:rPr>
              <m:t>t</m:t>
            </m:r>
          </m:sub>
        </m:sSub>
      </m:oMath>
      <w:r w:rsidRPr="00C666FA">
        <w:rPr>
          <w:rFonts w:ascii="Times New Roman" w:eastAsia="仿宋" w:hAnsi="Times New Roman" w:cs="Times New Roman"/>
          <w:color w:val="000000" w:themeColor="text1"/>
          <w:szCs w:val="22"/>
          <w14:ligatures w14:val="none"/>
        </w:rPr>
        <w:t xml:space="preserve"> remains positive. Here, we focus primarily on the long-term impact coefficient </w:t>
      </w:r>
      <m:oMath>
        <m:r>
          <w:rPr>
            <w:rFonts w:ascii="Cambria Math" w:eastAsia="仿宋" w:hAnsi="Cambria Math" w:cs="Times New Roman"/>
            <w:color w:val="000000" w:themeColor="text1"/>
            <w:szCs w:val="22"/>
            <w14:ligatures w14:val="none"/>
          </w:rPr>
          <m:t>θ</m:t>
        </m:r>
      </m:oMath>
      <w:r w:rsidRPr="00C666FA">
        <w:rPr>
          <w:rFonts w:ascii="Times New Roman" w:eastAsia="仿宋" w:hAnsi="Times New Roman" w:cs="Times New Roman"/>
          <w:color w:val="000000" w:themeColor="text1"/>
          <w:szCs w:val="22"/>
          <w14:ligatures w14:val="none"/>
        </w:rPr>
        <w:t>.</w:t>
      </w:r>
    </w:p>
    <w:p w14:paraId="7F1D77BA" w14:textId="77777777" w:rsidR="00B36226" w:rsidRPr="00C666FA" w:rsidRDefault="00000000"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m:oMathPara>
        <m:oMath>
          <m:eqArr>
            <m:eqArrPr>
              <m:maxDist m:val="1"/>
              <m:ctrlPr>
                <w:rPr>
                  <w:rFonts w:ascii="Cambria Math" w:eastAsia="仿宋" w:hAnsi="Cambria Math" w:cs="Times New Roman"/>
                  <w:color w:val="000000" w:themeColor="text1"/>
                  <w:szCs w:val="22"/>
                  <w14:ligatures w14:val="none"/>
                </w:rPr>
              </m:ctrlPr>
            </m:eqArrPr>
            <m:e>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φ</m:t>
                  </m:r>
                </m:e>
                <m:sub>
                  <m:r>
                    <w:rPr>
                      <w:rFonts w:ascii="Cambria Math" w:eastAsia="仿宋" w:hAnsi="Cambria Math" w:cs="Times New Roman"/>
                      <w:color w:val="000000" w:themeColor="text1"/>
                      <w:szCs w:val="22"/>
                      <w14:ligatures w14:val="none"/>
                    </w:rPr>
                    <m:t>k</m:t>
                  </m:r>
                </m:sub>
              </m:sSub>
              <m:d>
                <m:dPr>
                  <m:ctrlPr>
                    <w:rPr>
                      <w:rFonts w:ascii="Cambria Math" w:eastAsia="仿宋" w:hAnsi="Cambria Math" w:cs="Times New Roman"/>
                      <w:color w:val="000000" w:themeColor="text1"/>
                      <w:szCs w:val="22"/>
                      <w14:ligatures w14:val="none"/>
                    </w:rPr>
                  </m:ctrlPr>
                </m:dPr>
                <m:e>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1</m:t>
                      </m:r>
                    </m:sub>
                  </m:sSub>
                  <m:r>
                    <m:rPr>
                      <m:sty m:val="p"/>
                    </m:rPr>
                    <w:rPr>
                      <w:rFonts w:ascii="Cambria Math" w:eastAsia="仿宋" w:hAnsi="Cambria Math" w:cs="Times New Roman"/>
                      <w:color w:val="000000" w:themeColor="text1"/>
                      <w:szCs w:val="22"/>
                      <w14:ligatures w14:val="none"/>
                    </w:rPr>
                    <m:t>,</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2</m:t>
                      </m:r>
                    </m:sub>
                  </m:sSub>
                </m:e>
              </m:d>
              <m:r>
                <m:rPr>
                  <m:sty m:val="p"/>
                </m:rPr>
                <w:rPr>
                  <w:rFonts w:ascii="Cambria Math" w:eastAsia="仿宋" w:hAnsi="Cambria Math" w:cs="Times New Roman"/>
                  <w:color w:val="000000" w:themeColor="text1"/>
                  <w:szCs w:val="22"/>
                  <w14:ligatures w14:val="none"/>
                </w:rPr>
                <m:t>=</m:t>
              </m:r>
              <m:f>
                <m:fPr>
                  <m:ctrlPr>
                    <w:rPr>
                      <w:rFonts w:ascii="Cambria Math" w:eastAsia="仿宋" w:hAnsi="Cambria Math" w:cs="Times New Roman"/>
                      <w:color w:val="000000" w:themeColor="text1"/>
                      <w:szCs w:val="22"/>
                      <w14:ligatures w14:val="none"/>
                    </w:rPr>
                  </m:ctrlPr>
                </m:fPr>
                <m:num>
                  <m:sSup>
                    <m:sSupPr>
                      <m:ctrlPr>
                        <w:rPr>
                          <w:rFonts w:ascii="Cambria Math" w:eastAsia="仿宋" w:hAnsi="Cambria Math" w:cs="Times New Roman"/>
                          <w:color w:val="000000" w:themeColor="text1"/>
                          <w:szCs w:val="22"/>
                          <w14:ligatures w14:val="none"/>
                        </w:rPr>
                      </m:ctrlPr>
                    </m:sSupPr>
                    <m:e>
                      <m:d>
                        <m:dPr>
                          <m:ctrlPr>
                            <w:rPr>
                              <w:rFonts w:ascii="Cambria Math" w:eastAsia="仿宋" w:hAnsi="Cambria Math" w:cs="Times New Roman"/>
                              <w:color w:val="000000" w:themeColor="text1"/>
                              <w:szCs w:val="22"/>
                              <w14:ligatures w14:val="none"/>
                            </w:rPr>
                          </m:ctrlPr>
                        </m:dPr>
                        <m:e>
                          <m:f>
                            <m:fPr>
                              <m:ctrlPr>
                                <w:rPr>
                                  <w:rFonts w:ascii="Cambria Math" w:eastAsia="仿宋" w:hAnsi="Cambria Math" w:cs="Times New Roman"/>
                                  <w:color w:val="000000" w:themeColor="text1"/>
                                  <w:szCs w:val="22"/>
                                  <w14:ligatures w14:val="none"/>
                                </w:rPr>
                              </m:ctrlPr>
                            </m:fPr>
                            <m:num>
                              <m:r>
                                <w:rPr>
                                  <w:rFonts w:ascii="Cambria Math" w:eastAsia="仿宋" w:hAnsi="Cambria Math" w:cs="Times New Roman"/>
                                  <w:color w:val="000000" w:themeColor="text1"/>
                                  <w:szCs w:val="22"/>
                                  <w14:ligatures w14:val="none"/>
                                </w:rPr>
                                <m:t>k</m:t>
                              </m:r>
                            </m:num>
                            <m:den>
                              <m:r>
                                <w:rPr>
                                  <w:rFonts w:ascii="Cambria Math" w:eastAsia="仿宋" w:hAnsi="Cambria Math" w:cs="Times New Roman"/>
                                  <w:color w:val="000000" w:themeColor="text1"/>
                                  <w:szCs w:val="22"/>
                                  <w14:ligatures w14:val="none"/>
                                </w:rPr>
                                <m:t>K</m:t>
                              </m:r>
                            </m:den>
                          </m:f>
                        </m:e>
                      </m:d>
                    </m:e>
                    <m:sup>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1</m:t>
                          </m:r>
                        </m:sub>
                      </m:sSub>
                      <m:r>
                        <m:rPr>
                          <m:sty m:val="p"/>
                        </m:rPr>
                        <w:rPr>
                          <w:rFonts w:ascii="Cambria Math" w:eastAsia="仿宋" w:hAnsi="Cambria Math" w:cs="Times New Roman"/>
                          <w:color w:val="000000" w:themeColor="text1"/>
                          <w:szCs w:val="22"/>
                          <w14:ligatures w14:val="none"/>
                        </w:rPr>
                        <m:t>-1</m:t>
                      </m:r>
                    </m:sup>
                  </m:sSup>
                  <m:sSup>
                    <m:sSupPr>
                      <m:ctrlPr>
                        <w:rPr>
                          <w:rFonts w:ascii="Cambria Math" w:eastAsia="仿宋" w:hAnsi="Cambria Math" w:cs="Times New Roman"/>
                          <w:color w:val="000000" w:themeColor="text1"/>
                          <w:szCs w:val="22"/>
                          <w14:ligatures w14:val="none"/>
                        </w:rPr>
                      </m:ctrlPr>
                    </m:sSupPr>
                    <m:e>
                      <m:d>
                        <m:dPr>
                          <m:ctrlPr>
                            <w:rPr>
                              <w:rFonts w:ascii="Cambria Math" w:eastAsia="仿宋" w:hAnsi="Cambria Math" w:cs="Times New Roman"/>
                              <w:color w:val="000000" w:themeColor="text1"/>
                              <w:szCs w:val="22"/>
                              <w14:ligatures w14:val="none"/>
                            </w:rPr>
                          </m:ctrlPr>
                        </m:dPr>
                        <m:e>
                          <m:r>
                            <m:rPr>
                              <m:sty m:val="p"/>
                            </m:rPr>
                            <w:rPr>
                              <w:rFonts w:ascii="Cambria Math" w:eastAsia="仿宋" w:hAnsi="Cambria Math" w:cs="Times New Roman"/>
                              <w:color w:val="000000" w:themeColor="text1"/>
                              <w:szCs w:val="22"/>
                              <w14:ligatures w14:val="none"/>
                            </w:rPr>
                            <m:t>1-</m:t>
                          </m:r>
                          <m:f>
                            <m:fPr>
                              <m:ctrlPr>
                                <w:rPr>
                                  <w:rFonts w:ascii="Cambria Math" w:eastAsia="仿宋" w:hAnsi="Cambria Math" w:cs="Times New Roman"/>
                                  <w:color w:val="000000" w:themeColor="text1"/>
                                  <w:szCs w:val="22"/>
                                  <w14:ligatures w14:val="none"/>
                                </w:rPr>
                              </m:ctrlPr>
                            </m:fPr>
                            <m:num>
                              <m:r>
                                <w:rPr>
                                  <w:rFonts w:ascii="Cambria Math" w:eastAsia="仿宋" w:hAnsi="Cambria Math" w:cs="Times New Roman"/>
                                  <w:color w:val="000000" w:themeColor="text1"/>
                                  <w:szCs w:val="22"/>
                                  <w14:ligatures w14:val="none"/>
                                </w:rPr>
                                <m:t>k</m:t>
                              </m:r>
                            </m:num>
                            <m:den>
                              <m:r>
                                <w:rPr>
                                  <w:rFonts w:ascii="Cambria Math" w:eastAsia="仿宋" w:hAnsi="Cambria Math" w:cs="Times New Roman"/>
                                  <w:color w:val="000000" w:themeColor="text1"/>
                                  <w:szCs w:val="22"/>
                                  <w14:ligatures w14:val="none"/>
                                </w:rPr>
                                <m:t>K</m:t>
                              </m:r>
                            </m:den>
                          </m:f>
                        </m:e>
                      </m:d>
                    </m:e>
                    <m:sup>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2</m:t>
                          </m:r>
                        </m:sub>
                      </m:sSub>
                      <m:r>
                        <m:rPr>
                          <m:sty m:val="p"/>
                        </m:rPr>
                        <w:rPr>
                          <w:rFonts w:ascii="Cambria Math" w:eastAsia="仿宋" w:hAnsi="Cambria Math" w:cs="Times New Roman"/>
                          <w:color w:val="000000" w:themeColor="text1"/>
                          <w:szCs w:val="22"/>
                          <w14:ligatures w14:val="none"/>
                        </w:rPr>
                        <m:t>-1</m:t>
                      </m:r>
                    </m:sup>
                  </m:sSup>
                </m:num>
                <m:den>
                  <m:nary>
                    <m:naryPr>
                      <m:chr m:val="∑"/>
                      <m:limLoc m:val="undOvr"/>
                      <m:ctrlPr>
                        <w:rPr>
                          <w:rFonts w:ascii="Cambria Math" w:eastAsia="仿宋" w:hAnsi="Cambria Math" w:cs="Times New Roman"/>
                          <w:color w:val="000000" w:themeColor="text1"/>
                          <w:szCs w:val="22"/>
                          <w14:ligatures w14:val="none"/>
                        </w:rPr>
                      </m:ctrlPr>
                    </m:naryPr>
                    <m:sub>
                      <m:r>
                        <w:rPr>
                          <w:rFonts w:ascii="Cambria Math" w:eastAsia="仿宋" w:hAnsi="Cambria Math" w:cs="Times New Roman"/>
                          <w:color w:val="000000" w:themeColor="text1"/>
                          <w:szCs w:val="22"/>
                          <w14:ligatures w14:val="none"/>
                        </w:rPr>
                        <m:t>j</m:t>
                      </m:r>
                      <m:r>
                        <m:rPr>
                          <m:sty m:val="p"/>
                        </m:rPr>
                        <w:rPr>
                          <w:rFonts w:ascii="Cambria Math" w:eastAsia="仿宋" w:hAnsi="Cambria Math" w:cs="Times New Roman"/>
                          <w:color w:val="000000" w:themeColor="text1"/>
                          <w:szCs w:val="22"/>
                          <w14:ligatures w14:val="none"/>
                        </w:rPr>
                        <m:t>=1</m:t>
                      </m:r>
                    </m:sub>
                    <m:sup>
                      <m:r>
                        <w:rPr>
                          <w:rFonts w:ascii="Cambria Math" w:eastAsia="仿宋" w:hAnsi="Cambria Math" w:cs="Times New Roman"/>
                          <w:color w:val="000000" w:themeColor="text1"/>
                          <w:szCs w:val="22"/>
                          <w14:ligatures w14:val="none"/>
                        </w:rPr>
                        <m:t>K</m:t>
                      </m:r>
                    </m:sup>
                    <m:e>
                      <m:sSup>
                        <m:sSupPr>
                          <m:ctrlPr>
                            <w:rPr>
                              <w:rFonts w:ascii="Cambria Math" w:eastAsia="仿宋" w:hAnsi="Cambria Math" w:cs="Times New Roman"/>
                              <w:color w:val="000000" w:themeColor="text1"/>
                              <w:szCs w:val="22"/>
                              <w14:ligatures w14:val="none"/>
                            </w:rPr>
                          </m:ctrlPr>
                        </m:sSupPr>
                        <m:e>
                          <m:d>
                            <m:dPr>
                              <m:ctrlPr>
                                <w:rPr>
                                  <w:rFonts w:ascii="Cambria Math" w:eastAsia="仿宋" w:hAnsi="Cambria Math" w:cs="Times New Roman"/>
                                  <w:color w:val="000000" w:themeColor="text1"/>
                                  <w:szCs w:val="22"/>
                                  <w14:ligatures w14:val="none"/>
                                </w:rPr>
                              </m:ctrlPr>
                            </m:dPr>
                            <m:e>
                              <m:f>
                                <m:fPr>
                                  <m:ctrlPr>
                                    <w:rPr>
                                      <w:rFonts w:ascii="Cambria Math" w:eastAsia="仿宋" w:hAnsi="Cambria Math" w:cs="Times New Roman"/>
                                      <w:color w:val="000000" w:themeColor="text1"/>
                                      <w:szCs w:val="22"/>
                                      <w14:ligatures w14:val="none"/>
                                    </w:rPr>
                                  </m:ctrlPr>
                                </m:fPr>
                                <m:num>
                                  <m:r>
                                    <w:rPr>
                                      <w:rFonts w:ascii="Cambria Math" w:eastAsia="仿宋" w:hAnsi="Cambria Math" w:cs="Times New Roman"/>
                                      <w:color w:val="000000" w:themeColor="text1"/>
                                      <w:szCs w:val="22"/>
                                      <w14:ligatures w14:val="none"/>
                                    </w:rPr>
                                    <m:t>j</m:t>
                                  </m:r>
                                </m:num>
                                <m:den>
                                  <m:r>
                                    <w:rPr>
                                      <w:rFonts w:ascii="Cambria Math" w:eastAsia="仿宋" w:hAnsi="Cambria Math" w:cs="Times New Roman"/>
                                      <w:color w:val="000000" w:themeColor="text1"/>
                                      <w:szCs w:val="22"/>
                                      <w14:ligatures w14:val="none"/>
                                    </w:rPr>
                                    <m:t>K</m:t>
                                  </m:r>
                                </m:den>
                              </m:f>
                            </m:e>
                          </m:d>
                        </m:e>
                        <m:sup>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1</m:t>
                              </m:r>
                            </m:sub>
                          </m:sSub>
                          <m:r>
                            <m:rPr>
                              <m:sty m:val="p"/>
                            </m:rPr>
                            <w:rPr>
                              <w:rFonts w:ascii="Cambria Math" w:eastAsia="仿宋" w:hAnsi="Cambria Math" w:cs="Times New Roman"/>
                              <w:color w:val="000000" w:themeColor="text1"/>
                              <w:szCs w:val="22"/>
                              <w14:ligatures w14:val="none"/>
                            </w:rPr>
                            <m:t>-1</m:t>
                          </m:r>
                        </m:sup>
                      </m:sSup>
                      <m:sSup>
                        <m:sSupPr>
                          <m:ctrlPr>
                            <w:rPr>
                              <w:rFonts w:ascii="Cambria Math" w:eastAsia="仿宋" w:hAnsi="Cambria Math" w:cs="Times New Roman"/>
                              <w:color w:val="000000" w:themeColor="text1"/>
                              <w:szCs w:val="22"/>
                              <w14:ligatures w14:val="none"/>
                            </w:rPr>
                          </m:ctrlPr>
                        </m:sSupPr>
                        <m:e>
                          <m:d>
                            <m:dPr>
                              <m:ctrlPr>
                                <w:rPr>
                                  <w:rFonts w:ascii="Cambria Math" w:eastAsia="仿宋" w:hAnsi="Cambria Math" w:cs="Times New Roman"/>
                                  <w:color w:val="000000" w:themeColor="text1"/>
                                  <w:szCs w:val="22"/>
                                  <w14:ligatures w14:val="none"/>
                                </w:rPr>
                              </m:ctrlPr>
                            </m:dPr>
                            <m:e>
                              <m:r>
                                <m:rPr>
                                  <m:sty m:val="p"/>
                                </m:rPr>
                                <w:rPr>
                                  <w:rFonts w:ascii="Cambria Math" w:eastAsia="仿宋" w:hAnsi="Cambria Math" w:cs="Times New Roman"/>
                                  <w:color w:val="000000" w:themeColor="text1"/>
                                  <w:szCs w:val="22"/>
                                  <w14:ligatures w14:val="none"/>
                                </w:rPr>
                                <m:t>1-</m:t>
                              </m:r>
                              <m:f>
                                <m:fPr>
                                  <m:ctrlPr>
                                    <w:rPr>
                                      <w:rFonts w:ascii="Cambria Math" w:eastAsia="仿宋" w:hAnsi="Cambria Math" w:cs="Times New Roman"/>
                                      <w:color w:val="000000" w:themeColor="text1"/>
                                      <w:szCs w:val="22"/>
                                      <w14:ligatures w14:val="none"/>
                                    </w:rPr>
                                  </m:ctrlPr>
                                </m:fPr>
                                <m:num>
                                  <m:r>
                                    <w:rPr>
                                      <w:rFonts w:ascii="Cambria Math" w:eastAsia="仿宋" w:hAnsi="Cambria Math" w:cs="Times New Roman"/>
                                      <w:color w:val="000000" w:themeColor="text1"/>
                                      <w:szCs w:val="22"/>
                                      <w14:ligatures w14:val="none"/>
                                    </w:rPr>
                                    <m:t>j</m:t>
                                  </m:r>
                                </m:num>
                                <m:den>
                                  <m:r>
                                    <w:rPr>
                                      <w:rFonts w:ascii="Cambria Math" w:eastAsia="仿宋" w:hAnsi="Cambria Math" w:cs="Times New Roman"/>
                                      <w:color w:val="000000" w:themeColor="text1"/>
                                      <w:szCs w:val="22"/>
                                      <w14:ligatures w14:val="none"/>
                                    </w:rPr>
                                    <m:t>K</m:t>
                                  </m:r>
                                </m:den>
                              </m:f>
                            </m:e>
                          </m:d>
                        </m:e>
                        <m:sup>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2</m:t>
                              </m:r>
                            </m:sub>
                          </m:sSub>
                          <m:r>
                            <m:rPr>
                              <m:sty m:val="p"/>
                            </m:rPr>
                            <w:rPr>
                              <w:rFonts w:ascii="Cambria Math" w:eastAsia="仿宋" w:hAnsi="Cambria Math" w:cs="Times New Roman"/>
                              <w:color w:val="000000" w:themeColor="text1"/>
                              <w:szCs w:val="22"/>
                              <w14:ligatures w14:val="none"/>
                            </w:rPr>
                            <m:t>-1</m:t>
                          </m:r>
                        </m:sup>
                      </m:sSup>
                    </m:e>
                  </m:nary>
                </m:den>
              </m:f>
              <m:r>
                <m:rPr>
                  <m:sty m:val="p"/>
                </m:rPr>
                <w:rPr>
                  <w:rFonts w:ascii="Cambria Math" w:eastAsia="仿宋" w:hAnsi="Cambria Math" w:cs="Times New Roman"/>
                  <w:color w:val="000000" w:themeColor="text1"/>
                  <w:szCs w:val="22"/>
                  <w14:ligatures w14:val="none"/>
                </w:rPr>
                <m:t>#</m:t>
              </m:r>
              <m:d>
                <m:dPr>
                  <m:ctrlPr>
                    <w:rPr>
                      <w:rFonts w:ascii="Cambria Math" w:eastAsia="仿宋" w:hAnsi="Cambria Math" w:cs="Times New Roman"/>
                      <w:color w:val="000000" w:themeColor="text1"/>
                      <w:szCs w:val="22"/>
                      <w14:ligatures w14:val="none"/>
                    </w:rPr>
                  </m:ctrlPr>
                </m:dPr>
                <m:e>
                  <m:r>
                    <m:rPr>
                      <m:sty m:val="p"/>
                    </m:rPr>
                    <w:rPr>
                      <w:rFonts w:ascii="Cambria Math" w:eastAsia="仿宋" w:hAnsi="Cambria Math" w:cs="Times New Roman"/>
                      <w:color w:val="000000" w:themeColor="text1"/>
                      <w:szCs w:val="22"/>
                      <w14:ligatures w14:val="none"/>
                    </w:rPr>
                    <m:t>4</m:t>
                  </m:r>
                </m:e>
              </m:d>
            </m:e>
          </m:eqArr>
        </m:oMath>
      </m:oMathPara>
    </w:p>
    <w:p w14:paraId="28870951" w14:textId="77777777" w:rsidR="00B36226" w:rsidRPr="00C666FA" w:rsidRDefault="00B36226"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In Equation (4), the Beta weight function reflects the decay effect of low-frequency variables on high-frequency volatility. Similarly, we set </w:t>
      </w:r>
      <m:oMath>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1</m:t>
            </m:r>
          </m:sub>
        </m:sSub>
        <m:r>
          <m:rPr>
            <m:sty m:val="p"/>
          </m:rPr>
          <w:rPr>
            <w:rFonts w:ascii="Cambria Math" w:eastAsia="仿宋" w:hAnsi="Cambria Math" w:cs="Times New Roman"/>
            <w:color w:val="000000" w:themeColor="text1"/>
            <w:szCs w:val="22"/>
            <w14:ligatures w14:val="none"/>
          </w:rPr>
          <m:t>=1</m:t>
        </m:r>
      </m:oMath>
      <w:r w:rsidRPr="00C666FA">
        <w:rPr>
          <w:rFonts w:ascii="Times New Roman" w:eastAsia="仿宋" w:hAnsi="Times New Roman" w:cs="Times New Roman"/>
          <w:color w:val="000000" w:themeColor="text1"/>
          <w:szCs w:val="22"/>
          <w14:ligatures w14:val="none"/>
        </w:rPr>
        <w:t xml:space="preserve"> to ensure that the impact of each exogenous variable on long-term volatility decreases monotonically. For convenience, we refer to Equations (1), (2), (3), and (4) as Model 1. </w:t>
      </w:r>
    </w:p>
    <w:p w14:paraId="5F7D2DBC" w14:textId="77777777" w:rsidR="00B36226" w:rsidRPr="00C666FA" w:rsidRDefault="00B36226"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O</w:t>
      </w:r>
      <w:r w:rsidRPr="00C666FA">
        <w:rPr>
          <w:rFonts w:ascii="Times New Roman" w:eastAsia="仿宋" w:hAnsi="Times New Roman" w:cs="Times New Roman" w:hint="eastAsia"/>
          <w:color w:val="000000" w:themeColor="text1"/>
          <w:szCs w:val="22"/>
          <w14:ligatures w14:val="none"/>
        </w:rPr>
        <w:t>therwise</w:t>
      </w:r>
      <w:r w:rsidRPr="00C666FA">
        <w:rPr>
          <w:rFonts w:ascii="Times New Roman" w:eastAsia="仿宋" w:hAnsi="Times New Roman" w:cs="Times New Roman"/>
          <w:color w:val="000000" w:themeColor="text1"/>
          <w:szCs w:val="22"/>
          <w14:ligatures w14:val="none"/>
        </w:rPr>
        <w:t>, Equation (3) can be extended into a multifactor model.</w:t>
      </w:r>
    </w:p>
    <w:p w14:paraId="60505FCF" w14:textId="77777777" w:rsidR="00B36226" w:rsidRPr="00C666FA" w:rsidRDefault="00000000"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m:oMathPara>
        <m:oMath>
          <m:eqArr>
            <m:eqArrPr>
              <m:maxDist m:val="1"/>
              <m:ctrlPr>
                <w:rPr>
                  <w:rFonts w:ascii="Cambria Math" w:eastAsia="仿宋" w:hAnsi="Cambria Math" w:cs="Times New Roman"/>
                  <w:color w:val="000000" w:themeColor="text1"/>
                  <w:szCs w:val="22"/>
                  <w14:ligatures w14:val="none"/>
                </w:rPr>
              </m:ctrlPr>
            </m:eqArrPr>
            <m:e>
              <m:r>
                <w:rPr>
                  <w:rFonts w:ascii="Cambria Math" w:eastAsia="仿宋" w:hAnsi="Cambria Math" w:cs="Times New Roman"/>
                  <w:color w:val="000000" w:themeColor="text1"/>
                  <w:szCs w:val="22"/>
                  <w14:ligatures w14:val="none"/>
                </w:rPr>
                <m:t>ln</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τ</m:t>
                  </m:r>
                </m:e>
                <m:sub>
                  <m:r>
                    <w:rPr>
                      <w:rFonts w:ascii="Cambria Math" w:eastAsia="仿宋" w:hAnsi="Cambria Math" w:cs="Times New Roman"/>
                      <w:color w:val="000000" w:themeColor="text1"/>
                      <w:szCs w:val="22"/>
                      <w14:ligatures w14:val="none"/>
                    </w:rPr>
                    <m:t>t</m:t>
                  </m:r>
                </m:sub>
              </m:sSub>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m</m:t>
              </m:r>
              <m:r>
                <m:rPr>
                  <m:sty m:val="p"/>
                </m:rPr>
                <w:rPr>
                  <w:rFonts w:ascii="Cambria Math" w:eastAsia="仿宋" w:hAnsi="Cambria Math" w:cs="Times New Roman"/>
                  <w:color w:val="000000" w:themeColor="text1"/>
                  <w:szCs w:val="22"/>
                  <w14:ligatures w14:val="none"/>
                </w:rPr>
                <m:t>+</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θ</m:t>
                  </m:r>
                </m:e>
                <m:sub>
                  <m:r>
                    <w:rPr>
                      <w:rFonts w:ascii="Cambria Math" w:eastAsia="仿宋" w:hAnsi="Cambria Math" w:cs="Times New Roman"/>
                      <w:color w:val="000000" w:themeColor="text1"/>
                      <w:szCs w:val="22"/>
                      <w14:ligatures w14:val="none"/>
                    </w:rPr>
                    <m:t>RV</m:t>
                  </m:r>
                </m:sub>
              </m:sSub>
              <m:nary>
                <m:naryPr>
                  <m:chr m:val="∑"/>
                  <m:limLoc m:val="undOvr"/>
                  <m:ctrlPr>
                    <w:rPr>
                      <w:rFonts w:ascii="Cambria Math" w:eastAsia="仿宋" w:hAnsi="Cambria Math" w:cs="Times New Roman"/>
                      <w:color w:val="000000" w:themeColor="text1"/>
                      <w:szCs w:val="22"/>
                      <w14:ligatures w14:val="none"/>
                    </w:rPr>
                  </m:ctrlPr>
                </m:naryPr>
                <m:sub>
                  <m:r>
                    <w:rPr>
                      <w:rFonts w:ascii="Cambria Math" w:eastAsia="仿宋" w:hAnsi="Cambria Math" w:cs="Times New Roman"/>
                      <w:color w:val="000000" w:themeColor="text1"/>
                      <w:szCs w:val="22"/>
                      <w14:ligatures w14:val="none"/>
                    </w:rPr>
                    <m:t>k</m:t>
                  </m:r>
                  <m:r>
                    <m:rPr>
                      <m:sty m:val="p"/>
                    </m:rPr>
                    <w:rPr>
                      <w:rFonts w:ascii="Cambria Math" w:eastAsia="仿宋" w:hAnsi="Cambria Math" w:cs="Times New Roman"/>
                      <w:color w:val="000000" w:themeColor="text1"/>
                      <w:szCs w:val="22"/>
                      <w14:ligatures w14:val="none"/>
                    </w:rPr>
                    <m:t>=1</m:t>
                  </m:r>
                </m:sub>
                <m:sup>
                  <m:r>
                    <w:rPr>
                      <w:rFonts w:ascii="Cambria Math" w:eastAsia="仿宋" w:hAnsi="Cambria Math" w:cs="Times New Roman"/>
                      <w:color w:val="000000" w:themeColor="text1"/>
                      <w:szCs w:val="22"/>
                      <w14:ligatures w14:val="none"/>
                    </w:rPr>
                    <m:t>K</m:t>
                  </m:r>
                </m:sup>
                <m:e>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φ</m:t>
                      </m:r>
                    </m:e>
                    <m:sub>
                      <m:r>
                        <w:rPr>
                          <w:rFonts w:ascii="Cambria Math" w:eastAsia="仿宋" w:hAnsi="Cambria Math" w:cs="Times New Roman"/>
                          <w:color w:val="000000" w:themeColor="text1"/>
                          <w:szCs w:val="22"/>
                          <w14:ligatures w14:val="none"/>
                        </w:rPr>
                        <m:t>k</m:t>
                      </m:r>
                    </m:sub>
                  </m:sSub>
                  <m:d>
                    <m:dPr>
                      <m:ctrlPr>
                        <w:rPr>
                          <w:rFonts w:ascii="Cambria Math" w:eastAsia="仿宋" w:hAnsi="Cambria Math" w:cs="Times New Roman"/>
                          <w:color w:val="000000" w:themeColor="text1"/>
                          <w:szCs w:val="22"/>
                          <w14:ligatures w14:val="none"/>
                        </w:rPr>
                      </m:ctrlPr>
                    </m:dPr>
                    <m:e>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1,</m:t>
                          </m:r>
                          <m:r>
                            <w:rPr>
                              <w:rFonts w:ascii="Cambria Math" w:eastAsia="仿宋" w:hAnsi="Cambria Math" w:cs="Times New Roman"/>
                              <w:color w:val="000000" w:themeColor="text1"/>
                              <w:szCs w:val="22"/>
                              <w14:ligatures w14:val="none"/>
                            </w:rPr>
                            <m:t>RV</m:t>
                          </m:r>
                        </m:sub>
                      </m:sSub>
                      <m:r>
                        <m:rPr>
                          <m:sty m:val="p"/>
                        </m:rPr>
                        <w:rPr>
                          <w:rFonts w:ascii="Cambria Math" w:eastAsia="仿宋" w:hAnsi="Cambria Math" w:cs="Times New Roman"/>
                          <w:color w:val="000000" w:themeColor="text1"/>
                          <w:szCs w:val="22"/>
                          <w14:ligatures w14:val="none"/>
                        </w:rPr>
                        <m:t>,</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2,</m:t>
                          </m:r>
                          <m:r>
                            <w:rPr>
                              <w:rFonts w:ascii="Cambria Math" w:eastAsia="仿宋" w:hAnsi="Cambria Math" w:cs="Times New Roman"/>
                              <w:color w:val="000000" w:themeColor="text1"/>
                              <w:szCs w:val="22"/>
                              <w14:ligatures w14:val="none"/>
                            </w:rPr>
                            <m:t>RV</m:t>
                          </m:r>
                        </m:sub>
                      </m:sSub>
                    </m:e>
                  </m:d>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RV</m:t>
                      </m:r>
                      <m:ctrlPr>
                        <w:rPr>
                          <w:rFonts w:ascii="Cambria Math" w:eastAsia="仿宋" w:hAnsi="Cambria Math" w:cs="Times New Roman" w:hint="eastAsia"/>
                          <w:color w:val="000000" w:themeColor="text1"/>
                          <w:szCs w:val="22"/>
                          <w14:ligatures w14:val="none"/>
                        </w:rPr>
                      </m:ctrlPr>
                    </m:e>
                    <m:sub>
                      <m:r>
                        <w:rPr>
                          <w:rFonts w:ascii="Cambria Math" w:eastAsia="仿宋" w:hAnsi="Cambria Math" w:cs="Times New Roman"/>
                          <w:color w:val="000000" w:themeColor="text1"/>
                          <w:szCs w:val="22"/>
                          <w14:ligatures w14:val="none"/>
                        </w:rPr>
                        <m:t>t</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k</m:t>
                      </m:r>
                    </m:sub>
                  </m:sSub>
                </m:e>
              </m:nary>
              <m:r>
                <m:rPr>
                  <m:sty m:val="p"/>
                </m:rPr>
                <w:rPr>
                  <w:rFonts w:ascii="Cambria Math" w:eastAsia="仿宋" w:hAnsi="Cambria Math" w:cs="Times New Roman"/>
                  <w:color w:val="000000" w:themeColor="text1"/>
                  <w:szCs w:val="22"/>
                  <w14:ligatures w14:val="none"/>
                </w:rPr>
                <m:t>+</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θ</m:t>
                  </m:r>
                </m:e>
                <m:sub>
                  <m:r>
                    <w:rPr>
                      <w:rFonts w:ascii="Cambria Math" w:eastAsia="仿宋" w:hAnsi="Cambria Math" w:cs="Times New Roman"/>
                      <w:color w:val="000000" w:themeColor="text1"/>
                      <w:szCs w:val="22"/>
                      <w14:ligatures w14:val="none"/>
                    </w:rPr>
                    <m:t>UCT</m:t>
                  </m:r>
                </m:sub>
              </m:sSub>
              <m:nary>
                <m:naryPr>
                  <m:chr m:val="∑"/>
                  <m:limLoc m:val="undOvr"/>
                  <m:ctrlPr>
                    <w:rPr>
                      <w:rFonts w:ascii="Cambria Math" w:eastAsia="仿宋" w:hAnsi="Cambria Math" w:cs="Times New Roman"/>
                      <w:color w:val="000000" w:themeColor="text1"/>
                      <w:szCs w:val="22"/>
                      <w14:ligatures w14:val="none"/>
                    </w:rPr>
                  </m:ctrlPr>
                </m:naryPr>
                <m:sub>
                  <m:r>
                    <w:rPr>
                      <w:rFonts w:ascii="Cambria Math" w:eastAsia="仿宋" w:hAnsi="Cambria Math" w:cs="Times New Roman"/>
                      <w:color w:val="000000" w:themeColor="text1"/>
                      <w:szCs w:val="22"/>
                      <w14:ligatures w14:val="none"/>
                    </w:rPr>
                    <m:t>k</m:t>
                  </m:r>
                  <m:r>
                    <m:rPr>
                      <m:sty m:val="p"/>
                    </m:rPr>
                    <w:rPr>
                      <w:rFonts w:ascii="Cambria Math" w:eastAsia="仿宋" w:hAnsi="Cambria Math" w:cs="Times New Roman"/>
                      <w:color w:val="000000" w:themeColor="text1"/>
                      <w:szCs w:val="22"/>
                      <w14:ligatures w14:val="none"/>
                    </w:rPr>
                    <m:t>=1</m:t>
                  </m:r>
                </m:sub>
                <m:sup>
                  <m:r>
                    <w:rPr>
                      <w:rFonts w:ascii="Cambria Math" w:eastAsia="仿宋" w:hAnsi="Cambria Math" w:cs="Times New Roman"/>
                      <w:color w:val="000000" w:themeColor="text1"/>
                      <w:szCs w:val="22"/>
                      <w14:ligatures w14:val="none"/>
                    </w:rPr>
                    <m:t>K</m:t>
                  </m:r>
                </m:sup>
                <m:e>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φ</m:t>
                      </m:r>
                    </m:e>
                    <m:sub>
                      <m:r>
                        <w:rPr>
                          <w:rFonts w:ascii="Cambria Math" w:eastAsia="仿宋" w:hAnsi="Cambria Math" w:cs="Times New Roman"/>
                          <w:color w:val="000000" w:themeColor="text1"/>
                          <w:szCs w:val="22"/>
                          <w14:ligatures w14:val="none"/>
                        </w:rPr>
                        <m:t>k</m:t>
                      </m:r>
                    </m:sub>
                  </m:sSub>
                  <m:d>
                    <m:dPr>
                      <m:ctrlPr>
                        <w:rPr>
                          <w:rFonts w:ascii="Cambria Math" w:eastAsia="仿宋" w:hAnsi="Cambria Math" w:cs="Times New Roman"/>
                          <w:color w:val="000000" w:themeColor="text1"/>
                          <w:szCs w:val="22"/>
                          <w14:ligatures w14:val="none"/>
                        </w:rPr>
                      </m:ctrlPr>
                    </m:dPr>
                    <m:e>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1,</m:t>
                          </m:r>
                          <m:r>
                            <w:rPr>
                              <w:rFonts w:ascii="Cambria Math" w:eastAsia="仿宋" w:hAnsi="Cambria Math" w:cs="Times New Roman"/>
                              <w:color w:val="000000" w:themeColor="text1"/>
                              <w:szCs w:val="22"/>
                              <w14:ligatures w14:val="none"/>
                            </w:rPr>
                            <m:t>UCT</m:t>
                          </m:r>
                        </m:sub>
                      </m:sSub>
                      <m:r>
                        <m:rPr>
                          <m:sty m:val="p"/>
                        </m:rPr>
                        <w:rPr>
                          <w:rFonts w:ascii="Cambria Math" w:eastAsia="仿宋" w:hAnsi="Cambria Math" w:cs="Times New Roman"/>
                          <w:color w:val="000000" w:themeColor="text1"/>
                          <w:szCs w:val="22"/>
                          <w14:ligatures w14:val="none"/>
                        </w:rPr>
                        <m:t>,</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2,</m:t>
                          </m:r>
                          <m:r>
                            <w:rPr>
                              <w:rFonts w:ascii="Cambria Math" w:eastAsia="仿宋" w:hAnsi="Cambria Math" w:cs="Times New Roman"/>
                              <w:color w:val="000000" w:themeColor="text1"/>
                              <w:szCs w:val="22"/>
                              <w14:ligatures w14:val="none"/>
                            </w:rPr>
                            <m:t>UCT</m:t>
                          </m:r>
                        </m:sub>
                      </m:sSub>
                    </m:e>
                  </m:d>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UCT</m:t>
                      </m:r>
                      <m:ctrlPr>
                        <w:rPr>
                          <w:rFonts w:ascii="Cambria Math" w:eastAsia="仿宋" w:hAnsi="Cambria Math" w:cs="Times New Roman" w:hint="eastAsia"/>
                          <w:color w:val="000000" w:themeColor="text1"/>
                          <w:szCs w:val="22"/>
                          <w14:ligatures w14:val="none"/>
                        </w:rPr>
                      </m:ctrlPr>
                    </m:e>
                    <m:sub>
                      <m:r>
                        <w:rPr>
                          <w:rFonts w:ascii="Cambria Math" w:eastAsia="仿宋" w:hAnsi="Cambria Math" w:cs="Times New Roman"/>
                          <w:color w:val="000000" w:themeColor="text1"/>
                          <w:szCs w:val="22"/>
                          <w14:ligatures w14:val="none"/>
                        </w:rPr>
                        <m:t>t</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k</m:t>
                      </m:r>
                    </m:sub>
                  </m:sSub>
                </m:e>
              </m:nary>
              <m:r>
                <m:rPr>
                  <m:sty m:val="p"/>
                </m:rPr>
                <w:rPr>
                  <w:rFonts w:ascii="Cambria Math" w:eastAsia="仿宋" w:hAnsi="Cambria Math" w:cs="Times New Roman"/>
                  <w:color w:val="000000" w:themeColor="text1"/>
                  <w:szCs w:val="22"/>
                  <w14:ligatures w14:val="none"/>
                </w:rPr>
                <m:t>#</m:t>
              </m:r>
              <m:d>
                <m:dPr>
                  <m:ctrlPr>
                    <w:rPr>
                      <w:rFonts w:ascii="Cambria Math" w:eastAsia="仿宋" w:hAnsi="Cambria Math" w:cs="Times New Roman"/>
                      <w:color w:val="000000" w:themeColor="text1"/>
                      <w:szCs w:val="22"/>
                      <w14:ligatures w14:val="none"/>
                    </w:rPr>
                  </m:ctrlPr>
                </m:dPr>
                <m:e>
                  <m:r>
                    <m:rPr>
                      <m:sty m:val="p"/>
                    </m:rPr>
                    <w:rPr>
                      <w:rFonts w:ascii="Cambria Math" w:eastAsia="仿宋" w:hAnsi="Cambria Math" w:cs="Times New Roman"/>
                      <w:color w:val="000000" w:themeColor="text1"/>
                      <w:szCs w:val="22"/>
                      <w14:ligatures w14:val="none"/>
                    </w:rPr>
                    <m:t>5</m:t>
                  </m:r>
                </m:e>
              </m:d>
            </m:e>
          </m:eqArr>
        </m:oMath>
      </m:oMathPara>
    </w:p>
    <w:p w14:paraId="0678723A" w14:textId="77777777" w:rsidR="00B36226" w:rsidRPr="00C666FA" w:rsidRDefault="00B36226"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Equation (5) considers the dynamic impact of UCT on long-term volatility, after controlling for the effect of realized volatility. Therefore, Equations (1), (2), (5), and (4) together form a new multifactor model, referred to as Model 2.</w:t>
      </w:r>
    </w:p>
    <w:p w14:paraId="55C2CF5F" w14:textId="0FEAA01B" w:rsidR="00B36226" w:rsidRPr="00C666FA" w:rsidRDefault="00B36226"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Finally, following the study by </w:t>
      </w:r>
      <w:r w:rsidR="006B437F" w:rsidRPr="00C666FA">
        <w:rPr>
          <w:rFonts w:ascii="Times New Roman" w:eastAsia="仿宋" w:hAnsi="Times New Roman" w:cs="Times New Roman"/>
          <w:color w:val="000000" w:themeColor="text1"/>
          <w:szCs w:val="22"/>
          <w14:ligatures w14:val="none"/>
        </w:rPr>
        <w:fldChar w:fldCharType="begin"/>
      </w:r>
      <w:r w:rsidR="006B437F" w:rsidRPr="00C666FA">
        <w:rPr>
          <w:rFonts w:ascii="Times New Roman" w:eastAsia="仿宋" w:hAnsi="Times New Roman" w:cs="Times New Roman"/>
          <w:color w:val="000000" w:themeColor="text1"/>
          <w:szCs w:val="22"/>
          <w14:ligatures w14:val="none"/>
        </w:rPr>
        <w:instrText xml:space="preserve"> ADDIN EN.CITE &lt;EndNote&gt;&lt;Cite AuthorYear="1"&gt;&lt;Author&gt;Li&lt;/Author&gt;&lt;Year&gt;2025&lt;/Year&gt;&lt;RecNum&gt;591&lt;/RecNum&gt;&lt;DisplayText&gt;Li et al. (2025)&lt;/DisplayText&gt;&lt;record&gt;&lt;rec-number&gt;591&lt;/rec-number&gt;&lt;foreign-keys&gt;&lt;key app="EN" db-id="dvsp2e2z3a9fzpezr9n5pp2lw9tf5rvzrx9x" timestamp="1751249743"&gt;591&lt;/key&gt;&lt;/foreign-keys&gt;&lt;ref-type name="Journal Article"&gt;17&lt;/ref-type&gt;&lt;contributors&gt;&lt;authors&gt;&lt;author&gt;Li, Sitong&lt;/author&gt;&lt;author&gt;Chen, Huangen&lt;/author&gt;&lt;author&gt;Chen, Gengxuan&lt;/author&gt;&lt;/authors&gt;&lt;/contributors&gt;&lt;titles&gt;&lt;title&gt;The US-China tension and fossil fuel energy price volatility relationship&lt;/title&gt;&lt;secondary-title&gt;Finance Research Letters&lt;/secondary-title&gt;&lt;/titles&gt;&lt;periodical&gt;&lt;full-title&gt;Finance Research Letters&lt;/full-title&gt;&lt;/periodical&gt;&lt;pages&gt;106707&lt;/pages&gt;&lt;volume&gt;74&lt;/volume&gt;&lt;keywords&gt;&lt;keyword&gt;US-China tension&lt;/keyword&gt;&lt;keyword&gt;Fossil fuel&lt;/keyword&gt;&lt;keyword&gt;Volatility forecasting&lt;/keyword&gt;&lt;keyword&gt;GARCH-MIDAS&lt;/keyword&gt;&lt;/keywords&gt;&lt;dates&gt;&lt;year&gt;2025&lt;/year&gt;&lt;pub-dates&gt;&lt;date&gt;2025/03/01/&lt;/date&gt;&lt;/pub-dates&gt;&lt;/dates&gt;&lt;isbn&gt;1544-6123&lt;/isbn&gt;&lt;urls&gt;&lt;related-urls&gt;&lt;url&gt;https://www.sciencedirect.com/science/article/pii/S1544612324017367&lt;/url&gt;&lt;/related-urls&gt;&lt;/urls&gt;&lt;electronic-resource-num&gt;https://doi.org/10.1016/j.frl.2024.106707&lt;/electronic-resource-num&gt;&lt;/record&gt;&lt;/Cite&gt;&lt;/EndNote&gt;</w:instrText>
      </w:r>
      <w:r w:rsidR="006B437F" w:rsidRPr="00C666FA">
        <w:rPr>
          <w:rFonts w:ascii="Times New Roman" w:eastAsia="仿宋" w:hAnsi="Times New Roman" w:cs="Times New Roman"/>
          <w:color w:val="000000" w:themeColor="text1"/>
          <w:szCs w:val="22"/>
          <w14:ligatures w14:val="none"/>
        </w:rPr>
        <w:fldChar w:fldCharType="separate"/>
      </w:r>
      <w:r w:rsidR="006B437F" w:rsidRPr="00C666FA">
        <w:rPr>
          <w:rFonts w:ascii="Times New Roman" w:eastAsia="仿宋" w:hAnsi="Times New Roman" w:cs="Times New Roman"/>
          <w:noProof/>
          <w:color w:val="000000" w:themeColor="text1"/>
          <w:szCs w:val="22"/>
          <w14:ligatures w14:val="none"/>
        </w:rPr>
        <w:t>Li et al. (2025)</w:t>
      </w:r>
      <w:r w:rsidR="006B437F"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 we decompose the impact of UCT on long-term volatility in Equation (5) into positive shocks (</w:t>
      </w:r>
      <m:oMath>
        <m:sSubSup>
          <m:sSubSupPr>
            <m:ctrlPr>
              <w:rPr>
                <w:rFonts w:ascii="Cambria Math" w:eastAsia="仿宋" w:hAnsi="Cambria Math" w:cs="Times New Roman"/>
                <w:color w:val="000000" w:themeColor="text1"/>
                <w:szCs w:val="22"/>
                <w14:ligatures w14:val="none"/>
              </w:rPr>
            </m:ctrlPr>
          </m:sSubSupPr>
          <m:e>
            <m:r>
              <w:rPr>
                <w:rFonts w:ascii="Cambria Math" w:eastAsia="仿宋" w:hAnsi="Cambria Math" w:cs="Times New Roman"/>
                <w:color w:val="000000" w:themeColor="text1"/>
                <w:szCs w:val="22"/>
                <w14:ligatures w14:val="none"/>
              </w:rPr>
              <m:t>UCT</m:t>
            </m:r>
          </m:e>
          <m:sub>
            <m:r>
              <w:rPr>
                <w:rFonts w:ascii="Cambria Math" w:eastAsia="仿宋" w:hAnsi="Cambria Math" w:cs="Times New Roman"/>
                <w:color w:val="000000" w:themeColor="text1"/>
                <w:szCs w:val="22"/>
                <w14:ligatures w14:val="none"/>
              </w:rPr>
              <m:t>t</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k</m:t>
            </m:r>
          </m:sub>
          <m:sup>
            <m:r>
              <m:rPr>
                <m:sty m:val="p"/>
              </m:rPr>
              <w:rPr>
                <w:rFonts w:ascii="Cambria Math" w:eastAsia="仿宋" w:hAnsi="Cambria Math" w:cs="Times New Roman"/>
                <w:color w:val="000000" w:themeColor="text1"/>
                <w:szCs w:val="22"/>
                <w14:ligatures w14:val="none"/>
              </w:rPr>
              <m:t>+</m:t>
            </m:r>
          </m:sup>
        </m:sSubSup>
        <m:r>
          <m:rPr>
            <m:sty m:val="p"/>
          </m:rPr>
          <w:rPr>
            <w:rFonts w:ascii="Cambria Math" w:eastAsia="仿宋" w:hAnsi="Cambria Math" w:cs="Times New Roman"/>
            <w:color w:val="000000" w:themeColor="text1"/>
            <w:szCs w:val="22"/>
            <w14:ligatures w14:val="none"/>
          </w:rPr>
          <m:t>=</m:t>
        </m:r>
        <m:nary>
          <m:naryPr>
            <m:chr m:val="∑"/>
            <m:limLoc m:val="subSup"/>
            <m:ctrlPr>
              <w:rPr>
                <w:rFonts w:ascii="Cambria Math" w:eastAsia="仿宋" w:hAnsi="Cambria Math" w:cs="Times New Roman"/>
                <w:color w:val="000000" w:themeColor="text1"/>
                <w:szCs w:val="22"/>
                <w14:ligatures w14:val="none"/>
              </w:rPr>
            </m:ctrlPr>
          </m:naryPr>
          <m:sub>
            <m:r>
              <w:rPr>
                <w:rFonts w:ascii="Cambria Math" w:eastAsia="仿宋" w:hAnsi="Cambria Math" w:cs="Times New Roman"/>
                <w:color w:val="000000" w:themeColor="text1"/>
                <w:szCs w:val="22"/>
                <w14:ligatures w14:val="none"/>
              </w:rPr>
              <m:t>j</m:t>
            </m:r>
            <m:r>
              <m:rPr>
                <m:sty m:val="p"/>
              </m:rPr>
              <w:rPr>
                <w:rFonts w:ascii="Cambria Math" w:eastAsia="仿宋" w:hAnsi="Cambria Math" w:cs="Times New Roman"/>
                <w:color w:val="000000" w:themeColor="text1"/>
                <w:szCs w:val="22"/>
                <w14:ligatures w14:val="none"/>
              </w:rPr>
              <m:t>=1</m:t>
            </m:r>
          </m:sub>
          <m:sup>
            <m:sSup>
              <m:sSupPr>
                <m:ctrlPr>
                  <w:rPr>
                    <w:rFonts w:ascii="Cambria Math" w:eastAsia="仿宋" w:hAnsi="Cambria Math" w:cs="Times New Roman"/>
                    <w:color w:val="000000" w:themeColor="text1"/>
                    <w:szCs w:val="22"/>
                    <w14:ligatures w14:val="none"/>
                  </w:rPr>
                </m:ctrlPr>
              </m:sSupPr>
              <m:e>
                <m:r>
                  <w:rPr>
                    <w:rFonts w:ascii="Cambria Math" w:eastAsia="仿宋" w:hAnsi="Cambria Math" w:cs="Times New Roman"/>
                    <w:color w:val="000000" w:themeColor="text1"/>
                    <w:szCs w:val="22"/>
                    <w14:ligatures w14:val="none"/>
                  </w:rPr>
                  <m:t>N</m:t>
                </m:r>
              </m:e>
              <m:sup>
                <m:r>
                  <m:rPr>
                    <m:sty m:val="p"/>
                  </m:rPr>
                  <w:rPr>
                    <w:rFonts w:ascii="Cambria Math" w:eastAsia="仿宋" w:hAnsi="Cambria Math" w:cs="Times New Roman"/>
                    <w:color w:val="000000" w:themeColor="text1"/>
                    <w:szCs w:val="22"/>
                    <w14:ligatures w14:val="none"/>
                  </w:rPr>
                  <m:t>'</m:t>
                </m:r>
              </m:sup>
            </m:sSup>
          </m:sup>
          <m:e>
            <m:r>
              <w:rPr>
                <w:rFonts w:ascii="Cambria Math" w:eastAsia="仿宋" w:hAnsi="Cambria Math" w:cs="Times New Roman"/>
                <w:color w:val="000000" w:themeColor="text1"/>
                <w:szCs w:val="22"/>
                <w14:ligatures w14:val="none"/>
              </w:rPr>
              <m:t>UC</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T</m:t>
                </m:r>
              </m:e>
              <m:sub>
                <m:r>
                  <w:rPr>
                    <w:rFonts w:ascii="Cambria Math" w:eastAsia="仿宋" w:hAnsi="Cambria Math" w:cs="Times New Roman"/>
                    <w:color w:val="000000" w:themeColor="text1"/>
                    <w:szCs w:val="22"/>
                    <w14:ligatures w14:val="none"/>
                  </w:rPr>
                  <m:t>t</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k</m:t>
                </m:r>
              </m:sub>
            </m:sSub>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I</m:t>
                </m:r>
              </m:e>
              <m:sub>
                <m:d>
                  <m:dPr>
                    <m:begChr m:val="{"/>
                    <m:endChr m:val="}"/>
                    <m:ctrlPr>
                      <w:rPr>
                        <w:rFonts w:ascii="Cambria Math" w:eastAsia="仿宋" w:hAnsi="Cambria Math" w:cs="Times New Roman"/>
                        <w:color w:val="000000" w:themeColor="text1"/>
                        <w:szCs w:val="22"/>
                        <w14:ligatures w14:val="none"/>
                      </w:rPr>
                    </m:ctrlPr>
                  </m:dPr>
                  <m:e>
                    <m:r>
                      <w:rPr>
                        <w:rFonts w:ascii="Cambria Math" w:eastAsia="仿宋" w:hAnsi="Cambria Math" w:cs="Times New Roman"/>
                        <w:color w:val="000000" w:themeColor="text1"/>
                        <w:szCs w:val="22"/>
                        <w14:ligatures w14:val="none"/>
                      </w:rPr>
                      <m:t>UC</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T</m:t>
                        </m:r>
                      </m:e>
                      <m:sub>
                        <m:r>
                          <w:rPr>
                            <w:rFonts w:ascii="Cambria Math" w:eastAsia="仿宋" w:hAnsi="Cambria Math" w:cs="Times New Roman"/>
                            <w:color w:val="000000" w:themeColor="text1"/>
                            <w:szCs w:val="22"/>
                            <w14:ligatures w14:val="none"/>
                          </w:rPr>
                          <m:t>t</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k</m:t>
                        </m:r>
                      </m:sub>
                    </m:sSub>
                    <m:r>
                      <m:rPr>
                        <m:sty m:val="p"/>
                      </m:rPr>
                      <w:rPr>
                        <w:rFonts w:ascii="Cambria Math" w:eastAsia="仿宋" w:hAnsi="Cambria Math" w:cs="Times New Roman"/>
                        <w:color w:val="000000" w:themeColor="text1"/>
                        <w:szCs w:val="22"/>
                        <w14:ligatures w14:val="none"/>
                      </w:rPr>
                      <m:t>&gt;0</m:t>
                    </m:r>
                  </m:e>
                </m:d>
              </m:sub>
            </m:sSub>
          </m:e>
        </m:nary>
      </m:oMath>
      <w:r w:rsidRPr="00C666FA">
        <w:rPr>
          <w:rFonts w:ascii="Times New Roman" w:eastAsia="仿宋" w:hAnsi="Times New Roman" w:cs="Times New Roman"/>
          <w:color w:val="000000" w:themeColor="text1"/>
          <w:szCs w:val="22"/>
          <w14:ligatures w14:val="none"/>
        </w:rPr>
        <w:t>) and negative shocks (</w:t>
      </w:r>
      <m:oMath>
        <m:sSubSup>
          <m:sSubSupPr>
            <m:ctrlPr>
              <w:rPr>
                <w:rFonts w:ascii="Cambria Math" w:eastAsia="仿宋" w:hAnsi="Cambria Math" w:cs="Times New Roman"/>
                <w:color w:val="000000" w:themeColor="text1"/>
                <w:szCs w:val="22"/>
                <w14:ligatures w14:val="none"/>
              </w:rPr>
            </m:ctrlPr>
          </m:sSubSupPr>
          <m:e>
            <m:r>
              <w:rPr>
                <w:rFonts w:ascii="Cambria Math" w:eastAsia="仿宋" w:hAnsi="Cambria Math" w:cs="Times New Roman"/>
                <w:color w:val="000000" w:themeColor="text1"/>
                <w:szCs w:val="22"/>
                <w14:ligatures w14:val="none"/>
              </w:rPr>
              <m:t>UCT</m:t>
            </m:r>
          </m:e>
          <m:sub>
            <m:r>
              <w:rPr>
                <w:rFonts w:ascii="Cambria Math" w:eastAsia="仿宋" w:hAnsi="Cambria Math" w:cs="Times New Roman"/>
                <w:color w:val="000000" w:themeColor="text1"/>
                <w:szCs w:val="22"/>
                <w14:ligatures w14:val="none"/>
              </w:rPr>
              <m:t>t</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k</m:t>
            </m:r>
          </m:sub>
          <m:sup>
            <m:r>
              <m:rPr>
                <m:sty m:val="p"/>
              </m:rPr>
              <w:rPr>
                <w:rFonts w:ascii="Cambria Math" w:eastAsia="仿宋" w:hAnsi="Cambria Math" w:cs="Times New Roman"/>
                <w:color w:val="000000" w:themeColor="text1"/>
                <w:szCs w:val="22"/>
                <w14:ligatures w14:val="none"/>
              </w:rPr>
              <m:t>-</m:t>
            </m:r>
          </m:sup>
        </m:sSubSup>
        <m:r>
          <m:rPr>
            <m:sty m:val="p"/>
          </m:rPr>
          <w:rPr>
            <w:rFonts w:ascii="Cambria Math" w:eastAsia="仿宋" w:hAnsi="Cambria Math" w:cs="Times New Roman"/>
            <w:color w:val="000000" w:themeColor="text1"/>
            <w:szCs w:val="22"/>
            <w14:ligatures w14:val="none"/>
          </w:rPr>
          <m:t>=</m:t>
        </m:r>
        <m:nary>
          <m:naryPr>
            <m:chr m:val="∑"/>
            <m:limLoc m:val="subSup"/>
            <m:ctrlPr>
              <w:rPr>
                <w:rFonts w:ascii="Cambria Math" w:eastAsia="仿宋" w:hAnsi="Cambria Math" w:cs="Times New Roman"/>
                <w:color w:val="000000" w:themeColor="text1"/>
                <w:szCs w:val="22"/>
                <w14:ligatures w14:val="none"/>
              </w:rPr>
            </m:ctrlPr>
          </m:naryPr>
          <m:sub>
            <m:r>
              <w:rPr>
                <w:rFonts w:ascii="Cambria Math" w:eastAsia="仿宋" w:hAnsi="Cambria Math" w:cs="Times New Roman"/>
                <w:color w:val="000000" w:themeColor="text1"/>
                <w:szCs w:val="22"/>
                <w14:ligatures w14:val="none"/>
              </w:rPr>
              <m:t>j</m:t>
            </m:r>
            <m:r>
              <m:rPr>
                <m:sty m:val="p"/>
              </m:rPr>
              <w:rPr>
                <w:rFonts w:ascii="Cambria Math" w:eastAsia="仿宋" w:hAnsi="Cambria Math" w:cs="Times New Roman"/>
                <w:color w:val="000000" w:themeColor="text1"/>
                <w:szCs w:val="22"/>
                <w14:ligatures w14:val="none"/>
              </w:rPr>
              <m:t>=1</m:t>
            </m:r>
          </m:sub>
          <m:sup>
            <m:sSup>
              <m:sSupPr>
                <m:ctrlPr>
                  <w:rPr>
                    <w:rFonts w:ascii="Cambria Math" w:eastAsia="仿宋" w:hAnsi="Cambria Math" w:cs="Times New Roman"/>
                    <w:color w:val="000000" w:themeColor="text1"/>
                    <w:szCs w:val="22"/>
                    <w14:ligatures w14:val="none"/>
                  </w:rPr>
                </m:ctrlPr>
              </m:sSupPr>
              <m:e>
                <m:r>
                  <w:rPr>
                    <w:rFonts w:ascii="Cambria Math" w:eastAsia="仿宋" w:hAnsi="Cambria Math" w:cs="Times New Roman"/>
                    <w:color w:val="000000" w:themeColor="text1"/>
                    <w:szCs w:val="22"/>
                    <w14:ligatures w14:val="none"/>
                  </w:rPr>
                  <m:t>N</m:t>
                </m:r>
              </m:e>
              <m:sup>
                <m:r>
                  <m:rPr>
                    <m:sty m:val="p"/>
                  </m:rPr>
                  <w:rPr>
                    <w:rFonts w:ascii="Cambria Math" w:eastAsia="仿宋" w:hAnsi="Cambria Math" w:cs="Times New Roman"/>
                    <w:color w:val="000000" w:themeColor="text1"/>
                    <w:szCs w:val="22"/>
                    <w14:ligatures w14:val="none"/>
                  </w:rPr>
                  <m:t>'</m:t>
                </m:r>
              </m:sup>
            </m:sSup>
          </m:sup>
          <m:e>
            <m:r>
              <w:rPr>
                <w:rFonts w:ascii="Cambria Math" w:eastAsia="仿宋" w:hAnsi="Cambria Math" w:cs="Times New Roman"/>
                <w:color w:val="000000" w:themeColor="text1"/>
                <w:szCs w:val="22"/>
                <w14:ligatures w14:val="none"/>
              </w:rPr>
              <m:t>UC</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T</m:t>
                </m:r>
              </m:e>
              <m:sub>
                <m:r>
                  <w:rPr>
                    <w:rFonts w:ascii="Cambria Math" w:eastAsia="仿宋" w:hAnsi="Cambria Math" w:cs="Times New Roman"/>
                    <w:color w:val="000000" w:themeColor="text1"/>
                    <w:szCs w:val="22"/>
                    <w14:ligatures w14:val="none"/>
                  </w:rPr>
                  <m:t>t</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k</m:t>
                </m:r>
              </m:sub>
            </m:sSub>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I</m:t>
                </m:r>
              </m:e>
              <m:sub>
                <m:d>
                  <m:dPr>
                    <m:begChr m:val="{"/>
                    <m:endChr m:val="}"/>
                    <m:ctrlPr>
                      <w:rPr>
                        <w:rFonts w:ascii="Cambria Math" w:eastAsia="仿宋" w:hAnsi="Cambria Math" w:cs="Times New Roman"/>
                        <w:color w:val="000000" w:themeColor="text1"/>
                        <w:szCs w:val="22"/>
                        <w14:ligatures w14:val="none"/>
                      </w:rPr>
                    </m:ctrlPr>
                  </m:dPr>
                  <m:e>
                    <m:r>
                      <w:rPr>
                        <w:rFonts w:ascii="Cambria Math" w:eastAsia="仿宋" w:hAnsi="Cambria Math" w:cs="Times New Roman"/>
                        <w:color w:val="000000" w:themeColor="text1"/>
                        <w:szCs w:val="22"/>
                        <w14:ligatures w14:val="none"/>
                      </w:rPr>
                      <m:t>UC</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T</m:t>
                        </m:r>
                      </m:e>
                      <m:sub>
                        <m:r>
                          <w:rPr>
                            <w:rFonts w:ascii="Cambria Math" w:eastAsia="仿宋" w:hAnsi="Cambria Math" w:cs="Times New Roman"/>
                            <w:color w:val="000000" w:themeColor="text1"/>
                            <w:szCs w:val="22"/>
                            <w14:ligatures w14:val="none"/>
                          </w:rPr>
                          <m:t>t</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k</m:t>
                        </m:r>
                      </m:sub>
                    </m:sSub>
                    <m:r>
                      <m:rPr>
                        <m:sty m:val="p"/>
                      </m:rPr>
                      <w:rPr>
                        <w:rFonts w:ascii="Cambria Math" w:eastAsia="仿宋" w:hAnsi="Cambria Math" w:cs="Times New Roman"/>
                        <w:color w:val="000000" w:themeColor="text1"/>
                        <w:szCs w:val="22"/>
                        <w14:ligatures w14:val="none"/>
                      </w:rPr>
                      <m:t>&lt;0</m:t>
                    </m:r>
                  </m:e>
                </m:d>
              </m:sub>
            </m:sSub>
          </m:e>
        </m:nary>
      </m:oMath>
      <w:r w:rsidRPr="00C666FA">
        <w:rPr>
          <w:rFonts w:ascii="Times New Roman" w:eastAsia="仿宋" w:hAnsi="Times New Roman" w:cs="Times New Roman"/>
          <w:color w:val="000000" w:themeColor="text1"/>
          <w:szCs w:val="22"/>
          <w14:ligatures w14:val="none"/>
        </w:rPr>
        <w:t>).</w:t>
      </w:r>
    </w:p>
    <w:p w14:paraId="2D9A411C" w14:textId="77777777" w:rsidR="00B36226" w:rsidRPr="00C666FA" w:rsidRDefault="00000000"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m:oMathPara>
        <m:oMath>
          <m:eqArr>
            <m:eqArrPr>
              <m:maxDist m:val="1"/>
              <m:ctrlPr>
                <w:rPr>
                  <w:rFonts w:ascii="Cambria Math" w:eastAsia="仿宋" w:hAnsi="Cambria Math" w:cs="Times New Roman"/>
                  <w:color w:val="000000" w:themeColor="text1"/>
                  <w:szCs w:val="22"/>
                  <w14:ligatures w14:val="none"/>
                </w:rPr>
              </m:ctrlPr>
            </m:eqArrPr>
            <m:e>
              <m:r>
                <w:rPr>
                  <w:rFonts w:ascii="Cambria Math" w:eastAsia="仿宋" w:hAnsi="Cambria Math" w:cs="Times New Roman"/>
                  <w:color w:val="000000" w:themeColor="text1"/>
                  <w:szCs w:val="22"/>
                  <w14:ligatures w14:val="none"/>
                </w:rPr>
                <m:t>ln</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τ</m:t>
                  </m:r>
                </m:e>
                <m:sub>
                  <m:r>
                    <w:rPr>
                      <w:rFonts w:ascii="Cambria Math" w:eastAsia="仿宋" w:hAnsi="Cambria Math" w:cs="Times New Roman"/>
                      <w:color w:val="000000" w:themeColor="text1"/>
                      <w:szCs w:val="22"/>
                      <w14:ligatures w14:val="none"/>
                    </w:rPr>
                    <m:t>t</m:t>
                  </m:r>
                </m:sub>
              </m:sSub>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m</m:t>
              </m:r>
              <m:r>
                <m:rPr>
                  <m:sty m:val="p"/>
                </m:rPr>
                <w:rPr>
                  <w:rFonts w:ascii="Cambria Math" w:eastAsia="仿宋" w:hAnsi="Cambria Math" w:cs="Times New Roman"/>
                  <w:color w:val="000000" w:themeColor="text1"/>
                  <w:szCs w:val="22"/>
                  <w14:ligatures w14:val="none"/>
                </w:rPr>
                <m:t>+</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θ</m:t>
                  </m:r>
                </m:e>
                <m:sub>
                  <m:r>
                    <w:rPr>
                      <w:rFonts w:ascii="Cambria Math" w:eastAsia="仿宋" w:hAnsi="Cambria Math" w:cs="Times New Roman"/>
                      <w:color w:val="000000" w:themeColor="text1"/>
                      <w:szCs w:val="22"/>
                      <w14:ligatures w14:val="none"/>
                    </w:rPr>
                    <m:t>RV</m:t>
                  </m:r>
                </m:sub>
              </m:sSub>
              <m:nary>
                <m:naryPr>
                  <m:chr m:val="∑"/>
                  <m:limLoc m:val="undOvr"/>
                  <m:ctrlPr>
                    <w:rPr>
                      <w:rFonts w:ascii="Cambria Math" w:eastAsia="仿宋" w:hAnsi="Cambria Math" w:cs="Times New Roman"/>
                      <w:color w:val="000000" w:themeColor="text1"/>
                      <w:szCs w:val="22"/>
                      <w14:ligatures w14:val="none"/>
                    </w:rPr>
                  </m:ctrlPr>
                </m:naryPr>
                <m:sub>
                  <m:r>
                    <w:rPr>
                      <w:rFonts w:ascii="Cambria Math" w:eastAsia="仿宋" w:hAnsi="Cambria Math" w:cs="Times New Roman"/>
                      <w:color w:val="000000" w:themeColor="text1"/>
                      <w:szCs w:val="22"/>
                      <w14:ligatures w14:val="none"/>
                    </w:rPr>
                    <m:t>k</m:t>
                  </m:r>
                  <m:r>
                    <m:rPr>
                      <m:sty m:val="p"/>
                    </m:rPr>
                    <w:rPr>
                      <w:rFonts w:ascii="Cambria Math" w:eastAsia="仿宋" w:hAnsi="Cambria Math" w:cs="Times New Roman"/>
                      <w:color w:val="000000" w:themeColor="text1"/>
                      <w:szCs w:val="22"/>
                      <w14:ligatures w14:val="none"/>
                    </w:rPr>
                    <m:t>=1</m:t>
                  </m:r>
                </m:sub>
                <m:sup>
                  <m:r>
                    <w:rPr>
                      <w:rFonts w:ascii="Cambria Math" w:eastAsia="仿宋" w:hAnsi="Cambria Math" w:cs="Times New Roman"/>
                      <w:color w:val="000000" w:themeColor="text1"/>
                      <w:szCs w:val="22"/>
                      <w14:ligatures w14:val="none"/>
                    </w:rPr>
                    <m:t>K</m:t>
                  </m:r>
                </m:sup>
                <m:e>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φ</m:t>
                      </m:r>
                    </m:e>
                    <m:sub>
                      <m:r>
                        <w:rPr>
                          <w:rFonts w:ascii="Cambria Math" w:eastAsia="仿宋" w:hAnsi="Cambria Math" w:cs="Times New Roman"/>
                          <w:color w:val="000000" w:themeColor="text1"/>
                          <w:szCs w:val="22"/>
                          <w14:ligatures w14:val="none"/>
                        </w:rPr>
                        <m:t>k</m:t>
                      </m:r>
                    </m:sub>
                  </m:sSub>
                  <m:d>
                    <m:dPr>
                      <m:ctrlPr>
                        <w:rPr>
                          <w:rFonts w:ascii="Cambria Math" w:eastAsia="仿宋" w:hAnsi="Cambria Math" w:cs="Times New Roman"/>
                          <w:color w:val="000000" w:themeColor="text1"/>
                          <w:szCs w:val="22"/>
                          <w14:ligatures w14:val="none"/>
                        </w:rPr>
                      </m:ctrlPr>
                    </m:dPr>
                    <m:e>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1,</m:t>
                          </m:r>
                          <m:r>
                            <w:rPr>
                              <w:rFonts w:ascii="Cambria Math" w:eastAsia="仿宋" w:hAnsi="Cambria Math" w:cs="Times New Roman"/>
                              <w:color w:val="000000" w:themeColor="text1"/>
                              <w:szCs w:val="22"/>
                              <w14:ligatures w14:val="none"/>
                            </w:rPr>
                            <m:t>RV</m:t>
                          </m:r>
                        </m:sub>
                      </m:sSub>
                      <m:r>
                        <m:rPr>
                          <m:sty m:val="p"/>
                        </m:rPr>
                        <w:rPr>
                          <w:rFonts w:ascii="Cambria Math" w:eastAsia="仿宋" w:hAnsi="Cambria Math" w:cs="Times New Roman"/>
                          <w:color w:val="000000" w:themeColor="text1"/>
                          <w:szCs w:val="22"/>
                          <w14:ligatures w14:val="none"/>
                        </w:rPr>
                        <m:t>,</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2,</m:t>
                          </m:r>
                          <m:r>
                            <w:rPr>
                              <w:rFonts w:ascii="Cambria Math" w:eastAsia="仿宋" w:hAnsi="Cambria Math" w:cs="Times New Roman"/>
                              <w:color w:val="000000" w:themeColor="text1"/>
                              <w:szCs w:val="22"/>
                              <w14:ligatures w14:val="none"/>
                            </w:rPr>
                            <m:t>RV</m:t>
                          </m:r>
                        </m:sub>
                      </m:sSub>
                    </m:e>
                  </m:d>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RV</m:t>
                      </m:r>
                      <m:ctrlPr>
                        <w:rPr>
                          <w:rFonts w:ascii="Cambria Math" w:eastAsia="仿宋" w:hAnsi="Cambria Math" w:cs="Times New Roman" w:hint="eastAsia"/>
                          <w:color w:val="000000" w:themeColor="text1"/>
                          <w:szCs w:val="22"/>
                          <w14:ligatures w14:val="none"/>
                        </w:rPr>
                      </m:ctrlPr>
                    </m:e>
                    <m:sub>
                      <m:r>
                        <w:rPr>
                          <w:rFonts w:ascii="Cambria Math" w:eastAsia="仿宋" w:hAnsi="Cambria Math" w:cs="Times New Roman"/>
                          <w:color w:val="000000" w:themeColor="text1"/>
                          <w:szCs w:val="22"/>
                          <w14:ligatures w14:val="none"/>
                        </w:rPr>
                        <m:t>t</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k</m:t>
                      </m:r>
                    </m:sub>
                  </m:sSub>
                </m:e>
              </m:nary>
              <m:r>
                <m:rPr>
                  <m:sty m:val="p"/>
                </m:rPr>
                <w:rPr>
                  <w:rFonts w:ascii="Cambria Math" w:eastAsia="仿宋" w:hAnsi="Cambria Math" w:cs="Times New Roman"/>
                  <w:color w:val="000000" w:themeColor="text1"/>
                  <w:szCs w:val="22"/>
                  <w14:ligatures w14:val="none"/>
                </w:rPr>
                <m:t>+</m:t>
              </m:r>
              <m:sSubSup>
                <m:sSubSupPr>
                  <m:ctrlPr>
                    <w:rPr>
                      <w:rFonts w:ascii="Cambria Math" w:eastAsia="仿宋" w:hAnsi="Cambria Math" w:cs="Times New Roman"/>
                      <w:color w:val="000000" w:themeColor="text1"/>
                      <w:szCs w:val="22"/>
                      <w14:ligatures w14:val="none"/>
                    </w:rPr>
                  </m:ctrlPr>
                </m:sSubSupPr>
                <m:e>
                  <m:r>
                    <w:rPr>
                      <w:rFonts w:ascii="Cambria Math" w:eastAsia="仿宋" w:hAnsi="Cambria Math" w:cs="Times New Roman"/>
                      <w:color w:val="000000" w:themeColor="text1"/>
                      <w:szCs w:val="22"/>
                      <w14:ligatures w14:val="none"/>
                    </w:rPr>
                    <m:t>θ</m:t>
                  </m:r>
                </m:e>
                <m:sub>
                  <m:r>
                    <w:rPr>
                      <w:rFonts w:ascii="Cambria Math" w:eastAsia="仿宋" w:hAnsi="Cambria Math" w:cs="Times New Roman"/>
                      <w:color w:val="000000" w:themeColor="text1"/>
                      <w:szCs w:val="22"/>
                      <w14:ligatures w14:val="none"/>
                    </w:rPr>
                    <m:t>UCT</m:t>
                  </m:r>
                </m:sub>
                <m:sup>
                  <m:r>
                    <m:rPr>
                      <m:sty m:val="p"/>
                    </m:rPr>
                    <w:rPr>
                      <w:rFonts w:ascii="Cambria Math" w:eastAsia="仿宋" w:hAnsi="Cambria Math" w:cs="Times New Roman"/>
                      <w:color w:val="000000" w:themeColor="text1"/>
                      <w:szCs w:val="22"/>
                      <w14:ligatures w14:val="none"/>
                    </w:rPr>
                    <m:t>+</m:t>
                  </m:r>
                </m:sup>
              </m:sSubSup>
              <m:nary>
                <m:naryPr>
                  <m:chr m:val="∑"/>
                  <m:limLoc m:val="undOvr"/>
                  <m:ctrlPr>
                    <w:rPr>
                      <w:rFonts w:ascii="Cambria Math" w:eastAsia="仿宋" w:hAnsi="Cambria Math" w:cs="Times New Roman"/>
                      <w:color w:val="000000" w:themeColor="text1"/>
                      <w:szCs w:val="22"/>
                      <w14:ligatures w14:val="none"/>
                    </w:rPr>
                  </m:ctrlPr>
                </m:naryPr>
                <m:sub>
                  <m:r>
                    <w:rPr>
                      <w:rFonts w:ascii="Cambria Math" w:eastAsia="仿宋" w:hAnsi="Cambria Math" w:cs="Times New Roman"/>
                      <w:color w:val="000000" w:themeColor="text1"/>
                      <w:szCs w:val="22"/>
                      <w14:ligatures w14:val="none"/>
                    </w:rPr>
                    <m:t>k</m:t>
                  </m:r>
                  <m:r>
                    <m:rPr>
                      <m:sty m:val="p"/>
                    </m:rPr>
                    <w:rPr>
                      <w:rFonts w:ascii="Cambria Math" w:eastAsia="仿宋" w:hAnsi="Cambria Math" w:cs="Times New Roman"/>
                      <w:color w:val="000000" w:themeColor="text1"/>
                      <w:szCs w:val="22"/>
                      <w14:ligatures w14:val="none"/>
                    </w:rPr>
                    <m:t>=1</m:t>
                  </m:r>
                </m:sub>
                <m:sup>
                  <m:r>
                    <w:rPr>
                      <w:rFonts w:ascii="Cambria Math" w:eastAsia="仿宋" w:hAnsi="Cambria Math" w:cs="Times New Roman"/>
                      <w:color w:val="000000" w:themeColor="text1"/>
                      <w:szCs w:val="22"/>
                      <w14:ligatures w14:val="none"/>
                    </w:rPr>
                    <m:t>K</m:t>
                  </m:r>
                </m:sup>
                <m:e>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φ</m:t>
                      </m:r>
                    </m:e>
                    <m:sub>
                      <m:r>
                        <w:rPr>
                          <w:rFonts w:ascii="Cambria Math" w:eastAsia="仿宋" w:hAnsi="Cambria Math" w:cs="Times New Roman"/>
                          <w:color w:val="000000" w:themeColor="text1"/>
                          <w:szCs w:val="22"/>
                          <w14:ligatures w14:val="none"/>
                        </w:rPr>
                        <m:t>k</m:t>
                      </m:r>
                    </m:sub>
                  </m:sSub>
                  <m:d>
                    <m:dPr>
                      <m:ctrlPr>
                        <w:rPr>
                          <w:rFonts w:ascii="Cambria Math" w:eastAsia="仿宋" w:hAnsi="Cambria Math" w:cs="Times New Roman"/>
                          <w:color w:val="000000" w:themeColor="text1"/>
                          <w:szCs w:val="22"/>
                          <w14:ligatures w14:val="none"/>
                        </w:rPr>
                      </m:ctrlPr>
                    </m:dPr>
                    <m:e>
                      <m:sSubSup>
                        <m:sSubSupPr>
                          <m:ctrlPr>
                            <w:rPr>
                              <w:rFonts w:ascii="Cambria Math" w:eastAsia="仿宋" w:hAnsi="Cambria Math" w:cs="Times New Roman"/>
                              <w:color w:val="000000" w:themeColor="text1"/>
                              <w:szCs w:val="22"/>
                              <w14:ligatures w14:val="none"/>
                            </w:rPr>
                          </m:ctrlPr>
                        </m:sSubSup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1,</m:t>
                          </m:r>
                          <m:r>
                            <w:rPr>
                              <w:rFonts w:ascii="Cambria Math" w:eastAsia="仿宋" w:hAnsi="Cambria Math" w:cs="Times New Roman"/>
                              <w:color w:val="000000" w:themeColor="text1"/>
                              <w:szCs w:val="22"/>
                              <w14:ligatures w14:val="none"/>
                            </w:rPr>
                            <m:t>UCT</m:t>
                          </m:r>
                        </m:sub>
                        <m:sup>
                          <m:r>
                            <m:rPr>
                              <m:sty m:val="p"/>
                            </m:rPr>
                            <w:rPr>
                              <w:rFonts w:ascii="Cambria Math" w:eastAsia="仿宋" w:hAnsi="Cambria Math" w:cs="Times New Roman"/>
                              <w:color w:val="000000" w:themeColor="text1"/>
                              <w:szCs w:val="22"/>
                              <w14:ligatures w14:val="none"/>
                            </w:rPr>
                            <m:t>+</m:t>
                          </m:r>
                        </m:sup>
                      </m:sSubSup>
                      <m:r>
                        <m:rPr>
                          <m:sty m:val="p"/>
                        </m:rPr>
                        <w:rPr>
                          <w:rFonts w:ascii="Cambria Math" w:eastAsia="仿宋" w:hAnsi="Cambria Math" w:cs="Times New Roman"/>
                          <w:color w:val="000000" w:themeColor="text1"/>
                          <w:szCs w:val="22"/>
                          <w14:ligatures w14:val="none"/>
                        </w:rPr>
                        <m:t>,</m:t>
                      </m:r>
                      <m:sSubSup>
                        <m:sSubSupPr>
                          <m:ctrlPr>
                            <w:rPr>
                              <w:rFonts w:ascii="Cambria Math" w:eastAsia="仿宋" w:hAnsi="Cambria Math" w:cs="Times New Roman"/>
                              <w:color w:val="000000" w:themeColor="text1"/>
                              <w:szCs w:val="22"/>
                              <w14:ligatures w14:val="none"/>
                            </w:rPr>
                          </m:ctrlPr>
                        </m:sSubSup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2,</m:t>
                          </m:r>
                          <m:r>
                            <w:rPr>
                              <w:rFonts w:ascii="Cambria Math" w:eastAsia="仿宋" w:hAnsi="Cambria Math" w:cs="Times New Roman"/>
                              <w:color w:val="000000" w:themeColor="text1"/>
                              <w:szCs w:val="22"/>
                              <w14:ligatures w14:val="none"/>
                            </w:rPr>
                            <m:t>UCT</m:t>
                          </m:r>
                        </m:sub>
                        <m:sup>
                          <m:r>
                            <m:rPr>
                              <m:sty m:val="p"/>
                            </m:rPr>
                            <w:rPr>
                              <w:rFonts w:ascii="Cambria Math" w:eastAsia="仿宋" w:hAnsi="Cambria Math" w:cs="Times New Roman"/>
                              <w:color w:val="000000" w:themeColor="text1"/>
                              <w:szCs w:val="22"/>
                              <w14:ligatures w14:val="none"/>
                            </w:rPr>
                            <m:t>+</m:t>
                          </m:r>
                        </m:sup>
                      </m:sSubSup>
                    </m:e>
                  </m:d>
                  <m:sSubSup>
                    <m:sSubSupPr>
                      <m:ctrlPr>
                        <w:rPr>
                          <w:rFonts w:ascii="Cambria Math" w:eastAsia="仿宋" w:hAnsi="Cambria Math" w:cs="Times New Roman"/>
                          <w:color w:val="000000" w:themeColor="text1"/>
                          <w:szCs w:val="22"/>
                          <w14:ligatures w14:val="none"/>
                        </w:rPr>
                      </m:ctrlPr>
                    </m:sSubSupPr>
                    <m:e>
                      <m:r>
                        <w:rPr>
                          <w:rFonts w:ascii="Cambria Math" w:eastAsia="仿宋" w:hAnsi="Cambria Math" w:cs="Times New Roman"/>
                          <w:color w:val="000000" w:themeColor="text1"/>
                          <w:szCs w:val="22"/>
                          <w14:ligatures w14:val="none"/>
                        </w:rPr>
                        <m:t>UCT</m:t>
                      </m:r>
                    </m:e>
                    <m:sub>
                      <m:r>
                        <w:rPr>
                          <w:rFonts w:ascii="Cambria Math" w:eastAsia="仿宋" w:hAnsi="Cambria Math" w:cs="Times New Roman"/>
                          <w:color w:val="000000" w:themeColor="text1"/>
                          <w:szCs w:val="22"/>
                          <w14:ligatures w14:val="none"/>
                        </w:rPr>
                        <m:t>t</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k</m:t>
                      </m:r>
                    </m:sub>
                    <m:sup>
                      <m:r>
                        <m:rPr>
                          <m:sty m:val="p"/>
                        </m:rPr>
                        <w:rPr>
                          <w:rFonts w:ascii="Cambria Math" w:eastAsia="仿宋" w:hAnsi="Cambria Math" w:cs="Times New Roman"/>
                          <w:color w:val="000000" w:themeColor="text1"/>
                          <w:szCs w:val="22"/>
                          <w14:ligatures w14:val="none"/>
                        </w:rPr>
                        <m:t>+</m:t>
                      </m:r>
                    </m:sup>
                  </m:sSubSup>
                </m:e>
              </m:nary>
              <m:ctrlPr>
                <w:rPr>
                  <w:rFonts w:ascii="Cambria Math" w:eastAsia="仿宋" w:hAnsi="Cambria Math" w:cs="Cambria Math"/>
                  <w:color w:val="000000" w:themeColor="text1"/>
                  <w:szCs w:val="22"/>
                  <w14:ligatures w14:val="none"/>
                </w:rPr>
              </m:ctrlPr>
            </m:e>
            <m:e>
              <m:r>
                <m:rPr>
                  <m:sty m:val="p"/>
                </m:rPr>
                <w:rPr>
                  <w:rFonts w:ascii="Cambria Math" w:eastAsia="仿宋" w:hAnsi="Cambria Math" w:cs="Times New Roman"/>
                  <w:color w:val="000000" w:themeColor="text1"/>
                  <w:szCs w:val="22"/>
                  <w14:ligatures w14:val="none"/>
                </w:rPr>
                <m:t>+</m:t>
              </m:r>
              <m:sSubSup>
                <m:sSubSupPr>
                  <m:ctrlPr>
                    <w:rPr>
                      <w:rFonts w:ascii="Cambria Math" w:eastAsia="仿宋" w:hAnsi="Cambria Math" w:cs="Times New Roman"/>
                      <w:color w:val="000000" w:themeColor="text1"/>
                      <w:szCs w:val="22"/>
                      <w14:ligatures w14:val="none"/>
                    </w:rPr>
                  </m:ctrlPr>
                </m:sSubSupPr>
                <m:e>
                  <m:r>
                    <w:rPr>
                      <w:rFonts w:ascii="Cambria Math" w:eastAsia="仿宋" w:hAnsi="Cambria Math" w:cs="Times New Roman"/>
                      <w:color w:val="000000" w:themeColor="text1"/>
                      <w:szCs w:val="22"/>
                      <w14:ligatures w14:val="none"/>
                    </w:rPr>
                    <m:t>θ</m:t>
                  </m:r>
                </m:e>
                <m:sub>
                  <m:r>
                    <w:rPr>
                      <w:rFonts w:ascii="Cambria Math" w:eastAsia="仿宋" w:hAnsi="Cambria Math" w:cs="Times New Roman"/>
                      <w:color w:val="000000" w:themeColor="text1"/>
                      <w:szCs w:val="22"/>
                      <w14:ligatures w14:val="none"/>
                    </w:rPr>
                    <m:t>UCT</m:t>
                  </m:r>
                </m:sub>
                <m:sup>
                  <m:r>
                    <m:rPr>
                      <m:sty m:val="p"/>
                    </m:rPr>
                    <w:rPr>
                      <w:rFonts w:ascii="Cambria Math" w:eastAsia="仿宋" w:hAnsi="Cambria Math" w:cs="Times New Roman"/>
                      <w:color w:val="000000" w:themeColor="text1"/>
                      <w:szCs w:val="22"/>
                      <w14:ligatures w14:val="none"/>
                    </w:rPr>
                    <m:t>-</m:t>
                  </m:r>
                </m:sup>
              </m:sSubSup>
              <m:nary>
                <m:naryPr>
                  <m:chr m:val="∑"/>
                  <m:limLoc m:val="undOvr"/>
                  <m:ctrlPr>
                    <w:rPr>
                      <w:rFonts w:ascii="Cambria Math" w:eastAsia="仿宋" w:hAnsi="Cambria Math" w:cs="Times New Roman"/>
                      <w:color w:val="000000" w:themeColor="text1"/>
                      <w:szCs w:val="22"/>
                      <w14:ligatures w14:val="none"/>
                    </w:rPr>
                  </m:ctrlPr>
                </m:naryPr>
                <m:sub>
                  <m:r>
                    <w:rPr>
                      <w:rFonts w:ascii="Cambria Math" w:eastAsia="仿宋" w:hAnsi="Cambria Math" w:cs="Times New Roman"/>
                      <w:color w:val="000000" w:themeColor="text1"/>
                      <w:szCs w:val="22"/>
                      <w14:ligatures w14:val="none"/>
                    </w:rPr>
                    <m:t>k</m:t>
                  </m:r>
                  <m:r>
                    <m:rPr>
                      <m:sty m:val="p"/>
                    </m:rPr>
                    <w:rPr>
                      <w:rFonts w:ascii="Cambria Math" w:eastAsia="仿宋" w:hAnsi="Cambria Math" w:cs="Times New Roman"/>
                      <w:color w:val="000000" w:themeColor="text1"/>
                      <w:szCs w:val="22"/>
                      <w14:ligatures w14:val="none"/>
                    </w:rPr>
                    <m:t>=1</m:t>
                  </m:r>
                </m:sub>
                <m:sup>
                  <m:r>
                    <w:rPr>
                      <w:rFonts w:ascii="Cambria Math" w:eastAsia="仿宋" w:hAnsi="Cambria Math" w:cs="Times New Roman"/>
                      <w:color w:val="000000" w:themeColor="text1"/>
                      <w:szCs w:val="22"/>
                      <w14:ligatures w14:val="none"/>
                    </w:rPr>
                    <m:t>K</m:t>
                  </m:r>
                </m:sup>
                <m:e>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φ</m:t>
                      </m:r>
                    </m:e>
                    <m:sub>
                      <m:r>
                        <w:rPr>
                          <w:rFonts w:ascii="Cambria Math" w:eastAsia="仿宋" w:hAnsi="Cambria Math" w:cs="Times New Roman"/>
                          <w:color w:val="000000" w:themeColor="text1"/>
                          <w:szCs w:val="22"/>
                          <w14:ligatures w14:val="none"/>
                        </w:rPr>
                        <m:t>k</m:t>
                      </m:r>
                    </m:sub>
                  </m:sSub>
                  <m:d>
                    <m:dPr>
                      <m:ctrlPr>
                        <w:rPr>
                          <w:rFonts w:ascii="Cambria Math" w:eastAsia="仿宋" w:hAnsi="Cambria Math" w:cs="Times New Roman"/>
                          <w:color w:val="000000" w:themeColor="text1"/>
                          <w:szCs w:val="22"/>
                          <w14:ligatures w14:val="none"/>
                        </w:rPr>
                      </m:ctrlPr>
                    </m:dPr>
                    <m:e>
                      <m:sSubSup>
                        <m:sSubSupPr>
                          <m:ctrlPr>
                            <w:rPr>
                              <w:rFonts w:ascii="Cambria Math" w:eastAsia="仿宋" w:hAnsi="Cambria Math" w:cs="Times New Roman"/>
                              <w:color w:val="000000" w:themeColor="text1"/>
                              <w:szCs w:val="22"/>
                              <w14:ligatures w14:val="none"/>
                            </w:rPr>
                          </m:ctrlPr>
                        </m:sSubSup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1,</m:t>
                          </m:r>
                          <m:r>
                            <w:rPr>
                              <w:rFonts w:ascii="Cambria Math" w:eastAsia="仿宋" w:hAnsi="Cambria Math" w:cs="Times New Roman"/>
                              <w:color w:val="000000" w:themeColor="text1"/>
                              <w:szCs w:val="22"/>
                              <w14:ligatures w14:val="none"/>
                            </w:rPr>
                            <m:t>UCT</m:t>
                          </m:r>
                        </m:sub>
                        <m:sup>
                          <m:r>
                            <m:rPr>
                              <m:sty m:val="p"/>
                            </m:rPr>
                            <w:rPr>
                              <w:rFonts w:ascii="Cambria Math" w:eastAsia="仿宋" w:hAnsi="Cambria Math" w:cs="Times New Roman"/>
                              <w:color w:val="000000" w:themeColor="text1"/>
                              <w:szCs w:val="22"/>
                              <w14:ligatures w14:val="none"/>
                            </w:rPr>
                            <m:t>-</m:t>
                          </m:r>
                        </m:sup>
                      </m:sSubSup>
                      <m:r>
                        <m:rPr>
                          <m:sty m:val="p"/>
                        </m:rPr>
                        <w:rPr>
                          <w:rFonts w:ascii="Cambria Math" w:eastAsia="仿宋" w:hAnsi="Cambria Math" w:cs="Times New Roman"/>
                          <w:color w:val="000000" w:themeColor="text1"/>
                          <w:szCs w:val="22"/>
                          <w14:ligatures w14:val="none"/>
                        </w:rPr>
                        <m:t>,</m:t>
                      </m:r>
                      <m:sSubSup>
                        <m:sSubSupPr>
                          <m:ctrlPr>
                            <w:rPr>
                              <w:rFonts w:ascii="Cambria Math" w:eastAsia="仿宋" w:hAnsi="Cambria Math" w:cs="Times New Roman"/>
                              <w:color w:val="000000" w:themeColor="text1"/>
                              <w:szCs w:val="22"/>
                              <w14:ligatures w14:val="none"/>
                            </w:rPr>
                          </m:ctrlPr>
                        </m:sSubSupPr>
                        <m:e>
                          <m:r>
                            <w:rPr>
                              <w:rFonts w:ascii="Cambria Math" w:eastAsia="仿宋" w:hAnsi="Cambria Math" w:cs="Times New Roman"/>
                              <w:color w:val="000000" w:themeColor="text1"/>
                              <w:szCs w:val="22"/>
                              <w14:ligatures w14:val="none"/>
                            </w:rPr>
                            <m:t>w</m:t>
                          </m:r>
                        </m:e>
                        <m:sub>
                          <m:r>
                            <m:rPr>
                              <m:sty m:val="p"/>
                            </m:rPr>
                            <w:rPr>
                              <w:rFonts w:ascii="Cambria Math" w:eastAsia="仿宋" w:hAnsi="Cambria Math" w:cs="Times New Roman"/>
                              <w:color w:val="000000" w:themeColor="text1"/>
                              <w:szCs w:val="22"/>
                              <w14:ligatures w14:val="none"/>
                            </w:rPr>
                            <m:t>2,</m:t>
                          </m:r>
                          <m:r>
                            <w:rPr>
                              <w:rFonts w:ascii="Cambria Math" w:eastAsia="仿宋" w:hAnsi="Cambria Math" w:cs="Times New Roman"/>
                              <w:color w:val="000000" w:themeColor="text1"/>
                              <w:szCs w:val="22"/>
                              <w14:ligatures w14:val="none"/>
                            </w:rPr>
                            <m:t>UCT</m:t>
                          </m:r>
                        </m:sub>
                        <m:sup>
                          <m:r>
                            <m:rPr>
                              <m:sty m:val="p"/>
                            </m:rPr>
                            <w:rPr>
                              <w:rFonts w:ascii="Cambria Math" w:eastAsia="仿宋" w:hAnsi="Cambria Math" w:cs="Times New Roman"/>
                              <w:color w:val="000000" w:themeColor="text1"/>
                              <w:szCs w:val="22"/>
                              <w14:ligatures w14:val="none"/>
                            </w:rPr>
                            <m:t>-</m:t>
                          </m:r>
                        </m:sup>
                      </m:sSubSup>
                    </m:e>
                  </m:d>
                  <m:sSubSup>
                    <m:sSubSupPr>
                      <m:ctrlPr>
                        <w:rPr>
                          <w:rFonts w:ascii="Cambria Math" w:eastAsia="仿宋" w:hAnsi="Cambria Math" w:cs="Times New Roman"/>
                          <w:color w:val="000000" w:themeColor="text1"/>
                          <w:szCs w:val="22"/>
                          <w14:ligatures w14:val="none"/>
                        </w:rPr>
                      </m:ctrlPr>
                    </m:sSubSupPr>
                    <m:e>
                      <m:r>
                        <w:rPr>
                          <w:rFonts w:ascii="Cambria Math" w:eastAsia="仿宋" w:hAnsi="Cambria Math" w:cs="Times New Roman"/>
                          <w:color w:val="000000" w:themeColor="text1"/>
                          <w:szCs w:val="22"/>
                          <w14:ligatures w14:val="none"/>
                        </w:rPr>
                        <m:t>UCT</m:t>
                      </m:r>
                    </m:e>
                    <m:sub>
                      <m:r>
                        <w:rPr>
                          <w:rFonts w:ascii="Cambria Math" w:eastAsia="仿宋" w:hAnsi="Cambria Math" w:cs="Times New Roman"/>
                          <w:color w:val="000000" w:themeColor="text1"/>
                          <w:szCs w:val="22"/>
                          <w14:ligatures w14:val="none"/>
                        </w:rPr>
                        <m:t>t</m:t>
                      </m:r>
                      <m:r>
                        <m:rPr>
                          <m:sty m:val="p"/>
                        </m:rPr>
                        <w:rPr>
                          <w:rFonts w:ascii="Cambria Math" w:eastAsia="仿宋" w:hAnsi="Cambria Math" w:cs="Times New Roman"/>
                          <w:color w:val="000000" w:themeColor="text1"/>
                          <w:szCs w:val="22"/>
                          <w14:ligatures w14:val="none"/>
                        </w:rPr>
                        <m:t>-</m:t>
                      </m:r>
                      <m:r>
                        <w:rPr>
                          <w:rFonts w:ascii="Cambria Math" w:eastAsia="仿宋" w:hAnsi="Cambria Math" w:cs="Times New Roman"/>
                          <w:color w:val="000000" w:themeColor="text1"/>
                          <w:szCs w:val="22"/>
                          <w14:ligatures w14:val="none"/>
                        </w:rPr>
                        <m:t>k</m:t>
                      </m:r>
                    </m:sub>
                    <m:sup>
                      <m:r>
                        <m:rPr>
                          <m:sty m:val="p"/>
                        </m:rPr>
                        <w:rPr>
                          <w:rFonts w:ascii="Cambria Math" w:eastAsia="仿宋" w:hAnsi="Cambria Math" w:cs="Times New Roman"/>
                          <w:color w:val="000000" w:themeColor="text1"/>
                          <w:szCs w:val="22"/>
                          <w14:ligatures w14:val="none"/>
                        </w:rPr>
                        <m:t>-</m:t>
                      </m:r>
                    </m:sup>
                  </m:sSubSup>
                </m:e>
              </m:nary>
              <m:r>
                <m:rPr>
                  <m:sty m:val="p"/>
                </m:rPr>
                <w:rPr>
                  <w:rFonts w:ascii="Cambria Math" w:eastAsia="仿宋" w:hAnsi="Cambria Math" w:cs="Times New Roman"/>
                  <w:color w:val="000000" w:themeColor="text1"/>
                  <w:szCs w:val="22"/>
                  <w14:ligatures w14:val="none"/>
                </w:rPr>
                <m:t>#</m:t>
              </m:r>
              <m:d>
                <m:dPr>
                  <m:ctrlPr>
                    <w:rPr>
                      <w:rFonts w:ascii="Cambria Math" w:eastAsia="仿宋" w:hAnsi="Cambria Math" w:cs="Times New Roman"/>
                      <w:color w:val="000000" w:themeColor="text1"/>
                      <w:szCs w:val="22"/>
                      <w14:ligatures w14:val="none"/>
                    </w:rPr>
                  </m:ctrlPr>
                </m:dPr>
                <m:e>
                  <m:r>
                    <m:rPr>
                      <m:sty m:val="p"/>
                    </m:rPr>
                    <w:rPr>
                      <w:rFonts w:ascii="Cambria Math" w:eastAsia="仿宋" w:hAnsi="Cambria Math" w:cs="Times New Roman"/>
                      <w:color w:val="000000" w:themeColor="text1"/>
                      <w:szCs w:val="22"/>
                      <w14:ligatures w14:val="none"/>
                    </w:rPr>
                    <m:t>6</m:t>
                  </m:r>
                </m:e>
              </m:d>
            </m:e>
          </m:eqArr>
        </m:oMath>
      </m:oMathPara>
    </w:p>
    <w:p w14:paraId="6FDC5CEB" w14:textId="630A0CCD" w:rsidR="00B36226" w:rsidRPr="00C666FA" w:rsidRDefault="00B36226"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Therefore, Equations (1), (2), (6), and (4) together constitute a new double-asymmetric multifactor model, Model 3.</w:t>
      </w:r>
    </w:p>
    <w:p w14:paraId="4B4F9714" w14:textId="4A67D026" w:rsidR="00342CF1" w:rsidRPr="00C666FA" w:rsidRDefault="00342CF1" w:rsidP="00342CF1">
      <w:pPr>
        <w:pStyle w:val="4"/>
        <w:keepNext w:val="0"/>
        <w:keepLines w:val="0"/>
        <w:widowControl/>
        <w:spacing w:before="240" w:after="0" w:line="360" w:lineRule="auto"/>
        <w:rPr>
          <w:rFonts w:ascii="Palatino Linotype" w:hAnsi="Palatino Linotype"/>
          <w:b/>
          <w:snapToGrid w:val="0"/>
          <w:color w:val="000000" w:themeColor="text1"/>
          <w:kern w:val="0"/>
          <w:sz w:val="22"/>
          <w:szCs w:val="22"/>
          <w:lang w:bidi="en-US"/>
        </w:rPr>
      </w:pPr>
      <w:bookmarkStart w:id="2" w:name="OLE_LINK159"/>
      <w:r w:rsidRPr="00C666FA">
        <w:rPr>
          <w:rFonts w:ascii="Palatino Linotype" w:hAnsi="Palatino Linotype"/>
          <w:b/>
          <w:snapToGrid w:val="0"/>
          <w:color w:val="000000" w:themeColor="text1"/>
          <w:kern w:val="0"/>
          <w:sz w:val="22"/>
          <w:szCs w:val="22"/>
          <w:lang w:bidi="en-US"/>
        </w:rPr>
        <w:t xml:space="preserve">Appendix </w:t>
      </w:r>
      <w:r w:rsidR="00C90E1A" w:rsidRPr="00C666FA">
        <w:rPr>
          <w:rFonts w:ascii="Palatino Linotype" w:hAnsi="Palatino Linotype" w:hint="eastAsia"/>
          <w:b/>
          <w:snapToGrid w:val="0"/>
          <w:color w:val="000000" w:themeColor="text1"/>
          <w:kern w:val="0"/>
          <w:sz w:val="22"/>
          <w:szCs w:val="22"/>
          <w:lang w:bidi="en-US"/>
        </w:rPr>
        <w:t>D</w:t>
      </w:r>
      <w:r w:rsidRPr="00C666FA">
        <w:rPr>
          <w:rFonts w:ascii="Palatino Linotype" w:hAnsi="Palatino Linotype"/>
          <w:b/>
          <w:snapToGrid w:val="0"/>
          <w:color w:val="000000" w:themeColor="text1"/>
          <w:kern w:val="0"/>
          <w:sz w:val="22"/>
          <w:szCs w:val="22"/>
          <w:lang w:bidi="en-US"/>
        </w:rPr>
        <w:t>: Data Sources</w:t>
      </w:r>
    </w:p>
    <w:bookmarkEnd w:id="2"/>
    <w:p w14:paraId="4763B66D" w14:textId="77777777" w:rsidR="00342CF1" w:rsidRPr="00C666FA" w:rsidRDefault="00342CF1"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The daily price data for the S&amp;P 500 Index (SPX) and the Nasdaq Composite Index (IXIC) are sourced from the Investing.com data platform</w:t>
      </w:r>
      <w:r w:rsidRPr="00C666FA">
        <w:rPr>
          <w:rStyle w:val="af3"/>
          <w:rFonts w:ascii="Times New Roman" w:eastAsia="仿宋" w:hAnsi="Times New Roman" w:cs="Times New Roman"/>
          <w:color w:val="000000" w:themeColor="text1"/>
          <w:szCs w:val="22"/>
          <w14:ligatures w14:val="none"/>
        </w:rPr>
        <w:footnoteReference w:id="1"/>
      </w:r>
      <w:r w:rsidRPr="00C666FA">
        <w:rPr>
          <w:rFonts w:ascii="Times New Roman" w:eastAsia="仿宋" w:hAnsi="Times New Roman" w:cs="Times New Roman"/>
          <w:color w:val="000000" w:themeColor="text1"/>
          <w:szCs w:val="22"/>
          <w14:ligatures w14:val="none"/>
        </w:rPr>
        <w:t>. The time-series dynamics of these indices are illustrated in Figure 1.</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2"/>
      </w:tblGrid>
      <w:tr w:rsidR="00C666FA" w:rsidRPr="00C666FA" w14:paraId="40C0B7AF" w14:textId="77777777" w:rsidTr="006D67A4">
        <w:tc>
          <w:tcPr>
            <w:tcW w:w="5000" w:type="pct"/>
          </w:tcPr>
          <w:p w14:paraId="575A5D78" w14:textId="77777777" w:rsidR="00342CF1" w:rsidRPr="00C666FA" w:rsidRDefault="00342CF1" w:rsidP="006D67A4">
            <w:pPr>
              <w:jc w:val="center"/>
              <w:rPr>
                <w:strike/>
                <w:color w:val="000000" w:themeColor="text1"/>
              </w:rPr>
            </w:pPr>
            <w:bookmarkStart w:id="3" w:name="OLE_LINK253"/>
            <w:r w:rsidRPr="00C666FA">
              <w:rPr>
                <w:strike/>
                <w:noProof/>
                <w:color w:val="000000" w:themeColor="text1"/>
              </w:rPr>
              <w:drawing>
                <wp:inline distT="0" distB="0" distL="0" distR="0" wp14:anchorId="11B7D69C" wp14:editId="0B5022C6">
                  <wp:extent cx="4860000" cy="2482549"/>
                  <wp:effectExtent l="0" t="0" r="4445" b="0"/>
                  <wp:docPr id="1640654734"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54734" name="图片 1" descr="图表&#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60000" cy="2482549"/>
                          </a:xfrm>
                          <a:prstGeom prst="rect">
                            <a:avLst/>
                          </a:prstGeom>
                        </pic:spPr>
                      </pic:pic>
                    </a:graphicData>
                  </a:graphic>
                </wp:inline>
              </w:drawing>
            </w:r>
          </w:p>
        </w:tc>
      </w:tr>
      <w:tr w:rsidR="00C666FA" w:rsidRPr="00C666FA" w14:paraId="6C8B4A2D" w14:textId="77777777" w:rsidTr="006D67A4">
        <w:trPr>
          <w:trHeight w:val="1966"/>
        </w:trPr>
        <w:tc>
          <w:tcPr>
            <w:tcW w:w="5000" w:type="pct"/>
          </w:tcPr>
          <w:p w14:paraId="3C538E6A" w14:textId="77777777" w:rsidR="00342CF1" w:rsidRPr="00C666FA" w:rsidRDefault="00342CF1" w:rsidP="006D67A4">
            <w:pPr>
              <w:jc w:val="center"/>
              <w:rPr>
                <w:strike/>
                <w:color w:val="000000" w:themeColor="text1"/>
              </w:rPr>
            </w:pPr>
            <w:r w:rsidRPr="00C666FA">
              <w:rPr>
                <w:strike/>
                <w:noProof/>
                <w:color w:val="000000" w:themeColor="text1"/>
              </w:rPr>
              <w:drawing>
                <wp:inline distT="0" distB="0" distL="0" distR="0" wp14:anchorId="1E107244" wp14:editId="696213EC">
                  <wp:extent cx="4860000" cy="2483216"/>
                  <wp:effectExtent l="0" t="0" r="4445" b="6350"/>
                  <wp:docPr id="1988301534" name="图片 2"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01534" name="图片 2" descr="图表, 直方图&#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60000" cy="2483216"/>
                          </a:xfrm>
                          <a:prstGeom prst="rect">
                            <a:avLst/>
                          </a:prstGeom>
                        </pic:spPr>
                      </pic:pic>
                    </a:graphicData>
                  </a:graphic>
                </wp:inline>
              </w:drawing>
            </w:r>
          </w:p>
        </w:tc>
      </w:tr>
      <w:tr w:rsidR="00C666FA" w:rsidRPr="00C666FA" w14:paraId="246FD3BF" w14:textId="77777777" w:rsidTr="006D67A4">
        <w:trPr>
          <w:trHeight w:val="57"/>
        </w:trPr>
        <w:tc>
          <w:tcPr>
            <w:tcW w:w="5000" w:type="pct"/>
          </w:tcPr>
          <w:p w14:paraId="36A9A01A" w14:textId="77777777" w:rsidR="00342CF1" w:rsidRPr="00C666FA" w:rsidRDefault="00342CF1" w:rsidP="006D67A4">
            <w:pPr>
              <w:jc w:val="center"/>
              <w:rPr>
                <w:rFonts w:ascii="Times New Roman" w:eastAsia="仿宋" w:hAnsi="Times New Roman" w:cs="Times New Roman"/>
                <w:color w:val="000000" w:themeColor="text1"/>
                <w:sz w:val="18"/>
                <w:szCs w:val="18"/>
              </w:rPr>
            </w:pPr>
            <w:r w:rsidRPr="00C666FA">
              <w:rPr>
                <w:rFonts w:ascii="Times New Roman" w:eastAsia="仿宋" w:hAnsi="Times New Roman" w:cs="Times New Roman"/>
                <w:color w:val="000000" w:themeColor="text1"/>
                <w:sz w:val="18"/>
                <w:szCs w:val="18"/>
              </w:rPr>
              <w:t>Figure 1. Logarithmic daily rate of return</w:t>
            </w:r>
          </w:p>
        </w:tc>
      </w:tr>
    </w:tbl>
    <w:bookmarkEnd w:id="3"/>
    <w:p w14:paraId="4CBD27B0" w14:textId="6E7CD2ED" w:rsidR="00E9354B" w:rsidRPr="00C666FA" w:rsidRDefault="00342CF1" w:rsidP="00D802DE">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M</w:t>
      </w:r>
      <w:r w:rsidRPr="00C666FA">
        <w:rPr>
          <w:rFonts w:ascii="Times New Roman" w:eastAsia="仿宋" w:hAnsi="Times New Roman" w:cs="Times New Roman" w:hint="eastAsia"/>
          <w:color w:val="000000" w:themeColor="text1"/>
          <w:szCs w:val="22"/>
          <w14:ligatures w14:val="none"/>
        </w:rPr>
        <w:t>oreover</w:t>
      </w:r>
      <w:r w:rsidRPr="00C666FA">
        <w:rPr>
          <w:rFonts w:ascii="Times New Roman" w:eastAsia="仿宋" w:hAnsi="Times New Roman" w:cs="Times New Roman"/>
          <w:color w:val="000000" w:themeColor="text1"/>
          <w:szCs w:val="22"/>
          <w14:ligatures w14:val="none"/>
        </w:rPr>
        <w:t xml:space="preserve">, the UCT is derived from </w:t>
      </w:r>
      <w:r w:rsidRPr="00C666FA">
        <w:rPr>
          <w:rFonts w:ascii="Times New Roman" w:eastAsia="仿宋" w:hAnsi="Times New Roman" w:cs="Times New Roman" w:hint="eastAsia"/>
          <w:color w:val="000000" w:themeColor="text1"/>
          <w:szCs w:val="22"/>
          <w14:ligatures w14:val="none"/>
        </w:rPr>
        <w:t xml:space="preserve">research by </w:t>
      </w:r>
      <w:r w:rsidR="006B437F" w:rsidRPr="00C666FA">
        <w:rPr>
          <w:rFonts w:ascii="Times New Roman" w:eastAsia="仿宋" w:hAnsi="Times New Roman" w:cs="Times New Roman"/>
          <w:color w:val="000000" w:themeColor="text1"/>
          <w:szCs w:val="22"/>
          <w14:ligatures w14:val="none"/>
        </w:rPr>
        <w:fldChar w:fldCharType="begin"/>
      </w:r>
      <w:r w:rsidR="006B437F" w:rsidRPr="00C666FA">
        <w:rPr>
          <w:rFonts w:ascii="Times New Roman" w:eastAsia="仿宋" w:hAnsi="Times New Roman" w:cs="Times New Roman"/>
          <w:color w:val="000000" w:themeColor="text1"/>
          <w:szCs w:val="22"/>
          <w14:ligatures w14:val="none"/>
        </w:rPr>
        <w:instrText xml:space="preserve"> ADDIN EN.CITE &lt;EndNote&gt;&lt;Cite AuthorYear="1"&gt;&lt;Author&gt;Rogers&lt;/Author&gt;&lt;Year&gt;2024&lt;/Year&gt;&lt;RecNum&gt;588&lt;/RecNum&gt;&lt;DisplayText&gt;Rogers et al. (2024)&lt;/DisplayText&gt;&lt;record&gt;&lt;rec-number&gt;588&lt;/rec-number&gt;&lt;foreign-keys&gt;&lt;key app="EN" db-id="dvsp2e2z3a9fzpezr9n5pp2lw9tf5rvzrx9x" timestamp="1751249070"&gt;588&lt;/key&gt;&lt;/foreign-keys&gt;&lt;ref-type name="Journal Article"&gt;17&lt;/ref-type&gt;&lt;contributors&gt;&lt;authors&gt;&lt;author&gt;Rogers, John H&lt;/author&gt;&lt;author&gt;Sun, Bo&lt;/author&gt;&lt;author&gt;Sun, Tony&lt;/author&gt;&lt;/authors&gt;&lt;/contributors&gt;&lt;titles&gt;&lt;title&gt;US-China tension&lt;/title&gt;&lt;secondary-title&gt;Available at SSRN 4815838&lt;/secondary-title&gt;&lt;/titles&gt;&lt;periodical&gt;&lt;full-title&gt;Available at SSRN 4815838&lt;/full-title&gt;&lt;/periodical&gt;&lt;dates&gt;&lt;year&gt;2024&lt;/year&gt;&lt;/dates&gt;&lt;urls&gt;&lt;/urls&gt;&lt;/record&gt;&lt;/Cite&gt;&lt;/EndNote&gt;</w:instrText>
      </w:r>
      <w:r w:rsidR="006B437F" w:rsidRPr="00C666FA">
        <w:rPr>
          <w:rFonts w:ascii="Times New Roman" w:eastAsia="仿宋" w:hAnsi="Times New Roman" w:cs="Times New Roman"/>
          <w:color w:val="000000" w:themeColor="text1"/>
          <w:szCs w:val="22"/>
          <w14:ligatures w14:val="none"/>
        </w:rPr>
        <w:fldChar w:fldCharType="separate"/>
      </w:r>
      <w:r w:rsidR="006B437F" w:rsidRPr="00C666FA">
        <w:rPr>
          <w:rFonts w:ascii="Times New Roman" w:eastAsia="仿宋" w:hAnsi="Times New Roman" w:cs="Times New Roman"/>
          <w:noProof/>
          <w:color w:val="000000" w:themeColor="text1"/>
          <w:szCs w:val="22"/>
          <w14:ligatures w14:val="none"/>
        </w:rPr>
        <w:t>Rogers et al. (2024)</w:t>
      </w:r>
      <w:r w:rsidR="006B437F"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hint="eastAsia"/>
          <w:color w:val="000000" w:themeColor="text1"/>
          <w:szCs w:val="22"/>
          <w14:ligatures w14:val="none"/>
        </w:rPr>
        <w:t>. T</w:t>
      </w:r>
      <w:r w:rsidRPr="00C666FA">
        <w:rPr>
          <w:rFonts w:ascii="Times New Roman" w:eastAsia="仿宋" w:hAnsi="Times New Roman" w:cs="Times New Roman"/>
          <w:color w:val="000000" w:themeColor="text1"/>
          <w:szCs w:val="22"/>
          <w14:ligatures w14:val="none"/>
        </w:rPr>
        <w:t xml:space="preserve">he relevant data can be accessed for </w:t>
      </w:r>
      <w:r w:rsidRPr="00C666FA">
        <w:rPr>
          <w:rFonts w:ascii="Times New Roman" w:eastAsia="仿宋" w:hAnsi="Times New Roman" w:cs="Times New Roman"/>
          <w:color w:val="000000" w:themeColor="text1"/>
          <w:szCs w:val="22"/>
          <w14:ligatures w14:val="none"/>
        </w:rPr>
        <w:lastRenderedPageBreak/>
        <w:t>free via the Economic Policy Uncertainty website</w:t>
      </w:r>
      <w:r w:rsidRPr="00C666FA">
        <w:rPr>
          <w:color w:val="000000" w:themeColor="text1"/>
          <w:vertAlign w:val="superscript"/>
        </w:rPr>
        <w:footnoteReference w:id="2"/>
      </w:r>
      <w:r w:rsidRPr="00C666FA">
        <w:rPr>
          <w:rFonts w:ascii="Times New Roman" w:eastAsia="仿宋" w:hAnsi="Times New Roman" w:cs="Times New Roman"/>
          <w:color w:val="000000" w:themeColor="text1"/>
          <w:szCs w:val="22"/>
          <w14:ligatures w14:val="none"/>
        </w:rPr>
        <w:t xml:space="preserve">. </w:t>
      </w:r>
      <w:r w:rsidR="00D802DE" w:rsidRPr="00C666FA">
        <w:rPr>
          <w:rFonts w:ascii="Times New Roman" w:eastAsia="仿宋" w:hAnsi="Times New Roman" w:cs="Times New Roman"/>
          <w:color w:val="000000" w:themeColor="text1"/>
          <w:szCs w:val="22"/>
          <w14:ligatures w14:val="none"/>
        </w:rPr>
        <w:t xml:space="preserve">Its construction method draws inspiration from the text analysis framework proposed by </w:t>
      </w:r>
      <w:r w:rsidR="00E578CE" w:rsidRPr="00C666FA">
        <w:rPr>
          <w:rFonts w:ascii="Times New Roman" w:eastAsia="仿宋" w:hAnsi="Times New Roman" w:cs="Times New Roman"/>
          <w:color w:val="000000" w:themeColor="text1"/>
          <w:szCs w:val="22"/>
          <w14:ligatures w14:val="none"/>
        </w:rPr>
        <w:fldChar w:fldCharType="begin"/>
      </w:r>
      <w:r w:rsidR="00E578CE" w:rsidRPr="00C666FA">
        <w:rPr>
          <w:rFonts w:ascii="Times New Roman" w:eastAsia="仿宋" w:hAnsi="Times New Roman" w:cs="Times New Roman"/>
          <w:color w:val="000000" w:themeColor="text1"/>
          <w:szCs w:val="22"/>
          <w14:ligatures w14:val="none"/>
        </w:rPr>
        <w:instrText xml:space="preserve"> ADDIN EN.CITE &lt;EndNote&gt;&lt;Cite AuthorYear="1"&gt;&lt;Author&gt;Baker&lt;/Author&gt;&lt;Year&gt;2016&lt;/Year&gt;&lt;RecNum&gt;581&lt;/RecNum&gt;&lt;DisplayText&gt;Baker et al. (2016)&lt;/DisplayText&gt;&lt;record&gt;&lt;rec-number&gt;581&lt;/rec-number&gt;&lt;foreign-keys&gt;&lt;key app="EN" db-id="dvsp2e2z3a9fzpezr9n5pp2lw9tf5rvzrx9x" timestamp="1751247950"&gt;581&lt;/key&gt;&lt;/foreign-keys&gt;&lt;ref-type name="Journal Article"&gt;17&lt;/ref-type&gt;&lt;contributors&gt;&lt;authors&gt;&lt;author&gt;Baker, Scott R.&lt;/author&gt;&lt;author&gt;Bloom, Nicholas&lt;/author&gt;&lt;author&gt;Davis, Steven J.&lt;/author&gt;&lt;/authors&gt;&lt;/contributors&gt;&lt;titles&gt;&lt;title&gt;Measuring Economic Policy Uncertainty*&lt;/title&gt;&lt;secondary-title&gt;The Quarterly Journal of Economics&lt;/secondary-title&gt;&lt;/titles&gt;&lt;periodical&gt;&lt;full-title&gt;The Quarterly Journal of Economics&lt;/full-title&gt;&lt;/periodical&gt;&lt;pages&gt;1593-1636&lt;/pages&gt;&lt;volume&gt;131&lt;/volume&gt;&lt;number&gt;4&lt;/number&gt;&lt;dates&gt;&lt;year&gt;2016&lt;/year&gt;&lt;/dates&gt;&lt;isbn&gt;0033-5533&lt;/isbn&gt;&lt;urls&gt;&lt;related-urls&gt;&lt;url&gt;https://doi.org/10.1093/qje/qjw024&lt;/url&gt;&lt;/related-urls&gt;&lt;/urls&gt;&lt;electronic-resource-num&gt;10.1093/qje/qjw024&lt;/electronic-resource-num&gt;&lt;access-date&gt;6/30/2025&lt;/access-date&gt;&lt;/record&gt;&lt;/Cite&gt;&lt;/EndNote&gt;</w:instrText>
      </w:r>
      <w:r w:rsidR="00E578CE" w:rsidRPr="00C666FA">
        <w:rPr>
          <w:rFonts w:ascii="Times New Roman" w:eastAsia="仿宋" w:hAnsi="Times New Roman" w:cs="Times New Roman"/>
          <w:color w:val="000000" w:themeColor="text1"/>
          <w:szCs w:val="22"/>
          <w14:ligatures w14:val="none"/>
        </w:rPr>
        <w:fldChar w:fldCharType="separate"/>
      </w:r>
      <w:r w:rsidR="00E578CE" w:rsidRPr="00C666FA">
        <w:rPr>
          <w:rFonts w:ascii="Times New Roman" w:eastAsia="仿宋" w:hAnsi="Times New Roman" w:cs="Times New Roman"/>
          <w:noProof/>
          <w:color w:val="000000" w:themeColor="text1"/>
          <w:szCs w:val="22"/>
          <w14:ligatures w14:val="none"/>
        </w:rPr>
        <w:t>Baker et al. (2016)</w:t>
      </w:r>
      <w:r w:rsidR="00E578CE" w:rsidRPr="00C666FA">
        <w:rPr>
          <w:rFonts w:ascii="Times New Roman" w:eastAsia="仿宋" w:hAnsi="Times New Roman" w:cs="Times New Roman"/>
          <w:color w:val="000000" w:themeColor="text1"/>
          <w:szCs w:val="22"/>
          <w14:ligatures w14:val="none"/>
        </w:rPr>
        <w:fldChar w:fldCharType="end"/>
      </w:r>
      <w:r w:rsidR="00D802DE" w:rsidRPr="00C666FA">
        <w:rPr>
          <w:rFonts w:ascii="Times New Roman" w:eastAsia="仿宋" w:hAnsi="Times New Roman" w:cs="Times New Roman"/>
          <w:color w:val="000000" w:themeColor="text1"/>
          <w:szCs w:val="22"/>
          <w14:ligatures w14:val="none"/>
        </w:rPr>
        <w:t xml:space="preserve"> for the Economic Policy Uncertainty Index (EPU)</w:t>
      </w:r>
      <w:r w:rsidR="00D802DE" w:rsidRPr="00C666FA">
        <w:rPr>
          <w:rFonts w:ascii="Times New Roman" w:eastAsia="仿宋" w:hAnsi="Times New Roman" w:cs="Times New Roman" w:hint="eastAsia"/>
          <w:color w:val="000000" w:themeColor="text1"/>
          <w:szCs w:val="22"/>
          <w14:ligatures w14:val="none"/>
        </w:rPr>
        <w:t>. Still,</w:t>
      </w:r>
      <w:r w:rsidR="00D802DE" w:rsidRPr="00C666FA">
        <w:rPr>
          <w:rFonts w:ascii="Times New Roman" w:eastAsia="仿宋" w:hAnsi="Times New Roman" w:cs="Times New Roman"/>
          <w:color w:val="000000" w:themeColor="text1"/>
          <w:szCs w:val="22"/>
          <w14:ligatures w14:val="none"/>
        </w:rPr>
        <w:t xml:space="preserve"> it has been substantially expanded in terms of variable extraction and theme identification.</w:t>
      </w:r>
    </w:p>
    <w:p w14:paraId="762302B5" w14:textId="64A8B50A" w:rsidR="00E9354B" w:rsidRPr="00C666FA" w:rsidRDefault="00D802DE" w:rsidP="00D802DE">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Specifically,</w:t>
      </w:r>
      <w:r w:rsidRPr="00C666FA">
        <w:rPr>
          <w:rFonts w:ascii="Times New Roman" w:eastAsia="仿宋" w:hAnsi="Times New Roman" w:cs="Times New Roman" w:hint="eastAsia"/>
          <w:color w:val="000000" w:themeColor="text1"/>
          <w:szCs w:val="22"/>
          <w14:ligatures w14:val="none"/>
        </w:rPr>
        <w:t xml:space="preserve"> </w:t>
      </w:r>
      <w:r w:rsidRPr="00C666FA">
        <w:rPr>
          <w:rFonts w:ascii="Times New Roman" w:eastAsia="仿宋" w:hAnsi="Times New Roman" w:cs="Times New Roman"/>
          <w:color w:val="000000" w:themeColor="text1"/>
          <w:szCs w:val="22"/>
          <w14:ligatures w14:val="none"/>
        </w:rPr>
        <w:t>the UCT index measures the proportion of relevant texts in all reports by systematically tracking reports on U.S.-China tensions in mainstream U.S. media, focusing particularly on articles that simultaneously contain (</w:t>
      </w:r>
      <w:proofErr w:type="spellStart"/>
      <w:r w:rsidRPr="00C666FA">
        <w:rPr>
          <w:rFonts w:ascii="Times New Roman" w:eastAsia="仿宋" w:hAnsi="Times New Roman" w:cs="Times New Roman"/>
          <w:color w:val="000000" w:themeColor="text1"/>
          <w:szCs w:val="22"/>
          <w14:ligatures w14:val="none"/>
        </w:rPr>
        <w:t>i</w:t>
      </w:r>
      <w:proofErr w:type="spellEnd"/>
      <w:r w:rsidRPr="00C666FA">
        <w:rPr>
          <w:rFonts w:ascii="Times New Roman" w:eastAsia="仿宋" w:hAnsi="Times New Roman" w:cs="Times New Roman"/>
          <w:color w:val="000000" w:themeColor="text1"/>
          <w:szCs w:val="22"/>
          <w14:ligatures w14:val="none"/>
        </w:rPr>
        <w:t>) references to the U.S. (the U.S. or Washington) and China (China or Beijing), (ii) sensitive topics in bilateral relations, and (iii) keyword combinations reflecting tension (the proportion of articles in which the word “tension” appears within ten words before or after “</w:t>
      </w:r>
      <w:proofErr w:type="spellStart"/>
      <w:r w:rsidRPr="00C666FA">
        <w:rPr>
          <w:rFonts w:ascii="Times New Roman" w:eastAsia="仿宋" w:hAnsi="Times New Roman" w:cs="Times New Roman"/>
          <w:color w:val="000000" w:themeColor="text1"/>
          <w:szCs w:val="22"/>
          <w14:ligatures w14:val="none"/>
        </w:rPr>
        <w:t>china</w:t>
      </w:r>
      <w:proofErr w:type="spellEnd"/>
      <w:r w:rsidRPr="00C666FA">
        <w:rPr>
          <w:rFonts w:ascii="Times New Roman" w:eastAsia="仿宋" w:hAnsi="Times New Roman" w:cs="Times New Roman"/>
          <w:color w:val="000000" w:themeColor="text1"/>
          <w:szCs w:val="22"/>
          <w14:ligatures w14:val="none"/>
        </w:rPr>
        <w:t>”</w:t>
      </w:r>
      <w:r w:rsidR="00E9354B" w:rsidRPr="00C666FA">
        <w:rPr>
          <w:rFonts w:ascii="Times New Roman" w:eastAsia="仿宋" w:hAnsi="Times New Roman" w:cs="Times New Roman"/>
          <w:color w:val="000000" w:themeColor="text1"/>
          <w:szCs w:val="22"/>
          <w14:ligatures w14:val="none"/>
        </w:rPr>
        <w:t>,</w:t>
      </w:r>
      <w:r w:rsidRPr="00C666FA">
        <w:rPr>
          <w:rFonts w:ascii="Times New Roman" w:eastAsia="仿宋" w:hAnsi="Times New Roman" w:cs="Times New Roman"/>
          <w:color w:val="000000" w:themeColor="text1"/>
          <w:szCs w:val="22"/>
          <w14:ligatures w14:val="none"/>
        </w:rPr>
        <w:t xml:space="preserve"> “Chinese”</w:t>
      </w:r>
      <w:r w:rsidR="00E9354B" w:rsidRPr="00C666FA">
        <w:rPr>
          <w:rFonts w:ascii="Times New Roman" w:eastAsia="仿宋" w:hAnsi="Times New Roman" w:cs="Times New Roman"/>
          <w:color w:val="000000" w:themeColor="text1"/>
          <w:szCs w:val="22"/>
          <w14:ligatures w14:val="none"/>
        </w:rPr>
        <w:t>,</w:t>
      </w:r>
      <w:r w:rsidRPr="00C666FA">
        <w:rPr>
          <w:rFonts w:ascii="Times New Roman" w:eastAsia="仿宋" w:hAnsi="Times New Roman" w:cs="Times New Roman"/>
          <w:color w:val="000000" w:themeColor="text1"/>
          <w:szCs w:val="22"/>
          <w14:ligatures w14:val="none"/>
        </w:rPr>
        <w:t xml:space="preserve"> or “Beijing”).</w:t>
      </w:r>
    </w:p>
    <w:p w14:paraId="6BB6660B" w14:textId="77777777" w:rsidR="006A0BB4" w:rsidRPr="00C666FA" w:rsidRDefault="00D802DE" w:rsidP="00D802DE">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To enhance identification accuracy, the research team combined K-means clustering, guided latent document association (guided LDA), and </w:t>
      </w:r>
      <w:proofErr w:type="spellStart"/>
      <w:r w:rsidRPr="00C666FA">
        <w:rPr>
          <w:rFonts w:ascii="Times New Roman" w:eastAsia="仿宋" w:hAnsi="Times New Roman" w:cs="Times New Roman"/>
          <w:color w:val="000000" w:themeColor="text1"/>
          <w:szCs w:val="22"/>
          <w14:ligatures w14:val="none"/>
        </w:rPr>
        <w:t>Newsmap</w:t>
      </w:r>
      <w:proofErr w:type="spellEnd"/>
      <w:r w:rsidRPr="00C666FA">
        <w:rPr>
          <w:rFonts w:ascii="Times New Roman" w:eastAsia="仿宋" w:hAnsi="Times New Roman" w:cs="Times New Roman"/>
          <w:color w:val="000000" w:themeColor="text1"/>
          <w:szCs w:val="22"/>
          <w14:ligatures w14:val="none"/>
        </w:rPr>
        <w:t xml:space="preserve"> machine learning algorithms to extract potential related keywords from </w:t>
      </w:r>
      <w:proofErr w:type="gramStart"/>
      <w:r w:rsidRPr="00C666FA">
        <w:rPr>
          <w:rFonts w:ascii="Times New Roman" w:eastAsia="仿宋" w:hAnsi="Times New Roman" w:cs="Times New Roman"/>
          <w:color w:val="000000" w:themeColor="text1"/>
          <w:szCs w:val="22"/>
          <w14:ligatures w14:val="none"/>
        </w:rPr>
        <w:t>a large number of</w:t>
      </w:r>
      <w:proofErr w:type="gramEnd"/>
      <w:r w:rsidRPr="00C666FA">
        <w:rPr>
          <w:rFonts w:ascii="Times New Roman" w:eastAsia="仿宋" w:hAnsi="Times New Roman" w:cs="Times New Roman"/>
          <w:color w:val="000000" w:themeColor="text1"/>
          <w:szCs w:val="22"/>
          <w14:ligatures w14:val="none"/>
        </w:rPr>
        <w:t xml:space="preserve"> manually annotated sample texts, thereby constructing an index that can dynamically capture changes in U.S.-China tensions.</w:t>
      </w:r>
      <w:r w:rsidRPr="00C666FA">
        <w:rPr>
          <w:rFonts w:ascii="Times New Roman" w:eastAsia="仿宋" w:hAnsi="Times New Roman" w:cs="Times New Roman" w:hint="eastAsia"/>
          <w:color w:val="000000" w:themeColor="text1"/>
          <w:szCs w:val="22"/>
          <w14:ligatures w14:val="none"/>
        </w:rPr>
        <w:t xml:space="preserve"> </w:t>
      </w:r>
      <w:r w:rsidRPr="00C666FA">
        <w:rPr>
          <w:rFonts w:ascii="Times New Roman" w:eastAsia="仿宋" w:hAnsi="Times New Roman" w:cs="Times New Roman"/>
          <w:color w:val="000000" w:themeColor="text1"/>
          <w:szCs w:val="22"/>
          <w14:ligatures w14:val="none"/>
        </w:rPr>
        <w:t>Compared to traditional geopolitical risk indices or economic policy uncertainty indices, the UCT places greater emphasis on the conflictual and sensitive dimensions specific to bilateral relations, thereby offering higher resolution and timeliness in identifying structural geopolitical frictions and event-driven market reactions.</w:t>
      </w:r>
    </w:p>
    <w:tbl>
      <w:tblPr>
        <w:tblStyle w:val="af0"/>
        <w:tblW w:w="0" w:type="auto"/>
        <w:tblLook w:val="04A0" w:firstRow="1" w:lastRow="0" w:firstColumn="1" w:lastColumn="0" w:noHBand="0" w:noVBand="1"/>
      </w:tblPr>
      <w:tblGrid>
        <w:gridCol w:w="9514"/>
      </w:tblGrid>
      <w:tr w:rsidR="00C666FA" w:rsidRPr="00C666FA" w14:paraId="71BCD834" w14:textId="77777777" w:rsidTr="006D67A4">
        <w:tc>
          <w:tcPr>
            <w:tcW w:w="9514" w:type="dxa"/>
            <w:tcBorders>
              <w:top w:val="nil"/>
              <w:left w:val="nil"/>
              <w:bottom w:val="nil"/>
              <w:right w:val="nil"/>
            </w:tcBorders>
            <w:vAlign w:val="center"/>
          </w:tcPr>
          <w:p w14:paraId="4F75B566" w14:textId="77777777" w:rsidR="006A0BB4" w:rsidRPr="00C666FA" w:rsidRDefault="006A0BB4" w:rsidP="006D67A4">
            <w:pPr>
              <w:spacing w:before="120" w:after="120" w:line="360" w:lineRule="auto"/>
              <w:contextualSpacing/>
              <w:jc w:val="center"/>
              <w:rPr>
                <w:rFonts w:ascii="Times New Roman" w:eastAsia="仿宋" w:hAnsi="Times New Roman" w:cs="Times New Roman"/>
                <w:color w:val="000000" w:themeColor="text1"/>
                <w:szCs w:val="22"/>
                <w14:ligatures w14:val="none"/>
              </w:rPr>
            </w:pPr>
            <w:r w:rsidRPr="00C666FA">
              <w:rPr>
                <w:rFonts w:ascii="Times New Roman" w:hAnsi="Times New Roman" w:cs="Times New Roman" w:hint="eastAsia"/>
                <w:noProof/>
                <w:color w:val="000000" w:themeColor="text1"/>
                <w:szCs w:val="22"/>
              </w:rPr>
              <w:drawing>
                <wp:inline distT="0" distB="0" distL="0" distR="0" wp14:anchorId="3026B784" wp14:editId="585B21F6">
                  <wp:extent cx="4860000" cy="2430000"/>
                  <wp:effectExtent l="0" t="0" r="4445" b="0"/>
                  <wp:docPr id="765950286"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50286" name="图片 1" descr="图表, 折线图&#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60000" cy="2430000"/>
                          </a:xfrm>
                          <a:prstGeom prst="rect">
                            <a:avLst/>
                          </a:prstGeom>
                        </pic:spPr>
                      </pic:pic>
                    </a:graphicData>
                  </a:graphic>
                </wp:inline>
              </w:drawing>
            </w:r>
          </w:p>
        </w:tc>
      </w:tr>
      <w:tr w:rsidR="00C666FA" w:rsidRPr="00C666FA" w14:paraId="655605BB" w14:textId="77777777" w:rsidTr="006D67A4">
        <w:tc>
          <w:tcPr>
            <w:tcW w:w="9514" w:type="dxa"/>
            <w:tcBorders>
              <w:top w:val="nil"/>
              <w:left w:val="nil"/>
              <w:bottom w:val="nil"/>
              <w:right w:val="nil"/>
            </w:tcBorders>
          </w:tcPr>
          <w:p w14:paraId="74BF2E09" w14:textId="77777777" w:rsidR="006A0BB4" w:rsidRPr="00C666FA" w:rsidRDefault="006A0BB4" w:rsidP="006D67A4">
            <w:pPr>
              <w:jc w:val="center"/>
              <w:rPr>
                <w:rFonts w:ascii="Times New Roman" w:eastAsia="仿宋" w:hAnsi="Times New Roman" w:cs="Times New Roman"/>
                <w:color w:val="000000" w:themeColor="text1"/>
                <w:sz w:val="18"/>
                <w:szCs w:val="18"/>
              </w:rPr>
            </w:pPr>
            <w:r w:rsidRPr="00C666FA">
              <w:rPr>
                <w:rFonts w:ascii="Times New Roman" w:eastAsia="仿宋" w:hAnsi="Times New Roman" w:cs="Times New Roman"/>
                <w:color w:val="000000" w:themeColor="text1"/>
                <w:sz w:val="18"/>
                <w:szCs w:val="18"/>
              </w:rPr>
              <w:t>Figure 2.</w:t>
            </w:r>
            <w:r w:rsidRPr="00C666FA">
              <w:rPr>
                <w:rFonts w:ascii="Times New Roman" w:eastAsia="仿宋" w:hAnsi="Times New Roman" w:cs="Times New Roman" w:hint="eastAsia"/>
                <w:color w:val="000000" w:themeColor="text1"/>
                <w:sz w:val="18"/>
                <w:szCs w:val="18"/>
              </w:rPr>
              <w:t xml:space="preserve"> </w:t>
            </w:r>
            <w:r w:rsidRPr="00C666FA">
              <w:rPr>
                <w:rFonts w:ascii="Times New Roman" w:eastAsia="仿宋" w:hAnsi="Times New Roman" w:cs="Times New Roman"/>
                <w:color w:val="000000" w:themeColor="text1"/>
                <w:sz w:val="18"/>
                <w:szCs w:val="18"/>
              </w:rPr>
              <w:t>UCT Index</w:t>
            </w:r>
          </w:p>
        </w:tc>
      </w:tr>
    </w:tbl>
    <w:p w14:paraId="5CFCDE7B" w14:textId="6EF4A58B" w:rsidR="00E9354B" w:rsidRPr="00C666FA" w:rsidRDefault="00564B74" w:rsidP="00564B74">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This </w:t>
      </w:r>
      <w:r w:rsidRPr="00C666FA">
        <w:rPr>
          <w:rFonts w:ascii="Times New Roman" w:eastAsia="仿宋" w:hAnsi="Times New Roman" w:cs="Times New Roman" w:hint="eastAsia"/>
          <w:color w:val="000000" w:themeColor="text1"/>
          <w:szCs w:val="22"/>
          <w14:ligatures w14:val="none"/>
        </w:rPr>
        <w:t>is evident</w:t>
      </w:r>
      <w:r w:rsidRPr="00C666FA">
        <w:rPr>
          <w:rFonts w:ascii="Times New Roman" w:eastAsia="仿宋" w:hAnsi="Times New Roman" w:cs="Times New Roman"/>
          <w:color w:val="000000" w:themeColor="text1"/>
          <w:szCs w:val="22"/>
          <w14:ligatures w14:val="none"/>
        </w:rPr>
        <w:t xml:space="preserve"> from Figure 2, which shows that the index rose significantly during several key events. For example, the bombing of the U.S. Embassy in Belgrade (1999), the mid-air collision between a U.S. military plane and a Chinese passenger plane over Hainan Island (2001),</w:t>
      </w:r>
      <w:r w:rsidRPr="00C666FA">
        <w:rPr>
          <w:rFonts w:ascii="Times New Roman" w:eastAsia="仿宋" w:hAnsi="Times New Roman" w:cs="Times New Roman" w:hint="eastAsia"/>
          <w:color w:val="000000" w:themeColor="text1"/>
          <w:szCs w:val="22"/>
          <w14:ligatures w14:val="none"/>
        </w:rPr>
        <w:t xml:space="preserve"> </w:t>
      </w:r>
      <w:r w:rsidRPr="00C666FA">
        <w:rPr>
          <w:rFonts w:ascii="Times New Roman" w:eastAsia="仿宋" w:hAnsi="Times New Roman" w:cs="Times New Roman"/>
          <w:color w:val="000000" w:themeColor="text1"/>
          <w:szCs w:val="22"/>
          <w14:ligatures w14:val="none"/>
        </w:rPr>
        <w:t xml:space="preserve">China becoming the largest foreign creditor of the United States and separatist unrest in Tibet and Xinjiang (2008), the United States issuing warnings to China </w:t>
      </w:r>
      <w:r w:rsidRPr="00C666FA">
        <w:rPr>
          <w:rFonts w:ascii="Times New Roman" w:eastAsia="仿宋" w:hAnsi="Times New Roman" w:cs="Times New Roman"/>
          <w:color w:val="000000" w:themeColor="text1"/>
          <w:szCs w:val="22"/>
          <w14:ligatures w14:val="none"/>
        </w:rPr>
        <w:lastRenderedPageBreak/>
        <w:t>over the South China Sea issue (2015), the United States imposing additional tariffs on China (2019), mutual accusations between China and the United States triggered by the outbreak of the COVID-19 pandemic (early 2020), and the outbreak of the Russia-Ukraine war (2022), among other events, the index experienced varying degrees of upward movement.</w:t>
      </w:r>
    </w:p>
    <w:p w14:paraId="527498B0" w14:textId="42C3F079" w:rsidR="00D802DE" w:rsidRPr="00C666FA" w:rsidRDefault="00564B74"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Additionally, </w:t>
      </w:r>
      <w:r w:rsidR="00E578CE" w:rsidRPr="00C666FA">
        <w:rPr>
          <w:rFonts w:ascii="Times New Roman" w:eastAsia="仿宋" w:hAnsi="Times New Roman" w:cs="Times New Roman"/>
          <w:color w:val="000000" w:themeColor="text1"/>
          <w:szCs w:val="22"/>
          <w14:ligatures w14:val="none"/>
        </w:rPr>
        <w:fldChar w:fldCharType="begin"/>
      </w:r>
      <w:r w:rsidR="00E578CE" w:rsidRPr="00C666FA">
        <w:rPr>
          <w:rFonts w:ascii="Times New Roman" w:eastAsia="仿宋" w:hAnsi="Times New Roman" w:cs="Times New Roman"/>
          <w:color w:val="000000" w:themeColor="text1"/>
          <w:szCs w:val="22"/>
          <w14:ligatures w14:val="none"/>
        </w:rPr>
        <w:instrText xml:space="preserve"> ADDIN EN.CITE &lt;EndNote&gt;&lt;Cite AuthorYear="1"&gt;&lt;Author&gt;Rogers&lt;/Author&gt;&lt;Year&gt;2024&lt;/Year&gt;&lt;RecNum&gt;588&lt;/RecNum&gt;&lt;DisplayText&gt;Rogers et al. (2024)&lt;/DisplayText&gt;&lt;record&gt;&lt;rec-number&gt;588&lt;/rec-number&gt;&lt;foreign-keys&gt;&lt;key app="EN" db-id="dvsp2e2z3a9fzpezr9n5pp2lw9tf5rvzrx9x" timestamp="1751249070"&gt;588&lt;/key&gt;&lt;/foreign-keys&gt;&lt;ref-type name="Journal Article"&gt;17&lt;/ref-type&gt;&lt;contributors&gt;&lt;authors&gt;&lt;author&gt;Rogers, John H&lt;/author&gt;&lt;author&gt;Sun, Bo&lt;/author&gt;&lt;author&gt;Sun, Tony&lt;/author&gt;&lt;/authors&gt;&lt;/contributors&gt;&lt;titles&gt;&lt;title&gt;US-China tension&lt;/title&gt;&lt;secondary-title&gt;Available at SSRN 4815838&lt;/secondary-title&gt;&lt;/titles&gt;&lt;periodical&gt;&lt;full-title&gt;Available at SSRN 4815838&lt;/full-title&gt;&lt;/periodical&gt;&lt;dates&gt;&lt;year&gt;2024&lt;/year&gt;&lt;/dates&gt;&lt;urls&gt;&lt;/urls&gt;&lt;/record&gt;&lt;/Cite&gt;&lt;/EndNote&gt;</w:instrText>
      </w:r>
      <w:r w:rsidR="00E578CE" w:rsidRPr="00C666FA">
        <w:rPr>
          <w:rFonts w:ascii="Times New Roman" w:eastAsia="仿宋" w:hAnsi="Times New Roman" w:cs="Times New Roman"/>
          <w:color w:val="000000" w:themeColor="text1"/>
          <w:szCs w:val="22"/>
          <w14:ligatures w14:val="none"/>
        </w:rPr>
        <w:fldChar w:fldCharType="separate"/>
      </w:r>
      <w:r w:rsidR="00E578CE" w:rsidRPr="00C666FA">
        <w:rPr>
          <w:rFonts w:ascii="Times New Roman" w:eastAsia="仿宋" w:hAnsi="Times New Roman" w:cs="Times New Roman"/>
          <w:noProof/>
          <w:color w:val="000000" w:themeColor="text1"/>
          <w:szCs w:val="22"/>
          <w14:ligatures w14:val="none"/>
        </w:rPr>
        <w:t>Rogers et al. (2024)</w:t>
      </w:r>
      <w:r w:rsidR="00E578CE" w:rsidRPr="00C666FA">
        <w:rPr>
          <w:rFonts w:ascii="Times New Roman" w:eastAsia="仿宋" w:hAnsi="Times New Roman" w:cs="Times New Roman"/>
          <w:color w:val="000000" w:themeColor="text1"/>
          <w:szCs w:val="22"/>
          <w14:ligatures w14:val="none"/>
        </w:rPr>
        <w:fldChar w:fldCharType="end"/>
      </w:r>
      <w:r w:rsidRPr="00C666FA">
        <w:rPr>
          <w:rFonts w:ascii="Times New Roman" w:eastAsia="仿宋" w:hAnsi="Times New Roman" w:cs="Times New Roman"/>
          <w:color w:val="000000" w:themeColor="text1"/>
          <w:szCs w:val="22"/>
          <w14:ligatures w14:val="none"/>
        </w:rPr>
        <w:t xml:space="preserve"> empirically found that an increase in the UCT index significantly suppressed the excess returns of U.S. companies with exposure to China, indicating that the index has been incorporated into investors' pricing considerations and possesses significant practical influence and explanatory power, thereby validating its substantive impact at the corporate level.</w:t>
      </w:r>
    </w:p>
    <w:p w14:paraId="711B191B" w14:textId="113D5341" w:rsidR="00342CF1" w:rsidRPr="00C666FA" w:rsidRDefault="00342CF1" w:rsidP="00342CF1">
      <w:pPr>
        <w:spacing w:before="120" w:after="120" w:line="360" w:lineRule="auto"/>
        <w:ind w:firstLineChars="200" w:firstLine="440"/>
        <w:contextualSpacing/>
        <w:jc w:val="both"/>
        <w:rPr>
          <w:rFonts w:ascii="Times New Roman" w:eastAsia="仿宋" w:hAnsi="Times New Roman" w:cs="Times New Roman"/>
          <w:color w:val="000000" w:themeColor="text1"/>
          <w:szCs w:val="22"/>
          <w14:ligatures w14:val="none"/>
        </w:rPr>
      </w:pPr>
      <w:bookmarkStart w:id="4" w:name="OLE_LINK152"/>
      <w:r w:rsidRPr="00C666FA">
        <w:rPr>
          <w:rFonts w:ascii="Times New Roman" w:eastAsia="仿宋" w:hAnsi="Times New Roman" w:cs="Times New Roman"/>
          <w:color w:val="000000" w:themeColor="text1"/>
          <w:szCs w:val="22"/>
          <w14:ligatures w14:val="none"/>
        </w:rPr>
        <w:t>Considering data availability, the sample period</w:t>
      </w:r>
      <w:r w:rsidR="00564B74" w:rsidRPr="00C666FA">
        <w:rPr>
          <w:rFonts w:ascii="Times New Roman" w:eastAsia="仿宋" w:hAnsi="Times New Roman" w:cs="Times New Roman" w:hint="eastAsia"/>
          <w:color w:val="000000" w:themeColor="text1"/>
          <w:szCs w:val="22"/>
          <w14:ligatures w14:val="none"/>
        </w:rPr>
        <w:t xml:space="preserve"> of this study</w:t>
      </w:r>
      <w:r w:rsidRPr="00C666FA">
        <w:rPr>
          <w:rFonts w:ascii="Times New Roman" w:eastAsia="仿宋" w:hAnsi="Times New Roman" w:cs="Times New Roman" w:hint="eastAsia"/>
          <w:color w:val="000000" w:themeColor="text1"/>
          <w:szCs w:val="22"/>
          <w14:ligatures w14:val="none"/>
        </w:rPr>
        <w:t xml:space="preserve"> </w:t>
      </w:r>
      <w:r w:rsidRPr="00C666FA">
        <w:rPr>
          <w:rFonts w:ascii="Times New Roman" w:eastAsia="仿宋" w:hAnsi="Times New Roman" w:cs="Times New Roman"/>
          <w:color w:val="000000" w:themeColor="text1"/>
          <w:szCs w:val="22"/>
          <w14:ligatures w14:val="none"/>
        </w:rPr>
        <w:t xml:space="preserve">is set from February 1, 1993, to February 29, 2024. The daily returns of the SPX and IXIC indices are calculated as logarithmic returns and multiplied by 100. Similarly, the UCT index is taken as the first difference of the logarithmic value and amplified by 100 to measure its rate of change. The trend of UCT is shown in Figure </w:t>
      </w:r>
      <w:r w:rsidR="00E9354B" w:rsidRPr="00C666FA">
        <w:rPr>
          <w:rFonts w:ascii="Times New Roman" w:eastAsia="仿宋" w:hAnsi="Times New Roman" w:cs="Times New Roman"/>
          <w:color w:val="000000" w:themeColor="text1"/>
          <w:szCs w:val="22"/>
          <w14:ligatures w14:val="none"/>
        </w:rPr>
        <w:t>3</w:t>
      </w:r>
      <w:r w:rsidRPr="00C666FA">
        <w:rPr>
          <w:rFonts w:ascii="Times New Roman" w:eastAsia="仿宋" w:hAnsi="Times New Roman" w:cs="Times New Roman"/>
          <w:color w:val="000000" w:themeColor="text1"/>
          <w:szCs w:val="22"/>
          <w14:ligatures w14:val="none"/>
        </w:rPr>
        <w:t>.</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2"/>
      </w:tblGrid>
      <w:tr w:rsidR="00C666FA" w:rsidRPr="00C666FA" w14:paraId="6C1060DF" w14:textId="77777777" w:rsidTr="006D67A4">
        <w:trPr>
          <w:jc w:val="center"/>
        </w:trPr>
        <w:tc>
          <w:tcPr>
            <w:tcW w:w="5000" w:type="pct"/>
            <w:vAlign w:val="center"/>
          </w:tcPr>
          <w:bookmarkEnd w:id="4"/>
          <w:p w14:paraId="379F0F07" w14:textId="77777777" w:rsidR="00342CF1" w:rsidRPr="00C666FA" w:rsidRDefault="00342CF1" w:rsidP="006D67A4">
            <w:pPr>
              <w:jc w:val="center"/>
              <w:rPr>
                <w:strike/>
                <w:color w:val="000000" w:themeColor="text1"/>
              </w:rPr>
            </w:pPr>
            <w:r w:rsidRPr="00C666FA">
              <w:rPr>
                <w:strike/>
                <w:noProof/>
                <w:color w:val="000000" w:themeColor="text1"/>
              </w:rPr>
              <w:drawing>
                <wp:inline distT="0" distB="0" distL="0" distR="0" wp14:anchorId="25196ED8" wp14:editId="1DEB089A">
                  <wp:extent cx="4860000" cy="2483216"/>
                  <wp:effectExtent l="0" t="0" r="4445" b="6350"/>
                  <wp:docPr id="1640425743"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25743" name="图片 3" descr="图表&#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60000" cy="2483216"/>
                          </a:xfrm>
                          <a:prstGeom prst="rect">
                            <a:avLst/>
                          </a:prstGeom>
                        </pic:spPr>
                      </pic:pic>
                    </a:graphicData>
                  </a:graphic>
                </wp:inline>
              </w:drawing>
            </w:r>
          </w:p>
        </w:tc>
      </w:tr>
      <w:tr w:rsidR="00C666FA" w:rsidRPr="00C666FA" w14:paraId="6E4771E2" w14:textId="77777777" w:rsidTr="006D67A4">
        <w:trPr>
          <w:trHeight w:val="493"/>
          <w:jc w:val="center"/>
        </w:trPr>
        <w:tc>
          <w:tcPr>
            <w:tcW w:w="5000" w:type="pct"/>
            <w:vAlign w:val="center"/>
          </w:tcPr>
          <w:p w14:paraId="4B614957" w14:textId="1B77FEE3" w:rsidR="00342CF1" w:rsidRPr="00C666FA" w:rsidRDefault="00342CF1" w:rsidP="006D67A4">
            <w:pPr>
              <w:jc w:val="center"/>
              <w:rPr>
                <w:strike/>
                <w:color w:val="000000" w:themeColor="text1"/>
              </w:rPr>
            </w:pPr>
            <w:bookmarkStart w:id="5" w:name="OLE_LINK145"/>
            <w:r w:rsidRPr="00C666FA">
              <w:rPr>
                <w:rFonts w:ascii="Times New Roman" w:eastAsia="仿宋" w:hAnsi="Times New Roman" w:cs="Times New Roman"/>
                <w:color w:val="000000" w:themeColor="text1"/>
                <w:sz w:val="18"/>
                <w:szCs w:val="18"/>
              </w:rPr>
              <w:t xml:space="preserve">Figure </w:t>
            </w:r>
            <w:r w:rsidR="00E9354B" w:rsidRPr="00C666FA">
              <w:rPr>
                <w:rFonts w:ascii="Times New Roman" w:eastAsia="仿宋" w:hAnsi="Times New Roman" w:cs="Times New Roman"/>
                <w:color w:val="000000" w:themeColor="text1"/>
                <w:sz w:val="18"/>
                <w:szCs w:val="18"/>
              </w:rPr>
              <w:t>3</w:t>
            </w:r>
            <w:r w:rsidRPr="00C666FA">
              <w:rPr>
                <w:rFonts w:ascii="Times New Roman" w:eastAsia="仿宋" w:hAnsi="Times New Roman" w:cs="Times New Roman"/>
                <w:color w:val="000000" w:themeColor="text1"/>
                <w:sz w:val="18"/>
                <w:szCs w:val="18"/>
              </w:rPr>
              <w:t>.</w:t>
            </w:r>
            <w:bookmarkEnd w:id="5"/>
            <w:r w:rsidRPr="00C666FA">
              <w:rPr>
                <w:rFonts w:ascii="Times New Roman" w:eastAsia="仿宋" w:hAnsi="Times New Roman" w:cs="Times New Roman"/>
                <w:color w:val="000000" w:themeColor="text1"/>
                <w:sz w:val="18"/>
                <w:szCs w:val="18"/>
              </w:rPr>
              <w:t xml:space="preserve"> UCT </w:t>
            </w:r>
            <w:r w:rsidRPr="00C666FA">
              <w:rPr>
                <w:rFonts w:ascii="Times New Roman" w:eastAsia="仿宋" w:hAnsi="Times New Roman" w:cs="Times New Roman" w:hint="eastAsia"/>
                <w:color w:val="000000" w:themeColor="text1"/>
                <w:sz w:val="18"/>
                <w:szCs w:val="18"/>
              </w:rPr>
              <w:t>rate of change</w:t>
            </w:r>
          </w:p>
        </w:tc>
      </w:tr>
    </w:tbl>
    <w:p w14:paraId="56636471" w14:textId="3F05E8A1" w:rsidR="00B36226" w:rsidRPr="00C666FA" w:rsidRDefault="00342CF1" w:rsidP="00C90E1A">
      <w:pPr>
        <w:spacing w:before="120" w:after="360" w:line="360" w:lineRule="auto"/>
        <w:ind w:firstLineChars="200" w:firstLine="440"/>
        <w:contextualSpacing/>
        <w:jc w:val="both"/>
        <w:rPr>
          <w:rFonts w:ascii="Times New Roman" w:eastAsia="仿宋" w:hAnsi="Times New Roman" w:cs="Times New Roman"/>
          <w:color w:val="000000" w:themeColor="text1"/>
          <w:szCs w:val="22"/>
          <w14:ligatures w14:val="none"/>
        </w:rPr>
      </w:pPr>
      <w:r w:rsidRPr="00C666FA">
        <w:rPr>
          <w:rFonts w:ascii="Times New Roman" w:eastAsia="仿宋" w:hAnsi="Times New Roman" w:cs="Times New Roman"/>
          <w:color w:val="000000" w:themeColor="text1"/>
          <w:szCs w:val="22"/>
          <w14:ligatures w14:val="none"/>
        </w:rPr>
        <w:t xml:space="preserve">Table </w:t>
      </w:r>
      <w:r w:rsidR="00121E14">
        <w:rPr>
          <w:rFonts w:ascii="Times New Roman" w:eastAsia="仿宋" w:hAnsi="Times New Roman" w:cs="Times New Roman" w:hint="eastAsia"/>
          <w:color w:val="000000" w:themeColor="text1"/>
          <w:szCs w:val="22"/>
          <w14:ligatures w14:val="none"/>
        </w:rPr>
        <w:t>A</w:t>
      </w:r>
      <w:r w:rsidRPr="00C666FA">
        <w:rPr>
          <w:rFonts w:ascii="Times New Roman" w:eastAsia="仿宋" w:hAnsi="Times New Roman" w:cs="Times New Roman" w:hint="eastAsia"/>
          <w:color w:val="000000" w:themeColor="text1"/>
          <w:szCs w:val="22"/>
          <w14:ligatures w14:val="none"/>
        </w:rPr>
        <w:t>1</w:t>
      </w:r>
      <w:r w:rsidRPr="00C666FA">
        <w:rPr>
          <w:rFonts w:ascii="Times New Roman" w:eastAsia="仿宋" w:hAnsi="Times New Roman" w:cs="Times New Roman"/>
          <w:color w:val="000000" w:themeColor="text1"/>
          <w:szCs w:val="22"/>
          <w14:ligatures w14:val="none"/>
        </w:rPr>
        <w:t xml:space="preserve"> presents the descriptive statistics of the daily returns of the two major U.S. stock markets and the UCT indicator. The results show that the mean daily returns of SPX and IXIC are 0.031 and 0.040, respectively, with standard deviations of 1.170 and 1.505, indicating that the Nasdaq, which is dominated by technology stocks, exhibits higher volatility. Among the realized volatility indicators, </w:t>
      </w:r>
      <m:oMath>
        <m:r>
          <w:rPr>
            <w:rFonts w:ascii="Cambria Math" w:eastAsia="仿宋" w:hAnsi="Cambria Math" w:cs="Times New Roman"/>
            <w:color w:val="000000" w:themeColor="text1"/>
            <w:szCs w:val="22"/>
            <w14:ligatures w14:val="none"/>
          </w:rPr>
          <m:t>R</m:t>
        </m:r>
        <m:sSub>
          <m:sSubPr>
            <m:ctrlPr>
              <w:rPr>
                <w:rFonts w:ascii="Cambria Math" w:eastAsia="仿宋" w:hAnsi="Cambria Math" w:cs="Times New Roman"/>
                <w:color w:val="000000" w:themeColor="text1"/>
                <w:szCs w:val="22"/>
                <w14:ligatures w14:val="none"/>
              </w:rPr>
            </m:ctrlPr>
          </m:sSubPr>
          <m:e>
            <m:r>
              <w:rPr>
                <w:rFonts w:ascii="Cambria Math" w:eastAsia="仿宋" w:hAnsi="Cambria Math" w:cs="Times New Roman"/>
                <w:color w:val="000000" w:themeColor="text1"/>
                <w:szCs w:val="22"/>
                <w14:ligatures w14:val="none"/>
              </w:rPr>
              <m:t>V</m:t>
            </m:r>
          </m:e>
          <m:sub>
            <m:r>
              <w:rPr>
                <w:rFonts w:ascii="Cambria Math" w:eastAsia="仿宋" w:hAnsi="Cambria Math" w:cs="Times New Roman"/>
                <w:color w:val="000000" w:themeColor="text1"/>
                <w:szCs w:val="22"/>
                <w14:ligatures w14:val="none"/>
              </w:rPr>
              <m:t>SPX</m:t>
            </m:r>
          </m:sub>
        </m:sSub>
      </m:oMath>
      <w:r w:rsidRPr="00C666FA">
        <w:rPr>
          <w:rFonts w:ascii="Times New Roman" w:eastAsia="仿宋" w:hAnsi="Times New Roman" w:cs="Times New Roman"/>
          <w:color w:val="000000" w:themeColor="text1"/>
          <w:szCs w:val="22"/>
          <w14:ligatures w14:val="none"/>
        </w:rPr>
        <w:t xml:space="preserve"> is lower overall </w:t>
      </w:r>
      <w:proofErr w:type="gramStart"/>
      <w:r w:rsidRPr="00C666FA">
        <w:rPr>
          <w:rFonts w:ascii="Times New Roman" w:eastAsia="仿宋" w:hAnsi="Times New Roman" w:cs="Times New Roman"/>
          <w:color w:val="000000" w:themeColor="text1"/>
          <w:szCs w:val="22"/>
          <w14:ligatures w14:val="none"/>
        </w:rPr>
        <w:t>than</w:t>
      </w:r>
      <w:r w:rsidRPr="00C666FA">
        <w:rPr>
          <w:rFonts w:ascii="Times New Roman" w:eastAsia="仿宋" w:hAnsi="Times New Roman" w:cs="Times New Roman" w:hint="eastAsia"/>
          <w:color w:val="000000" w:themeColor="text1"/>
          <w:szCs w:val="22"/>
          <w14:ligatures w14:val="none"/>
        </w:rPr>
        <w:t>,</w:t>
      </w:r>
      <w:r w:rsidRPr="00C666FA">
        <w:rPr>
          <w:rFonts w:ascii="Times New Roman" w:eastAsia="仿宋" w:hAnsi="Times New Roman" w:cs="Times New Roman"/>
          <w:color w:val="000000" w:themeColor="text1"/>
          <w:szCs w:val="22"/>
          <w14:ligatures w14:val="none"/>
        </w:rPr>
        <w:t xml:space="preserve"> but</w:t>
      </w:r>
      <w:proofErr w:type="gramEnd"/>
      <w:r w:rsidRPr="00C666FA">
        <w:rPr>
          <w:rFonts w:ascii="Times New Roman" w:eastAsia="仿宋" w:hAnsi="Times New Roman" w:cs="Times New Roman"/>
          <w:color w:val="000000" w:themeColor="text1"/>
          <w:szCs w:val="22"/>
          <w14:ligatures w14:val="none"/>
        </w:rPr>
        <w:t xml:space="preserve"> has higher kurtosis. The UCT index exhibits significant volatility. All series passed the ADF test, confirming the stationarity of the data. Both return series exhibit left-skewed peak characteristics, and the Jarque-Bera test significantly rejects the assumption of normal distribution, consistent with the typical distribution characteristics of financial time series.</w:t>
      </w:r>
    </w:p>
    <w:p w14:paraId="1B5C5D8A" w14:textId="417D2E81" w:rsidR="006A0BB4" w:rsidRPr="00C666FA" w:rsidRDefault="00C90E1A" w:rsidP="006A0BB4">
      <w:pPr>
        <w:pStyle w:val="4"/>
        <w:keepNext w:val="0"/>
        <w:keepLines w:val="0"/>
        <w:widowControl/>
        <w:spacing w:before="240" w:after="0" w:line="360" w:lineRule="auto"/>
        <w:rPr>
          <w:rFonts w:ascii="Palatino Linotype" w:hAnsi="Palatino Linotype"/>
          <w:b/>
          <w:snapToGrid w:val="0"/>
          <w:color w:val="000000" w:themeColor="text1"/>
          <w:kern w:val="0"/>
          <w:sz w:val="22"/>
          <w:szCs w:val="22"/>
          <w:lang w:bidi="en-US"/>
        </w:rPr>
      </w:pPr>
      <w:r w:rsidRPr="00C666FA">
        <w:rPr>
          <w:rFonts w:ascii="Palatino Linotype" w:hAnsi="Palatino Linotype"/>
          <w:b/>
          <w:snapToGrid w:val="0"/>
          <w:color w:val="000000" w:themeColor="text1"/>
          <w:kern w:val="0"/>
          <w:sz w:val="22"/>
          <w:szCs w:val="22"/>
          <w:lang w:bidi="en-US"/>
        </w:rPr>
        <w:lastRenderedPageBreak/>
        <w:t xml:space="preserve">Appendix </w:t>
      </w:r>
      <w:r w:rsidRPr="00C666FA">
        <w:rPr>
          <w:rFonts w:ascii="Palatino Linotype" w:hAnsi="Palatino Linotype" w:hint="eastAsia"/>
          <w:b/>
          <w:snapToGrid w:val="0"/>
          <w:color w:val="000000" w:themeColor="text1"/>
          <w:kern w:val="0"/>
          <w:sz w:val="22"/>
          <w:szCs w:val="22"/>
          <w:lang w:bidi="en-US"/>
        </w:rPr>
        <w:t>E</w:t>
      </w:r>
      <w:r w:rsidRPr="00C666FA">
        <w:rPr>
          <w:rFonts w:ascii="Palatino Linotype" w:hAnsi="Palatino Linotype"/>
          <w:b/>
          <w:snapToGrid w:val="0"/>
          <w:color w:val="000000" w:themeColor="text1"/>
          <w:kern w:val="0"/>
          <w:sz w:val="22"/>
          <w:szCs w:val="22"/>
          <w:lang w:bidi="en-US"/>
        </w:rPr>
        <w:t xml:space="preserve">: </w:t>
      </w:r>
      <w:r w:rsidRPr="00C666FA">
        <w:rPr>
          <w:rFonts w:ascii="Palatino Linotype" w:hAnsi="Palatino Linotype" w:hint="eastAsia"/>
          <w:b/>
          <w:snapToGrid w:val="0"/>
          <w:color w:val="000000" w:themeColor="text1"/>
          <w:kern w:val="0"/>
          <w:sz w:val="22"/>
          <w:szCs w:val="22"/>
          <w:lang w:bidi="en-US"/>
        </w:rPr>
        <w:t>Tables</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0"/>
        <w:gridCol w:w="998"/>
        <w:gridCol w:w="1000"/>
        <w:gridCol w:w="999"/>
        <w:gridCol w:w="1001"/>
        <w:gridCol w:w="833"/>
        <w:gridCol w:w="999"/>
        <w:gridCol w:w="1332"/>
        <w:gridCol w:w="1590"/>
      </w:tblGrid>
      <w:tr w:rsidR="00C666FA" w:rsidRPr="00C666FA" w14:paraId="62D54884" w14:textId="77777777" w:rsidTr="00005732">
        <w:tc>
          <w:tcPr>
            <w:tcW w:w="5000" w:type="pct"/>
            <w:gridSpan w:val="9"/>
            <w:tcBorders>
              <w:bottom w:val="single" w:sz="8" w:space="0" w:color="auto"/>
            </w:tcBorders>
          </w:tcPr>
          <w:bookmarkEnd w:id="0"/>
          <w:p w14:paraId="71158D29" w14:textId="60BA3583" w:rsidR="00005732" w:rsidRPr="00C666FA" w:rsidRDefault="00005732" w:rsidP="00C90E1A">
            <w:pPr>
              <w:widowControl/>
              <w:spacing w:before="240"/>
              <w:rPr>
                <w:rFonts w:ascii="Times New Roman" w:hAnsi="Times New Roman" w:cs="Times New Roman"/>
                <w:color w:val="000000" w:themeColor="text1"/>
                <w:sz w:val="18"/>
                <w:szCs w:val="18"/>
              </w:rPr>
            </w:pPr>
            <w:r w:rsidRPr="00C666FA">
              <w:rPr>
                <w:rFonts w:ascii="Times New Roman" w:hAnsi="Times New Roman" w:cs="Times New Roman"/>
                <w:b/>
                <w:bCs/>
                <w:color w:val="000000" w:themeColor="text1"/>
                <w:sz w:val="18"/>
                <w:szCs w:val="18"/>
              </w:rPr>
              <w:t xml:space="preserve">Table </w:t>
            </w:r>
            <w:r w:rsidR="00121E14">
              <w:rPr>
                <w:rFonts w:ascii="Times New Roman" w:hAnsi="Times New Roman" w:cs="Times New Roman" w:hint="eastAsia"/>
                <w:b/>
                <w:bCs/>
                <w:color w:val="000000" w:themeColor="text1"/>
                <w:sz w:val="18"/>
                <w:szCs w:val="18"/>
              </w:rPr>
              <w:t>A</w:t>
            </w:r>
            <w:r w:rsidRPr="00C666FA">
              <w:rPr>
                <w:rFonts w:ascii="Times New Roman" w:hAnsi="Times New Roman" w:cs="Times New Roman"/>
                <w:b/>
                <w:bCs/>
                <w:color w:val="000000" w:themeColor="text1"/>
                <w:sz w:val="18"/>
                <w:szCs w:val="18"/>
              </w:rPr>
              <w:t>1.</w:t>
            </w:r>
            <w:r w:rsidRPr="00C666FA">
              <w:rPr>
                <w:rFonts w:ascii="Times New Roman" w:hAnsi="Times New Roman" w:cs="Times New Roman"/>
                <w:color w:val="000000" w:themeColor="text1"/>
                <w:sz w:val="18"/>
                <w:szCs w:val="18"/>
              </w:rPr>
              <w:t xml:space="preserve"> </w:t>
            </w:r>
            <w:r w:rsidRPr="00C666FA">
              <w:rPr>
                <w:rFonts w:ascii="Times New Roman" w:eastAsia="仿宋" w:hAnsi="Times New Roman" w:cs="Times New Roman"/>
                <w:color w:val="000000" w:themeColor="text1"/>
                <w:sz w:val="18"/>
                <w:szCs w:val="18"/>
              </w:rPr>
              <w:t>Descriptive statistics</w:t>
            </w:r>
          </w:p>
        </w:tc>
      </w:tr>
      <w:tr w:rsidR="00C666FA" w:rsidRPr="00C666FA" w14:paraId="366848CC" w14:textId="77777777" w:rsidTr="00005732">
        <w:tc>
          <w:tcPr>
            <w:tcW w:w="513" w:type="pct"/>
            <w:tcBorders>
              <w:top w:val="single" w:sz="8" w:space="0" w:color="auto"/>
              <w:bottom w:val="single" w:sz="8" w:space="0" w:color="auto"/>
            </w:tcBorders>
          </w:tcPr>
          <w:p w14:paraId="2B4BDC14" w14:textId="77777777" w:rsidR="00005732" w:rsidRPr="00C666FA" w:rsidRDefault="00005732" w:rsidP="00DE31FA">
            <w:pPr>
              <w:widowControl/>
              <w:jc w:val="center"/>
              <w:rPr>
                <w:rFonts w:ascii="Times New Roman" w:hAnsi="Times New Roman" w:cs="Times New Roman"/>
                <w:color w:val="000000" w:themeColor="text1"/>
                <w:sz w:val="18"/>
                <w:szCs w:val="18"/>
              </w:rPr>
            </w:pPr>
          </w:p>
        </w:tc>
        <w:tc>
          <w:tcPr>
            <w:tcW w:w="512" w:type="pct"/>
            <w:tcBorders>
              <w:top w:val="single" w:sz="8" w:space="0" w:color="auto"/>
              <w:bottom w:val="single" w:sz="8" w:space="0" w:color="auto"/>
            </w:tcBorders>
          </w:tcPr>
          <w:p w14:paraId="1846A2DD"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Mean</w:t>
            </w:r>
          </w:p>
        </w:tc>
        <w:tc>
          <w:tcPr>
            <w:tcW w:w="513" w:type="pct"/>
            <w:tcBorders>
              <w:top w:val="single" w:sz="8" w:space="0" w:color="auto"/>
              <w:bottom w:val="single" w:sz="8" w:space="0" w:color="auto"/>
            </w:tcBorders>
          </w:tcPr>
          <w:p w14:paraId="68E2C995"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Max</w:t>
            </w:r>
          </w:p>
        </w:tc>
        <w:tc>
          <w:tcPr>
            <w:tcW w:w="512" w:type="pct"/>
            <w:tcBorders>
              <w:top w:val="single" w:sz="8" w:space="0" w:color="auto"/>
              <w:bottom w:val="single" w:sz="8" w:space="0" w:color="auto"/>
            </w:tcBorders>
          </w:tcPr>
          <w:p w14:paraId="5F5C360A"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Min</w:t>
            </w:r>
          </w:p>
        </w:tc>
        <w:tc>
          <w:tcPr>
            <w:tcW w:w="513" w:type="pct"/>
            <w:tcBorders>
              <w:top w:val="single" w:sz="8" w:space="0" w:color="auto"/>
              <w:bottom w:val="single" w:sz="8" w:space="0" w:color="auto"/>
            </w:tcBorders>
          </w:tcPr>
          <w:p w14:paraId="6F920076"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Std</w:t>
            </w:r>
          </w:p>
        </w:tc>
        <w:tc>
          <w:tcPr>
            <w:tcW w:w="427" w:type="pct"/>
            <w:tcBorders>
              <w:top w:val="single" w:sz="8" w:space="0" w:color="auto"/>
              <w:bottom w:val="single" w:sz="8" w:space="0" w:color="auto"/>
            </w:tcBorders>
          </w:tcPr>
          <w:p w14:paraId="4F289F1C"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Skew.</w:t>
            </w:r>
          </w:p>
        </w:tc>
        <w:tc>
          <w:tcPr>
            <w:tcW w:w="512" w:type="pct"/>
            <w:tcBorders>
              <w:top w:val="single" w:sz="8" w:space="0" w:color="auto"/>
              <w:bottom w:val="single" w:sz="8" w:space="0" w:color="auto"/>
            </w:tcBorders>
          </w:tcPr>
          <w:p w14:paraId="646CD2C1"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Kurt.</w:t>
            </w:r>
          </w:p>
        </w:tc>
        <w:tc>
          <w:tcPr>
            <w:tcW w:w="683" w:type="pct"/>
            <w:tcBorders>
              <w:top w:val="single" w:sz="8" w:space="0" w:color="auto"/>
              <w:bottom w:val="single" w:sz="8" w:space="0" w:color="auto"/>
            </w:tcBorders>
          </w:tcPr>
          <w:p w14:paraId="3DDE314C"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ADF</w:t>
            </w:r>
          </w:p>
        </w:tc>
        <w:tc>
          <w:tcPr>
            <w:tcW w:w="815" w:type="pct"/>
            <w:tcBorders>
              <w:top w:val="single" w:sz="8" w:space="0" w:color="auto"/>
              <w:bottom w:val="single" w:sz="8" w:space="0" w:color="auto"/>
            </w:tcBorders>
          </w:tcPr>
          <w:p w14:paraId="1015FBC4"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J</w:t>
            </w:r>
            <w:r w:rsidRPr="00C666FA">
              <w:rPr>
                <w:rFonts w:ascii="Times New Roman" w:hAnsi="Times New Roman" w:cs="Times New Roman" w:hint="eastAsia"/>
                <w:color w:val="000000" w:themeColor="text1"/>
                <w:sz w:val="18"/>
                <w:szCs w:val="18"/>
              </w:rPr>
              <w:t>-</w:t>
            </w:r>
            <w:r w:rsidRPr="00C666FA">
              <w:rPr>
                <w:rFonts w:ascii="Times New Roman" w:hAnsi="Times New Roman" w:cs="Times New Roman"/>
                <w:color w:val="000000" w:themeColor="text1"/>
                <w:sz w:val="18"/>
                <w:szCs w:val="18"/>
              </w:rPr>
              <w:t>B</w:t>
            </w:r>
          </w:p>
        </w:tc>
      </w:tr>
      <w:tr w:rsidR="00C666FA" w:rsidRPr="00C666FA" w14:paraId="111C6CCA" w14:textId="77777777" w:rsidTr="00005732">
        <w:tc>
          <w:tcPr>
            <w:tcW w:w="513" w:type="pct"/>
            <w:tcBorders>
              <w:top w:val="single" w:sz="8" w:space="0" w:color="auto"/>
            </w:tcBorders>
          </w:tcPr>
          <w:p w14:paraId="59BD9598"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SPX</w:t>
            </w:r>
          </w:p>
        </w:tc>
        <w:tc>
          <w:tcPr>
            <w:tcW w:w="512" w:type="pct"/>
            <w:tcBorders>
              <w:top w:val="single" w:sz="8" w:space="0" w:color="auto"/>
            </w:tcBorders>
          </w:tcPr>
          <w:p w14:paraId="5920E01A"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0</w:t>
            </w:r>
            <w:r w:rsidRPr="00C666FA">
              <w:rPr>
                <w:rFonts w:ascii="Times New Roman" w:hAnsi="Times New Roman" w:cs="Times New Roman"/>
                <w:color w:val="000000" w:themeColor="text1"/>
                <w:sz w:val="18"/>
                <w:szCs w:val="18"/>
              </w:rPr>
              <w:t>.031</w:t>
            </w:r>
          </w:p>
        </w:tc>
        <w:tc>
          <w:tcPr>
            <w:tcW w:w="513" w:type="pct"/>
            <w:tcBorders>
              <w:top w:val="single" w:sz="8" w:space="0" w:color="auto"/>
            </w:tcBorders>
          </w:tcPr>
          <w:p w14:paraId="5D423743"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1</w:t>
            </w:r>
            <w:r w:rsidRPr="00C666FA">
              <w:rPr>
                <w:rFonts w:ascii="Times New Roman" w:hAnsi="Times New Roman" w:cs="Times New Roman"/>
                <w:color w:val="000000" w:themeColor="text1"/>
                <w:sz w:val="18"/>
                <w:szCs w:val="18"/>
              </w:rPr>
              <w:t>0.964</w:t>
            </w:r>
          </w:p>
        </w:tc>
        <w:tc>
          <w:tcPr>
            <w:tcW w:w="512" w:type="pct"/>
            <w:tcBorders>
              <w:top w:val="single" w:sz="8" w:space="0" w:color="auto"/>
            </w:tcBorders>
          </w:tcPr>
          <w:p w14:paraId="504EDBCE"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w:t>
            </w:r>
            <w:r w:rsidRPr="00C666FA">
              <w:rPr>
                <w:rFonts w:ascii="Times New Roman" w:hAnsi="Times New Roman" w:cs="Times New Roman"/>
                <w:color w:val="000000" w:themeColor="text1"/>
                <w:sz w:val="18"/>
                <w:szCs w:val="18"/>
              </w:rPr>
              <w:t>12.766</w:t>
            </w:r>
          </w:p>
        </w:tc>
        <w:tc>
          <w:tcPr>
            <w:tcW w:w="513" w:type="pct"/>
            <w:tcBorders>
              <w:top w:val="single" w:sz="8" w:space="0" w:color="auto"/>
            </w:tcBorders>
          </w:tcPr>
          <w:p w14:paraId="7C535F33"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1</w:t>
            </w:r>
            <w:r w:rsidRPr="00C666FA">
              <w:rPr>
                <w:rFonts w:ascii="Times New Roman" w:hAnsi="Times New Roman" w:cs="Times New Roman"/>
                <w:color w:val="000000" w:themeColor="text1"/>
                <w:sz w:val="18"/>
                <w:szCs w:val="18"/>
              </w:rPr>
              <w:t>.170</w:t>
            </w:r>
          </w:p>
        </w:tc>
        <w:tc>
          <w:tcPr>
            <w:tcW w:w="427" w:type="pct"/>
            <w:tcBorders>
              <w:top w:val="single" w:sz="8" w:space="0" w:color="auto"/>
            </w:tcBorders>
          </w:tcPr>
          <w:p w14:paraId="257820EA"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w:t>
            </w:r>
            <w:r w:rsidRPr="00C666FA">
              <w:rPr>
                <w:rFonts w:ascii="Times New Roman" w:hAnsi="Times New Roman" w:cs="Times New Roman"/>
                <w:color w:val="000000" w:themeColor="text1"/>
                <w:sz w:val="18"/>
                <w:szCs w:val="18"/>
              </w:rPr>
              <w:t>0.405</w:t>
            </w:r>
          </w:p>
        </w:tc>
        <w:tc>
          <w:tcPr>
            <w:tcW w:w="512" w:type="pct"/>
            <w:tcBorders>
              <w:top w:val="single" w:sz="8" w:space="0" w:color="auto"/>
            </w:tcBorders>
          </w:tcPr>
          <w:p w14:paraId="0C936E61"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1</w:t>
            </w:r>
            <w:r w:rsidRPr="00C666FA">
              <w:rPr>
                <w:rFonts w:ascii="Times New Roman" w:hAnsi="Times New Roman" w:cs="Times New Roman"/>
                <w:color w:val="000000" w:themeColor="text1"/>
                <w:sz w:val="18"/>
                <w:szCs w:val="18"/>
              </w:rPr>
              <w:t>3.598</w:t>
            </w:r>
          </w:p>
        </w:tc>
        <w:tc>
          <w:tcPr>
            <w:tcW w:w="683" w:type="pct"/>
            <w:tcBorders>
              <w:top w:val="single" w:sz="8" w:space="0" w:color="auto"/>
            </w:tcBorders>
          </w:tcPr>
          <w:p w14:paraId="0EFE29A7"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w:t>
            </w:r>
            <w:r w:rsidRPr="00C666FA">
              <w:rPr>
                <w:rFonts w:ascii="Times New Roman" w:hAnsi="Times New Roman" w:cs="Times New Roman"/>
                <w:color w:val="000000" w:themeColor="text1"/>
                <w:sz w:val="18"/>
                <w:szCs w:val="18"/>
              </w:rPr>
              <w:t>16.290***</w:t>
            </w:r>
          </w:p>
        </w:tc>
        <w:tc>
          <w:tcPr>
            <w:tcW w:w="815" w:type="pct"/>
            <w:tcBorders>
              <w:top w:val="single" w:sz="8" w:space="0" w:color="auto"/>
            </w:tcBorders>
          </w:tcPr>
          <w:p w14:paraId="479097CD"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36839.582***</w:t>
            </w:r>
          </w:p>
        </w:tc>
      </w:tr>
      <w:tr w:rsidR="00C666FA" w:rsidRPr="00C666FA" w14:paraId="6227A19B" w14:textId="77777777" w:rsidTr="00005732">
        <w:tc>
          <w:tcPr>
            <w:tcW w:w="513" w:type="pct"/>
          </w:tcPr>
          <w:p w14:paraId="0A8648A5"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IXIC</w:t>
            </w:r>
          </w:p>
        </w:tc>
        <w:tc>
          <w:tcPr>
            <w:tcW w:w="512" w:type="pct"/>
          </w:tcPr>
          <w:p w14:paraId="5C9D8B73"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0</w:t>
            </w:r>
            <w:r w:rsidRPr="00C666FA">
              <w:rPr>
                <w:rFonts w:ascii="Times New Roman" w:hAnsi="Times New Roman" w:cs="Times New Roman"/>
                <w:color w:val="000000" w:themeColor="text1"/>
                <w:sz w:val="18"/>
                <w:szCs w:val="18"/>
              </w:rPr>
              <w:t>.040</w:t>
            </w:r>
          </w:p>
        </w:tc>
        <w:tc>
          <w:tcPr>
            <w:tcW w:w="513" w:type="pct"/>
          </w:tcPr>
          <w:p w14:paraId="22FBACBF"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1</w:t>
            </w:r>
            <w:r w:rsidRPr="00C666FA">
              <w:rPr>
                <w:rFonts w:ascii="Times New Roman" w:hAnsi="Times New Roman" w:cs="Times New Roman"/>
                <w:color w:val="000000" w:themeColor="text1"/>
                <w:sz w:val="18"/>
                <w:szCs w:val="18"/>
              </w:rPr>
              <w:t>3.255</w:t>
            </w:r>
          </w:p>
        </w:tc>
        <w:tc>
          <w:tcPr>
            <w:tcW w:w="512" w:type="pct"/>
          </w:tcPr>
          <w:p w14:paraId="2C1ED96E"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w:t>
            </w:r>
            <w:r w:rsidRPr="00C666FA">
              <w:rPr>
                <w:rFonts w:ascii="Times New Roman" w:hAnsi="Times New Roman" w:cs="Times New Roman"/>
                <w:color w:val="000000" w:themeColor="text1"/>
                <w:sz w:val="18"/>
                <w:szCs w:val="18"/>
              </w:rPr>
              <w:t>13.149</w:t>
            </w:r>
          </w:p>
        </w:tc>
        <w:tc>
          <w:tcPr>
            <w:tcW w:w="513" w:type="pct"/>
          </w:tcPr>
          <w:p w14:paraId="368813B9"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1</w:t>
            </w:r>
            <w:r w:rsidRPr="00C666FA">
              <w:rPr>
                <w:rFonts w:ascii="Times New Roman" w:hAnsi="Times New Roman" w:cs="Times New Roman"/>
                <w:color w:val="000000" w:themeColor="text1"/>
                <w:sz w:val="18"/>
                <w:szCs w:val="18"/>
              </w:rPr>
              <w:t>.505</w:t>
            </w:r>
          </w:p>
        </w:tc>
        <w:tc>
          <w:tcPr>
            <w:tcW w:w="427" w:type="pct"/>
          </w:tcPr>
          <w:p w14:paraId="1D6973FB"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w:t>
            </w:r>
            <w:r w:rsidRPr="00C666FA">
              <w:rPr>
                <w:rFonts w:ascii="Times New Roman" w:hAnsi="Times New Roman" w:cs="Times New Roman"/>
                <w:color w:val="000000" w:themeColor="text1"/>
                <w:sz w:val="18"/>
                <w:szCs w:val="18"/>
              </w:rPr>
              <w:t>0.198</w:t>
            </w:r>
          </w:p>
        </w:tc>
        <w:tc>
          <w:tcPr>
            <w:tcW w:w="512" w:type="pct"/>
          </w:tcPr>
          <w:p w14:paraId="71931A81"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6</w:t>
            </w:r>
            <w:r w:rsidRPr="00C666FA">
              <w:rPr>
                <w:rFonts w:ascii="Times New Roman" w:hAnsi="Times New Roman" w:cs="Times New Roman"/>
                <w:color w:val="000000" w:themeColor="text1"/>
                <w:sz w:val="18"/>
                <w:szCs w:val="18"/>
              </w:rPr>
              <w:t>.375</w:t>
            </w:r>
          </w:p>
        </w:tc>
        <w:tc>
          <w:tcPr>
            <w:tcW w:w="683" w:type="pct"/>
          </w:tcPr>
          <w:p w14:paraId="336CBB27"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w:t>
            </w:r>
            <w:r w:rsidRPr="00C666FA">
              <w:rPr>
                <w:rFonts w:ascii="Times New Roman" w:hAnsi="Times New Roman" w:cs="Times New Roman"/>
                <w:color w:val="000000" w:themeColor="text1"/>
                <w:sz w:val="18"/>
                <w:szCs w:val="18"/>
              </w:rPr>
              <w:t>14.665***</w:t>
            </w:r>
          </w:p>
        </w:tc>
        <w:tc>
          <w:tcPr>
            <w:tcW w:w="815" w:type="pct"/>
          </w:tcPr>
          <w:p w14:paraId="6D549D68"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1</w:t>
            </w:r>
            <w:r w:rsidRPr="00C666FA">
              <w:rPr>
                <w:rFonts w:ascii="Times New Roman" w:hAnsi="Times New Roman" w:cs="Times New Roman"/>
                <w:color w:val="000000" w:themeColor="text1"/>
                <w:sz w:val="18"/>
                <w:szCs w:val="18"/>
              </w:rPr>
              <w:t>3282.531***</w:t>
            </w:r>
          </w:p>
        </w:tc>
      </w:tr>
      <w:tr w:rsidR="00C666FA" w:rsidRPr="00C666FA" w14:paraId="135425B2" w14:textId="77777777" w:rsidTr="00005732">
        <w:tc>
          <w:tcPr>
            <w:tcW w:w="513" w:type="pct"/>
          </w:tcPr>
          <w:p w14:paraId="256F96B2" w14:textId="77777777" w:rsidR="00005732" w:rsidRPr="00C666FA" w:rsidRDefault="00005732" w:rsidP="00DE31FA">
            <w:pPr>
              <w:widowControl/>
              <w:jc w:val="center"/>
              <w:rPr>
                <w:color w:val="000000" w:themeColor="text1"/>
                <w:sz w:val="18"/>
                <w:szCs w:val="18"/>
              </w:rPr>
            </w:pPr>
            <m:oMathPara>
              <m:oMath>
                <m:r>
                  <w:rPr>
                    <w:rFonts w:ascii="Cambria Math" w:hAnsi="Cambria Math" w:cs="Times New Roman"/>
                    <w:color w:val="000000" w:themeColor="text1"/>
                    <w:sz w:val="18"/>
                    <w:szCs w:val="18"/>
                  </w:rPr>
                  <m:t>R</m:t>
                </m:r>
                <m:sSub>
                  <m:sSubPr>
                    <m:ctrlPr>
                      <w:rPr>
                        <w:rFonts w:ascii="Cambria Math" w:hAnsi="Cambria Math" w:cs="Times New Roman"/>
                        <w:i/>
                        <w:color w:val="000000" w:themeColor="text1"/>
                        <w:sz w:val="18"/>
                        <w:szCs w:val="18"/>
                      </w:rPr>
                    </m:ctrlPr>
                  </m:sSubPr>
                  <m:e>
                    <m:r>
                      <w:rPr>
                        <w:rFonts w:ascii="Cambria Math" w:hAnsi="Cambria Math" w:cs="Times New Roman"/>
                        <w:color w:val="000000" w:themeColor="text1"/>
                        <w:sz w:val="18"/>
                        <w:szCs w:val="18"/>
                      </w:rPr>
                      <m:t>V</m:t>
                    </m:r>
                  </m:e>
                  <m:sub>
                    <m:r>
                      <w:rPr>
                        <w:rFonts w:ascii="Cambria Math" w:hAnsi="Cambria Math" w:cs="Times New Roman"/>
                        <w:color w:val="000000" w:themeColor="text1"/>
                        <w:sz w:val="18"/>
                        <w:szCs w:val="18"/>
                      </w:rPr>
                      <m:t>SPX</m:t>
                    </m:r>
                  </m:sub>
                </m:sSub>
              </m:oMath>
            </m:oMathPara>
          </w:p>
        </w:tc>
        <w:tc>
          <w:tcPr>
            <w:tcW w:w="512" w:type="pct"/>
          </w:tcPr>
          <w:p w14:paraId="44F4E6E8"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2</w:t>
            </w:r>
            <w:r w:rsidRPr="00C666FA">
              <w:rPr>
                <w:rFonts w:ascii="Times New Roman" w:hAnsi="Times New Roman" w:cs="Times New Roman"/>
                <w:color w:val="000000" w:themeColor="text1"/>
                <w:sz w:val="18"/>
                <w:szCs w:val="18"/>
              </w:rPr>
              <w:t>8.742</w:t>
            </w:r>
          </w:p>
        </w:tc>
        <w:tc>
          <w:tcPr>
            <w:tcW w:w="513" w:type="pct"/>
          </w:tcPr>
          <w:p w14:paraId="024B2D9F"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7</w:t>
            </w:r>
            <w:r w:rsidRPr="00C666FA">
              <w:rPr>
                <w:rFonts w:ascii="Times New Roman" w:hAnsi="Times New Roman" w:cs="Times New Roman"/>
                <w:color w:val="000000" w:themeColor="text1"/>
                <w:sz w:val="18"/>
                <w:szCs w:val="18"/>
              </w:rPr>
              <w:t>47.401</w:t>
            </w:r>
          </w:p>
        </w:tc>
        <w:tc>
          <w:tcPr>
            <w:tcW w:w="512" w:type="pct"/>
          </w:tcPr>
          <w:p w14:paraId="1921F05A"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1</w:t>
            </w:r>
            <w:r w:rsidRPr="00C666FA">
              <w:rPr>
                <w:rFonts w:ascii="Times New Roman" w:hAnsi="Times New Roman" w:cs="Times New Roman"/>
                <w:color w:val="000000" w:themeColor="text1"/>
                <w:sz w:val="18"/>
                <w:szCs w:val="18"/>
              </w:rPr>
              <w:t>.498</w:t>
            </w:r>
          </w:p>
        </w:tc>
        <w:tc>
          <w:tcPr>
            <w:tcW w:w="513" w:type="pct"/>
          </w:tcPr>
          <w:p w14:paraId="460E5A07"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5</w:t>
            </w:r>
            <w:r w:rsidRPr="00C666FA">
              <w:rPr>
                <w:rFonts w:ascii="Times New Roman" w:hAnsi="Times New Roman" w:cs="Times New Roman"/>
                <w:color w:val="000000" w:themeColor="text1"/>
                <w:sz w:val="18"/>
                <w:szCs w:val="18"/>
              </w:rPr>
              <w:t>8.365</w:t>
            </w:r>
          </w:p>
        </w:tc>
        <w:tc>
          <w:tcPr>
            <w:tcW w:w="427" w:type="pct"/>
          </w:tcPr>
          <w:p w14:paraId="2FA0AB44"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8</w:t>
            </w:r>
            <w:r w:rsidRPr="00C666FA">
              <w:rPr>
                <w:rFonts w:ascii="Times New Roman" w:hAnsi="Times New Roman" w:cs="Times New Roman"/>
                <w:color w:val="000000" w:themeColor="text1"/>
                <w:sz w:val="18"/>
                <w:szCs w:val="18"/>
              </w:rPr>
              <w:t>.185</w:t>
            </w:r>
          </w:p>
        </w:tc>
        <w:tc>
          <w:tcPr>
            <w:tcW w:w="512" w:type="pct"/>
          </w:tcPr>
          <w:p w14:paraId="41D718AF"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8</w:t>
            </w:r>
            <w:r w:rsidRPr="00C666FA">
              <w:rPr>
                <w:rFonts w:ascii="Times New Roman" w:hAnsi="Times New Roman" w:cs="Times New Roman"/>
                <w:color w:val="000000" w:themeColor="text1"/>
                <w:sz w:val="18"/>
                <w:szCs w:val="18"/>
              </w:rPr>
              <w:t>4.773</w:t>
            </w:r>
          </w:p>
        </w:tc>
        <w:tc>
          <w:tcPr>
            <w:tcW w:w="683" w:type="pct"/>
          </w:tcPr>
          <w:p w14:paraId="73DAC843"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w:t>
            </w:r>
            <w:r w:rsidRPr="00C666FA">
              <w:rPr>
                <w:rFonts w:ascii="Times New Roman" w:hAnsi="Times New Roman" w:cs="Times New Roman"/>
                <w:color w:val="000000" w:themeColor="text1"/>
                <w:sz w:val="18"/>
                <w:szCs w:val="18"/>
              </w:rPr>
              <w:t>11.257***</w:t>
            </w:r>
          </w:p>
        </w:tc>
        <w:tc>
          <w:tcPr>
            <w:tcW w:w="815" w:type="pct"/>
          </w:tcPr>
          <w:p w14:paraId="2B41B89D"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1</w:t>
            </w:r>
            <w:r w:rsidRPr="00C666FA">
              <w:rPr>
                <w:rFonts w:ascii="Times New Roman" w:hAnsi="Times New Roman" w:cs="Times New Roman"/>
                <w:color w:val="000000" w:themeColor="text1"/>
                <w:sz w:val="18"/>
                <w:szCs w:val="18"/>
              </w:rPr>
              <w:t>12815.089***</w:t>
            </w:r>
          </w:p>
        </w:tc>
      </w:tr>
      <w:tr w:rsidR="00C666FA" w:rsidRPr="00C666FA" w14:paraId="6DD23D23" w14:textId="77777777" w:rsidTr="00005732">
        <w:tc>
          <w:tcPr>
            <w:tcW w:w="513" w:type="pct"/>
          </w:tcPr>
          <w:p w14:paraId="1E36DC28" w14:textId="77777777" w:rsidR="00005732" w:rsidRPr="00C666FA" w:rsidRDefault="00005732" w:rsidP="00DE31FA">
            <w:pPr>
              <w:widowControl/>
              <w:jc w:val="center"/>
              <w:rPr>
                <w:rFonts w:ascii="Times New Roman" w:hAnsi="Times New Roman" w:cs="Times New Roman"/>
                <w:color w:val="000000" w:themeColor="text1"/>
                <w:sz w:val="18"/>
                <w:szCs w:val="18"/>
              </w:rPr>
            </w:pPr>
            <w:bookmarkStart w:id="6" w:name="OLE_LINK95"/>
            <m:oMathPara>
              <m:oMath>
                <m:r>
                  <w:rPr>
                    <w:rFonts w:ascii="Cambria Math" w:hAnsi="Cambria Math" w:cs="Times New Roman"/>
                    <w:color w:val="000000" w:themeColor="text1"/>
                    <w:sz w:val="18"/>
                    <w:szCs w:val="18"/>
                  </w:rPr>
                  <m:t>R</m:t>
                </m:r>
                <m:sSub>
                  <m:sSubPr>
                    <m:ctrlPr>
                      <w:rPr>
                        <w:rFonts w:ascii="Cambria Math" w:hAnsi="Cambria Math" w:cs="Times New Roman"/>
                        <w:i/>
                        <w:color w:val="000000" w:themeColor="text1"/>
                        <w:sz w:val="18"/>
                        <w:szCs w:val="18"/>
                      </w:rPr>
                    </m:ctrlPr>
                  </m:sSubPr>
                  <m:e>
                    <m:r>
                      <w:rPr>
                        <w:rFonts w:ascii="Cambria Math" w:hAnsi="Cambria Math" w:cs="Times New Roman"/>
                        <w:color w:val="000000" w:themeColor="text1"/>
                        <w:sz w:val="18"/>
                        <w:szCs w:val="18"/>
                      </w:rPr>
                      <m:t>V</m:t>
                    </m:r>
                  </m:e>
                  <m:sub>
                    <m:r>
                      <w:rPr>
                        <w:rFonts w:ascii="Cambria Math" w:hAnsi="Cambria Math" w:cs="Times New Roman"/>
                        <w:color w:val="000000" w:themeColor="text1"/>
                        <w:sz w:val="18"/>
                        <w:szCs w:val="18"/>
                      </w:rPr>
                      <m:t>IXIC</m:t>
                    </m:r>
                  </m:sub>
                </m:sSub>
              </m:oMath>
            </m:oMathPara>
            <w:bookmarkEnd w:id="6"/>
          </w:p>
        </w:tc>
        <w:tc>
          <w:tcPr>
            <w:tcW w:w="512" w:type="pct"/>
          </w:tcPr>
          <w:p w14:paraId="39A8B0BD"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4</w:t>
            </w:r>
            <w:r w:rsidRPr="00C666FA">
              <w:rPr>
                <w:rFonts w:ascii="Times New Roman" w:hAnsi="Times New Roman" w:cs="Times New Roman"/>
                <w:color w:val="000000" w:themeColor="text1"/>
                <w:sz w:val="18"/>
                <w:szCs w:val="18"/>
              </w:rPr>
              <w:t>7.529</w:t>
            </w:r>
          </w:p>
        </w:tc>
        <w:tc>
          <w:tcPr>
            <w:tcW w:w="513" w:type="pct"/>
          </w:tcPr>
          <w:p w14:paraId="17912412"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7</w:t>
            </w:r>
            <w:r w:rsidRPr="00C666FA">
              <w:rPr>
                <w:rFonts w:ascii="Times New Roman" w:hAnsi="Times New Roman" w:cs="Times New Roman"/>
                <w:color w:val="000000" w:themeColor="text1"/>
                <w:sz w:val="18"/>
                <w:szCs w:val="18"/>
              </w:rPr>
              <w:t>10.166</w:t>
            </w:r>
          </w:p>
        </w:tc>
        <w:tc>
          <w:tcPr>
            <w:tcW w:w="512" w:type="pct"/>
          </w:tcPr>
          <w:p w14:paraId="36217F1C"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2</w:t>
            </w:r>
            <w:r w:rsidRPr="00C666FA">
              <w:rPr>
                <w:rFonts w:ascii="Times New Roman" w:hAnsi="Times New Roman" w:cs="Times New Roman"/>
                <w:color w:val="000000" w:themeColor="text1"/>
                <w:sz w:val="18"/>
                <w:szCs w:val="18"/>
              </w:rPr>
              <w:t>.907</w:t>
            </w:r>
          </w:p>
        </w:tc>
        <w:tc>
          <w:tcPr>
            <w:tcW w:w="513" w:type="pct"/>
          </w:tcPr>
          <w:p w14:paraId="3E163455"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7</w:t>
            </w:r>
            <w:r w:rsidRPr="00C666FA">
              <w:rPr>
                <w:rFonts w:ascii="Times New Roman" w:hAnsi="Times New Roman" w:cs="Times New Roman"/>
                <w:color w:val="000000" w:themeColor="text1"/>
                <w:sz w:val="18"/>
                <w:szCs w:val="18"/>
              </w:rPr>
              <w:t>2.990</w:t>
            </w:r>
          </w:p>
        </w:tc>
        <w:tc>
          <w:tcPr>
            <w:tcW w:w="427" w:type="pct"/>
          </w:tcPr>
          <w:p w14:paraId="74E26E94"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4</w:t>
            </w:r>
            <w:r w:rsidRPr="00C666FA">
              <w:rPr>
                <w:rFonts w:ascii="Times New Roman" w:hAnsi="Times New Roman" w:cs="Times New Roman"/>
                <w:color w:val="000000" w:themeColor="text1"/>
                <w:sz w:val="18"/>
                <w:szCs w:val="18"/>
              </w:rPr>
              <w:t>.533</w:t>
            </w:r>
          </w:p>
        </w:tc>
        <w:tc>
          <w:tcPr>
            <w:tcW w:w="512" w:type="pct"/>
          </w:tcPr>
          <w:p w14:paraId="2DB90B78"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2</w:t>
            </w:r>
            <w:r w:rsidRPr="00C666FA">
              <w:rPr>
                <w:rFonts w:ascii="Times New Roman" w:hAnsi="Times New Roman" w:cs="Times New Roman"/>
                <w:color w:val="000000" w:themeColor="text1"/>
                <w:sz w:val="18"/>
                <w:szCs w:val="18"/>
              </w:rPr>
              <w:t>8.070</w:t>
            </w:r>
          </w:p>
        </w:tc>
        <w:tc>
          <w:tcPr>
            <w:tcW w:w="683" w:type="pct"/>
          </w:tcPr>
          <w:p w14:paraId="2EF9BD0E"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w:t>
            </w:r>
            <w:r w:rsidRPr="00C666FA">
              <w:rPr>
                <w:rFonts w:ascii="Times New Roman" w:hAnsi="Times New Roman" w:cs="Times New Roman"/>
                <w:color w:val="000000" w:themeColor="text1"/>
                <w:sz w:val="18"/>
                <w:szCs w:val="18"/>
              </w:rPr>
              <w:t>4.526***</w:t>
            </w:r>
          </w:p>
        </w:tc>
        <w:tc>
          <w:tcPr>
            <w:tcW w:w="815" w:type="pct"/>
          </w:tcPr>
          <w:p w14:paraId="3DD6A059"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1</w:t>
            </w:r>
            <w:r w:rsidRPr="00C666FA">
              <w:rPr>
                <w:rFonts w:ascii="Times New Roman" w:hAnsi="Times New Roman" w:cs="Times New Roman"/>
                <w:color w:val="000000" w:themeColor="text1"/>
                <w:sz w:val="18"/>
                <w:szCs w:val="18"/>
              </w:rPr>
              <w:t>3173.903***</w:t>
            </w:r>
          </w:p>
        </w:tc>
      </w:tr>
      <w:tr w:rsidR="00C666FA" w:rsidRPr="00C666FA" w14:paraId="33308145" w14:textId="77777777" w:rsidTr="00005732">
        <w:tc>
          <w:tcPr>
            <w:tcW w:w="513" w:type="pct"/>
            <w:tcBorders>
              <w:bottom w:val="single" w:sz="8" w:space="0" w:color="auto"/>
            </w:tcBorders>
          </w:tcPr>
          <w:p w14:paraId="35805A82"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U</w:t>
            </w:r>
            <w:r w:rsidRPr="00C666FA">
              <w:rPr>
                <w:rFonts w:ascii="Times New Roman" w:hAnsi="Times New Roman" w:cs="Times New Roman"/>
                <w:color w:val="000000" w:themeColor="text1"/>
                <w:sz w:val="18"/>
                <w:szCs w:val="18"/>
              </w:rPr>
              <w:t>CT</w:t>
            </w:r>
          </w:p>
        </w:tc>
        <w:tc>
          <w:tcPr>
            <w:tcW w:w="512" w:type="pct"/>
            <w:tcBorders>
              <w:bottom w:val="single" w:sz="8" w:space="0" w:color="auto"/>
            </w:tcBorders>
          </w:tcPr>
          <w:p w14:paraId="181CEB32"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0</w:t>
            </w:r>
            <w:r w:rsidRPr="00C666FA">
              <w:rPr>
                <w:rFonts w:ascii="Times New Roman" w:hAnsi="Times New Roman" w:cs="Times New Roman"/>
                <w:color w:val="000000" w:themeColor="text1"/>
                <w:sz w:val="18"/>
                <w:szCs w:val="18"/>
              </w:rPr>
              <w:t>.259</w:t>
            </w:r>
          </w:p>
        </w:tc>
        <w:tc>
          <w:tcPr>
            <w:tcW w:w="513" w:type="pct"/>
            <w:tcBorders>
              <w:bottom w:val="single" w:sz="8" w:space="0" w:color="auto"/>
            </w:tcBorders>
          </w:tcPr>
          <w:p w14:paraId="287798F5"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8</w:t>
            </w:r>
            <w:r w:rsidRPr="00C666FA">
              <w:rPr>
                <w:rFonts w:ascii="Times New Roman" w:hAnsi="Times New Roman" w:cs="Times New Roman"/>
                <w:color w:val="000000" w:themeColor="text1"/>
                <w:sz w:val="18"/>
                <w:szCs w:val="18"/>
              </w:rPr>
              <w:t>7.142</w:t>
            </w:r>
          </w:p>
        </w:tc>
        <w:tc>
          <w:tcPr>
            <w:tcW w:w="512" w:type="pct"/>
            <w:tcBorders>
              <w:bottom w:val="single" w:sz="8" w:space="0" w:color="auto"/>
            </w:tcBorders>
          </w:tcPr>
          <w:p w14:paraId="0F33C6E6"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w:t>
            </w:r>
            <w:r w:rsidRPr="00C666FA">
              <w:rPr>
                <w:rFonts w:ascii="Times New Roman" w:hAnsi="Times New Roman" w:cs="Times New Roman"/>
                <w:color w:val="000000" w:themeColor="text1"/>
                <w:sz w:val="18"/>
                <w:szCs w:val="18"/>
              </w:rPr>
              <w:t>93.970</w:t>
            </w:r>
          </w:p>
        </w:tc>
        <w:tc>
          <w:tcPr>
            <w:tcW w:w="513" w:type="pct"/>
            <w:tcBorders>
              <w:bottom w:val="single" w:sz="8" w:space="0" w:color="auto"/>
            </w:tcBorders>
          </w:tcPr>
          <w:p w14:paraId="50621B81"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1</w:t>
            </w:r>
            <w:r w:rsidRPr="00C666FA">
              <w:rPr>
                <w:rFonts w:ascii="Times New Roman" w:hAnsi="Times New Roman" w:cs="Times New Roman"/>
                <w:color w:val="000000" w:themeColor="text1"/>
                <w:sz w:val="18"/>
                <w:szCs w:val="18"/>
              </w:rPr>
              <w:t>8.699</w:t>
            </w:r>
          </w:p>
        </w:tc>
        <w:tc>
          <w:tcPr>
            <w:tcW w:w="427" w:type="pct"/>
            <w:tcBorders>
              <w:bottom w:val="single" w:sz="8" w:space="0" w:color="auto"/>
            </w:tcBorders>
          </w:tcPr>
          <w:p w14:paraId="5EC5F54F"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w:t>
            </w:r>
            <w:r w:rsidRPr="00C666FA">
              <w:rPr>
                <w:rFonts w:ascii="Times New Roman" w:hAnsi="Times New Roman" w:cs="Times New Roman"/>
                <w:color w:val="000000" w:themeColor="text1"/>
                <w:sz w:val="18"/>
                <w:szCs w:val="18"/>
              </w:rPr>
              <w:t>0.027</w:t>
            </w:r>
          </w:p>
        </w:tc>
        <w:tc>
          <w:tcPr>
            <w:tcW w:w="512" w:type="pct"/>
            <w:tcBorders>
              <w:bottom w:val="single" w:sz="8" w:space="0" w:color="auto"/>
            </w:tcBorders>
          </w:tcPr>
          <w:p w14:paraId="6B60C28B"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2</w:t>
            </w:r>
            <w:r w:rsidRPr="00C666FA">
              <w:rPr>
                <w:rFonts w:ascii="Times New Roman" w:hAnsi="Times New Roman" w:cs="Times New Roman"/>
                <w:color w:val="000000" w:themeColor="text1"/>
                <w:sz w:val="18"/>
                <w:szCs w:val="18"/>
              </w:rPr>
              <w:t>.767</w:t>
            </w:r>
          </w:p>
        </w:tc>
        <w:tc>
          <w:tcPr>
            <w:tcW w:w="683" w:type="pct"/>
            <w:tcBorders>
              <w:bottom w:val="single" w:sz="8" w:space="0" w:color="auto"/>
            </w:tcBorders>
          </w:tcPr>
          <w:p w14:paraId="7A144F72"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w:t>
            </w:r>
            <w:r w:rsidRPr="00C666FA">
              <w:rPr>
                <w:rFonts w:ascii="Times New Roman" w:hAnsi="Times New Roman" w:cs="Times New Roman"/>
                <w:color w:val="000000" w:themeColor="text1"/>
                <w:sz w:val="18"/>
                <w:szCs w:val="18"/>
              </w:rPr>
              <w:t>9.778***</w:t>
            </w:r>
          </w:p>
        </w:tc>
        <w:tc>
          <w:tcPr>
            <w:tcW w:w="815" w:type="pct"/>
            <w:tcBorders>
              <w:bottom w:val="single" w:sz="8" w:space="0" w:color="auto"/>
            </w:tcBorders>
          </w:tcPr>
          <w:p w14:paraId="7838B97A" w14:textId="77777777" w:rsidR="00005732" w:rsidRPr="00C666FA" w:rsidRDefault="00005732" w:rsidP="00DE31FA">
            <w:pPr>
              <w:widowControl/>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1</w:t>
            </w:r>
            <w:r w:rsidRPr="00C666FA">
              <w:rPr>
                <w:rFonts w:ascii="Times New Roman" w:hAnsi="Times New Roman" w:cs="Times New Roman"/>
                <w:color w:val="000000" w:themeColor="text1"/>
                <w:sz w:val="18"/>
                <w:szCs w:val="18"/>
              </w:rPr>
              <w:t>14.511***</w:t>
            </w:r>
          </w:p>
        </w:tc>
      </w:tr>
      <w:tr w:rsidR="00C666FA" w:rsidRPr="00C666FA" w14:paraId="2250977E" w14:textId="77777777" w:rsidTr="00005732">
        <w:tc>
          <w:tcPr>
            <w:tcW w:w="5000" w:type="pct"/>
            <w:gridSpan w:val="9"/>
            <w:tcBorders>
              <w:top w:val="single" w:sz="8" w:space="0" w:color="auto"/>
            </w:tcBorders>
          </w:tcPr>
          <w:p w14:paraId="66DC08F5" w14:textId="77777777" w:rsidR="00005732" w:rsidRPr="00C666FA" w:rsidRDefault="00005732" w:rsidP="00B67D3A">
            <w:pPr>
              <w:widowControl/>
              <w:spacing w:line="0" w:lineRule="atLeast"/>
              <w:jc w:val="both"/>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Note: J-B stands for Jarque-Bera test for normal distribution, whose original hypothesis is that the series obeys normal distribution; ADF stands for Augmented Dickey-Fuller unit root test, whose null hypothesis is that the series contains a unit root, i.e., is non-stationary. **</w:t>
            </w:r>
            <w:proofErr w:type="gramStart"/>
            <w:r w:rsidRPr="00C666FA">
              <w:rPr>
                <w:rFonts w:ascii="Times New Roman" w:hAnsi="Times New Roman" w:cs="Times New Roman"/>
                <w:color w:val="000000" w:themeColor="text1"/>
                <w:sz w:val="18"/>
                <w:szCs w:val="18"/>
              </w:rPr>
              <w:t>*,**,*</w:t>
            </w:r>
            <w:proofErr w:type="gramEnd"/>
            <w:r w:rsidRPr="00C666FA">
              <w:rPr>
                <w:rFonts w:ascii="Times New Roman" w:hAnsi="Times New Roman" w:cs="Times New Roman"/>
                <w:color w:val="000000" w:themeColor="text1"/>
                <w:sz w:val="18"/>
                <w:szCs w:val="18"/>
              </w:rPr>
              <w:t xml:space="preserve"> denote the rejection of the original hypothesis at the 1%, 5% and 10% significance levels, respectively.</w:t>
            </w:r>
          </w:p>
        </w:tc>
      </w:tr>
    </w:tbl>
    <w:p w14:paraId="77DBAE29" w14:textId="073BB06C" w:rsidR="00220140" w:rsidRPr="00C666FA" w:rsidRDefault="00220140" w:rsidP="00B36226">
      <w:pPr>
        <w:spacing w:before="120" w:after="0" w:line="240" w:lineRule="auto"/>
        <w:contextualSpacing/>
        <w:jc w:val="both"/>
        <w:rPr>
          <w:rFonts w:ascii="Times New Roman" w:eastAsia="仿宋" w:hAnsi="Times New Roman" w:cs="Times New Roman"/>
          <w:color w:val="000000" w:themeColor="text1"/>
          <w:sz w:val="18"/>
          <w:szCs w:val="18"/>
          <w14:ligatures w14:val="none"/>
        </w:rPr>
      </w:pPr>
      <w:bookmarkStart w:id="7" w:name="OLE_LINK92"/>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5"/>
        <w:gridCol w:w="1416"/>
        <w:gridCol w:w="1416"/>
        <w:gridCol w:w="1416"/>
        <w:gridCol w:w="1451"/>
        <w:gridCol w:w="1447"/>
        <w:gridCol w:w="1451"/>
      </w:tblGrid>
      <w:tr w:rsidR="00C666FA" w:rsidRPr="00C666FA" w14:paraId="1410458F" w14:textId="77777777" w:rsidTr="00220140">
        <w:trPr>
          <w:trHeight w:val="274"/>
          <w:jc w:val="center"/>
        </w:trPr>
        <w:tc>
          <w:tcPr>
            <w:tcW w:w="5000" w:type="pct"/>
            <w:gridSpan w:val="7"/>
            <w:tcBorders>
              <w:bottom w:val="single" w:sz="8" w:space="0" w:color="auto"/>
            </w:tcBorders>
            <w:vAlign w:val="center"/>
          </w:tcPr>
          <w:bookmarkEnd w:id="7"/>
          <w:p w14:paraId="4D24B3BD" w14:textId="42ADE986" w:rsidR="002D1B3C" w:rsidRPr="00C666FA" w:rsidRDefault="002D1B3C" w:rsidP="00065392">
            <w:pPr>
              <w:spacing w:before="240" w:line="0" w:lineRule="atLeast"/>
              <w:rPr>
                <w:rFonts w:ascii="Times New Roman" w:hAnsi="Times New Roman" w:cs="Times New Roman"/>
                <w:color w:val="000000" w:themeColor="text1"/>
                <w:sz w:val="18"/>
                <w:szCs w:val="18"/>
              </w:rPr>
            </w:pPr>
            <w:r w:rsidRPr="00C666FA">
              <w:rPr>
                <w:rFonts w:ascii="Times New Roman" w:hAnsi="Times New Roman" w:cs="Times New Roman"/>
                <w:b/>
                <w:bCs/>
                <w:color w:val="000000" w:themeColor="text1"/>
                <w:sz w:val="18"/>
                <w:szCs w:val="18"/>
              </w:rPr>
              <w:t xml:space="preserve">Table </w:t>
            </w:r>
            <w:r w:rsidR="00121E14">
              <w:rPr>
                <w:rFonts w:ascii="Times New Roman" w:hAnsi="Times New Roman" w:cs="Times New Roman" w:hint="eastAsia"/>
                <w:b/>
                <w:bCs/>
                <w:color w:val="000000" w:themeColor="text1"/>
                <w:sz w:val="18"/>
                <w:szCs w:val="18"/>
              </w:rPr>
              <w:t>1</w:t>
            </w:r>
            <w:r w:rsidRPr="00C666FA">
              <w:rPr>
                <w:rFonts w:ascii="Times New Roman" w:hAnsi="Times New Roman" w:cs="Times New Roman"/>
                <w:b/>
                <w:bCs/>
                <w:color w:val="000000" w:themeColor="text1"/>
                <w:sz w:val="18"/>
                <w:szCs w:val="18"/>
              </w:rPr>
              <w:t xml:space="preserve">. </w:t>
            </w:r>
            <w:r w:rsidRPr="00C666FA">
              <w:rPr>
                <w:rFonts w:ascii="Times New Roman" w:hAnsi="Times New Roman" w:cs="Times New Roman"/>
                <w:color w:val="000000" w:themeColor="text1"/>
                <w:sz w:val="18"/>
                <w:szCs w:val="18"/>
              </w:rPr>
              <w:t>In-sample estimation results for the model</w:t>
            </w:r>
          </w:p>
        </w:tc>
      </w:tr>
      <w:tr w:rsidR="00C666FA" w:rsidRPr="00C666FA" w14:paraId="73B19A1F" w14:textId="77777777" w:rsidTr="00220140">
        <w:trPr>
          <w:trHeight w:val="274"/>
          <w:jc w:val="center"/>
        </w:trPr>
        <w:tc>
          <w:tcPr>
            <w:tcW w:w="592" w:type="pct"/>
            <w:tcBorders>
              <w:top w:val="single" w:sz="8" w:space="0" w:color="auto"/>
            </w:tcBorders>
            <w:vAlign w:val="center"/>
          </w:tcPr>
          <w:p w14:paraId="4F494801"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2178" w:type="pct"/>
            <w:gridSpan w:val="3"/>
            <w:tcBorders>
              <w:top w:val="single" w:sz="8" w:space="0" w:color="auto"/>
              <w:bottom w:val="single" w:sz="8" w:space="0" w:color="auto"/>
            </w:tcBorders>
            <w:vAlign w:val="center"/>
          </w:tcPr>
          <w:p w14:paraId="495C2C0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SPX</w:t>
            </w:r>
          </w:p>
        </w:tc>
        <w:tc>
          <w:tcPr>
            <w:tcW w:w="2230" w:type="pct"/>
            <w:gridSpan w:val="3"/>
            <w:tcBorders>
              <w:top w:val="single" w:sz="8" w:space="0" w:color="auto"/>
              <w:bottom w:val="single" w:sz="8" w:space="0" w:color="auto"/>
            </w:tcBorders>
            <w:vAlign w:val="center"/>
          </w:tcPr>
          <w:p w14:paraId="7011BDF7"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IXIC</w:t>
            </w:r>
          </w:p>
        </w:tc>
      </w:tr>
      <w:tr w:rsidR="00C666FA" w:rsidRPr="00C666FA" w14:paraId="11CFB9E9" w14:textId="77777777" w:rsidTr="00220140">
        <w:trPr>
          <w:trHeight w:val="277"/>
          <w:jc w:val="center"/>
        </w:trPr>
        <w:tc>
          <w:tcPr>
            <w:tcW w:w="592" w:type="pct"/>
            <w:tcBorders>
              <w:bottom w:val="single" w:sz="8" w:space="0" w:color="auto"/>
            </w:tcBorders>
            <w:vAlign w:val="center"/>
          </w:tcPr>
          <w:p w14:paraId="7F729EF4"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26" w:type="pct"/>
            <w:tcBorders>
              <w:top w:val="single" w:sz="8" w:space="0" w:color="auto"/>
              <w:bottom w:val="single" w:sz="8" w:space="0" w:color="auto"/>
            </w:tcBorders>
            <w:vAlign w:val="center"/>
          </w:tcPr>
          <w:p w14:paraId="6B48F50B"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1</w:t>
            </w:r>
          </w:p>
        </w:tc>
        <w:tc>
          <w:tcPr>
            <w:tcW w:w="726" w:type="pct"/>
            <w:tcBorders>
              <w:top w:val="single" w:sz="8" w:space="0" w:color="auto"/>
              <w:bottom w:val="single" w:sz="8" w:space="0" w:color="auto"/>
            </w:tcBorders>
            <w:vAlign w:val="center"/>
          </w:tcPr>
          <w:p w14:paraId="68ED9151"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2</w:t>
            </w:r>
          </w:p>
        </w:tc>
        <w:tc>
          <w:tcPr>
            <w:tcW w:w="726" w:type="pct"/>
            <w:tcBorders>
              <w:top w:val="single" w:sz="8" w:space="0" w:color="auto"/>
              <w:bottom w:val="single" w:sz="8" w:space="0" w:color="auto"/>
            </w:tcBorders>
            <w:vAlign w:val="center"/>
          </w:tcPr>
          <w:p w14:paraId="7CECC709"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3</w:t>
            </w:r>
          </w:p>
        </w:tc>
        <w:tc>
          <w:tcPr>
            <w:tcW w:w="744" w:type="pct"/>
            <w:tcBorders>
              <w:top w:val="single" w:sz="8" w:space="0" w:color="auto"/>
              <w:bottom w:val="single" w:sz="8" w:space="0" w:color="auto"/>
            </w:tcBorders>
            <w:vAlign w:val="center"/>
          </w:tcPr>
          <w:p w14:paraId="229C92B7"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1</w:t>
            </w:r>
          </w:p>
        </w:tc>
        <w:tc>
          <w:tcPr>
            <w:tcW w:w="742" w:type="pct"/>
            <w:tcBorders>
              <w:top w:val="single" w:sz="8" w:space="0" w:color="auto"/>
              <w:bottom w:val="single" w:sz="8" w:space="0" w:color="auto"/>
            </w:tcBorders>
            <w:vAlign w:val="center"/>
          </w:tcPr>
          <w:p w14:paraId="6BB54647"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2</w:t>
            </w:r>
          </w:p>
        </w:tc>
        <w:tc>
          <w:tcPr>
            <w:tcW w:w="744" w:type="pct"/>
            <w:tcBorders>
              <w:top w:val="single" w:sz="8" w:space="0" w:color="auto"/>
              <w:bottom w:val="single" w:sz="8" w:space="0" w:color="auto"/>
            </w:tcBorders>
            <w:vAlign w:val="center"/>
          </w:tcPr>
          <w:p w14:paraId="2455FCCB"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3</w:t>
            </w:r>
          </w:p>
        </w:tc>
      </w:tr>
      <w:tr w:rsidR="00C666FA" w:rsidRPr="00C666FA" w14:paraId="6C6F1ECC" w14:textId="77777777" w:rsidTr="00220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92" w:type="pct"/>
            <w:tcBorders>
              <w:top w:val="single" w:sz="8" w:space="0" w:color="auto"/>
              <w:left w:val="nil"/>
              <w:bottom w:val="nil"/>
              <w:right w:val="nil"/>
            </w:tcBorders>
            <w:vAlign w:val="center"/>
          </w:tcPr>
          <w:p w14:paraId="691BE207"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μ</m:t>
                </m:r>
              </m:oMath>
            </m:oMathPara>
          </w:p>
        </w:tc>
        <w:tc>
          <w:tcPr>
            <w:tcW w:w="726" w:type="pct"/>
            <w:tcBorders>
              <w:top w:val="single" w:sz="8" w:space="0" w:color="auto"/>
              <w:left w:val="nil"/>
              <w:bottom w:val="nil"/>
              <w:right w:val="nil"/>
            </w:tcBorders>
            <w:vAlign w:val="center"/>
          </w:tcPr>
          <w:p w14:paraId="6DBB2432"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0.029***</w:t>
            </w:r>
          </w:p>
          <w:p w14:paraId="3F688375"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(0.010)</w:t>
            </w:r>
          </w:p>
        </w:tc>
        <w:tc>
          <w:tcPr>
            <w:tcW w:w="726" w:type="pct"/>
            <w:tcBorders>
              <w:top w:val="single" w:sz="8" w:space="0" w:color="auto"/>
              <w:left w:val="nil"/>
              <w:bottom w:val="nil"/>
              <w:right w:val="nil"/>
            </w:tcBorders>
            <w:vAlign w:val="center"/>
          </w:tcPr>
          <w:p w14:paraId="2787EB8F"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0.029***</w:t>
            </w:r>
          </w:p>
          <w:p w14:paraId="24648E70"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(0.010)</w:t>
            </w:r>
          </w:p>
        </w:tc>
        <w:tc>
          <w:tcPr>
            <w:tcW w:w="726" w:type="pct"/>
            <w:tcBorders>
              <w:top w:val="single" w:sz="8" w:space="0" w:color="auto"/>
              <w:left w:val="nil"/>
              <w:bottom w:val="nil"/>
              <w:right w:val="nil"/>
            </w:tcBorders>
            <w:vAlign w:val="center"/>
          </w:tcPr>
          <w:p w14:paraId="40B92F1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0.030***</w:t>
            </w:r>
          </w:p>
          <w:p w14:paraId="1B503503"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(0.010)</w:t>
            </w:r>
          </w:p>
        </w:tc>
        <w:tc>
          <w:tcPr>
            <w:tcW w:w="744" w:type="pct"/>
            <w:tcBorders>
              <w:top w:val="single" w:sz="8" w:space="0" w:color="auto"/>
              <w:left w:val="nil"/>
              <w:bottom w:val="nil"/>
              <w:right w:val="nil"/>
            </w:tcBorders>
            <w:vAlign w:val="center"/>
          </w:tcPr>
          <w:p w14:paraId="6F0E7BA5"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0.050***</w:t>
            </w:r>
          </w:p>
          <w:p w14:paraId="19AA54B1"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(0.013)</w:t>
            </w:r>
          </w:p>
        </w:tc>
        <w:tc>
          <w:tcPr>
            <w:tcW w:w="742" w:type="pct"/>
            <w:tcBorders>
              <w:top w:val="single" w:sz="8" w:space="0" w:color="auto"/>
              <w:left w:val="nil"/>
              <w:bottom w:val="nil"/>
              <w:right w:val="nil"/>
            </w:tcBorders>
            <w:vAlign w:val="center"/>
          </w:tcPr>
          <w:p w14:paraId="367FC56C"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0.050***</w:t>
            </w:r>
          </w:p>
          <w:p w14:paraId="5EC57FC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(0.013)</w:t>
            </w:r>
          </w:p>
        </w:tc>
        <w:tc>
          <w:tcPr>
            <w:tcW w:w="744" w:type="pct"/>
            <w:tcBorders>
              <w:top w:val="single" w:sz="8" w:space="0" w:color="auto"/>
              <w:left w:val="nil"/>
              <w:bottom w:val="nil"/>
              <w:right w:val="nil"/>
            </w:tcBorders>
            <w:vAlign w:val="center"/>
          </w:tcPr>
          <w:p w14:paraId="59C3A9F7"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0.048***</w:t>
            </w:r>
          </w:p>
          <w:p w14:paraId="425C5D2B"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(0.013)</w:t>
            </w:r>
          </w:p>
        </w:tc>
      </w:tr>
      <w:tr w:rsidR="00C666FA" w:rsidRPr="00C666FA" w14:paraId="5DB00C0A" w14:textId="77777777" w:rsidTr="00220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2"/>
          <w:jc w:val="center"/>
        </w:trPr>
        <w:tc>
          <w:tcPr>
            <w:tcW w:w="592" w:type="pct"/>
            <w:tcBorders>
              <w:top w:val="nil"/>
              <w:left w:val="nil"/>
              <w:bottom w:val="nil"/>
              <w:right w:val="nil"/>
            </w:tcBorders>
            <w:vAlign w:val="center"/>
          </w:tcPr>
          <w:p w14:paraId="7DFD72B0"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α</m:t>
                </m:r>
              </m:oMath>
            </m:oMathPara>
          </w:p>
        </w:tc>
        <w:tc>
          <w:tcPr>
            <w:tcW w:w="726" w:type="pct"/>
            <w:tcBorders>
              <w:top w:val="nil"/>
              <w:left w:val="nil"/>
              <w:bottom w:val="nil"/>
              <w:right w:val="nil"/>
            </w:tcBorders>
            <w:vAlign w:val="center"/>
          </w:tcPr>
          <w:p w14:paraId="7F25D06E"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2E-06</w:t>
            </w:r>
          </w:p>
          <w:p w14:paraId="68BA0DF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(0.006)</w:t>
            </w:r>
          </w:p>
        </w:tc>
        <w:tc>
          <w:tcPr>
            <w:tcW w:w="726" w:type="pct"/>
            <w:tcBorders>
              <w:top w:val="nil"/>
              <w:left w:val="nil"/>
              <w:bottom w:val="nil"/>
              <w:right w:val="nil"/>
            </w:tcBorders>
            <w:vAlign w:val="center"/>
          </w:tcPr>
          <w:p w14:paraId="44B675E7"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2E-06</w:t>
            </w:r>
          </w:p>
          <w:p w14:paraId="26D5E919"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(0.006)</w:t>
            </w:r>
          </w:p>
        </w:tc>
        <w:tc>
          <w:tcPr>
            <w:tcW w:w="726" w:type="pct"/>
            <w:tcBorders>
              <w:top w:val="nil"/>
              <w:left w:val="nil"/>
              <w:bottom w:val="nil"/>
              <w:right w:val="nil"/>
            </w:tcBorders>
            <w:vAlign w:val="center"/>
          </w:tcPr>
          <w:p w14:paraId="775C372D"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2E-06</w:t>
            </w:r>
          </w:p>
          <w:p w14:paraId="27BDA40C"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hint="eastAsia"/>
                <w:color w:val="000000" w:themeColor="text1"/>
                <w:sz w:val="18"/>
                <w:szCs w:val="18"/>
              </w:rPr>
              <w:t>（</w:t>
            </w:r>
            <w:r w:rsidRPr="00C666FA">
              <w:rPr>
                <w:rFonts w:ascii="Times New Roman" w:hAnsi="Times New Roman" w:cs="Times New Roman" w:hint="eastAsia"/>
                <w:color w:val="000000" w:themeColor="text1"/>
                <w:sz w:val="18"/>
                <w:szCs w:val="18"/>
              </w:rPr>
              <w:t>0.006</w:t>
            </w:r>
            <w:r w:rsidRPr="00C666FA">
              <w:rPr>
                <w:rFonts w:ascii="Times New Roman" w:hAnsi="Times New Roman" w:cs="Times New Roman" w:hint="eastAsia"/>
                <w:color w:val="000000" w:themeColor="text1"/>
                <w:sz w:val="18"/>
                <w:szCs w:val="18"/>
              </w:rPr>
              <w:t>）</w:t>
            </w:r>
          </w:p>
        </w:tc>
        <w:tc>
          <w:tcPr>
            <w:tcW w:w="744" w:type="pct"/>
            <w:tcBorders>
              <w:top w:val="nil"/>
              <w:left w:val="nil"/>
              <w:bottom w:val="nil"/>
              <w:right w:val="nil"/>
            </w:tcBorders>
            <w:vAlign w:val="center"/>
          </w:tcPr>
          <w:p w14:paraId="314B2D03"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0.002</w:t>
            </w:r>
          </w:p>
          <w:p w14:paraId="2C0A9EF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(0.006)</w:t>
            </w:r>
          </w:p>
        </w:tc>
        <w:tc>
          <w:tcPr>
            <w:tcW w:w="742" w:type="pct"/>
            <w:tcBorders>
              <w:top w:val="nil"/>
              <w:left w:val="nil"/>
              <w:bottom w:val="nil"/>
              <w:right w:val="nil"/>
            </w:tcBorders>
            <w:vAlign w:val="center"/>
          </w:tcPr>
          <w:p w14:paraId="2E811929"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0.002</w:t>
            </w:r>
          </w:p>
          <w:p w14:paraId="29AF12E9"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(0.006)</w:t>
            </w:r>
          </w:p>
        </w:tc>
        <w:tc>
          <w:tcPr>
            <w:tcW w:w="744" w:type="pct"/>
            <w:tcBorders>
              <w:top w:val="nil"/>
              <w:left w:val="nil"/>
              <w:bottom w:val="nil"/>
              <w:right w:val="nil"/>
            </w:tcBorders>
            <w:vAlign w:val="center"/>
          </w:tcPr>
          <w:p w14:paraId="3C754664"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w:t>
            </w:r>
            <w:r w:rsidRPr="00C666FA">
              <w:rPr>
                <w:rFonts w:ascii="Times New Roman" w:hAnsi="Times New Roman" w:cs="Times New Roman" w:hint="eastAsia"/>
                <w:color w:val="000000" w:themeColor="text1"/>
                <w:sz w:val="18"/>
                <w:szCs w:val="18"/>
              </w:rPr>
              <w:t>1</w:t>
            </w:r>
          </w:p>
          <w:p w14:paraId="7A1A4AAF"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w:t>
            </w:r>
            <w:r w:rsidRPr="00C666FA">
              <w:rPr>
                <w:rFonts w:ascii="Times New Roman" w:hAnsi="Times New Roman" w:cs="Times New Roman" w:hint="eastAsia"/>
                <w:color w:val="000000" w:themeColor="text1"/>
                <w:sz w:val="18"/>
                <w:szCs w:val="18"/>
              </w:rPr>
              <w:t>8</w:t>
            </w:r>
            <w:r w:rsidRPr="00C666FA">
              <w:rPr>
                <w:rFonts w:ascii="Times New Roman" w:hAnsi="Times New Roman" w:cs="Times New Roman"/>
                <w:color w:val="000000" w:themeColor="text1"/>
                <w:sz w:val="18"/>
                <w:szCs w:val="18"/>
              </w:rPr>
              <w:t>)</w:t>
            </w:r>
          </w:p>
        </w:tc>
      </w:tr>
      <w:tr w:rsidR="00C666FA" w:rsidRPr="00C666FA" w14:paraId="4CCB04F1" w14:textId="77777777" w:rsidTr="00220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92" w:type="pct"/>
            <w:tcBorders>
              <w:top w:val="nil"/>
              <w:left w:val="nil"/>
              <w:bottom w:val="nil"/>
              <w:right w:val="nil"/>
            </w:tcBorders>
            <w:vAlign w:val="center"/>
          </w:tcPr>
          <w:p w14:paraId="45CACE33"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β</m:t>
                </m:r>
              </m:oMath>
            </m:oMathPara>
          </w:p>
        </w:tc>
        <w:tc>
          <w:tcPr>
            <w:tcW w:w="726" w:type="pct"/>
            <w:tcBorders>
              <w:top w:val="nil"/>
              <w:left w:val="nil"/>
              <w:bottom w:val="nil"/>
              <w:right w:val="nil"/>
            </w:tcBorders>
            <w:vAlign w:val="center"/>
          </w:tcPr>
          <w:p w14:paraId="105549F4"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0.846***</w:t>
            </w:r>
          </w:p>
          <w:p w14:paraId="3302DDCC"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(0.008)</w:t>
            </w:r>
          </w:p>
        </w:tc>
        <w:tc>
          <w:tcPr>
            <w:tcW w:w="726" w:type="pct"/>
            <w:tcBorders>
              <w:top w:val="nil"/>
              <w:left w:val="nil"/>
              <w:bottom w:val="nil"/>
              <w:right w:val="nil"/>
            </w:tcBorders>
            <w:vAlign w:val="center"/>
          </w:tcPr>
          <w:p w14:paraId="1003B1E1"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0.846***</w:t>
            </w:r>
          </w:p>
          <w:p w14:paraId="78CBC540"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(0.008)</w:t>
            </w:r>
          </w:p>
        </w:tc>
        <w:tc>
          <w:tcPr>
            <w:tcW w:w="726" w:type="pct"/>
            <w:tcBorders>
              <w:top w:val="nil"/>
              <w:left w:val="nil"/>
              <w:bottom w:val="nil"/>
              <w:right w:val="nil"/>
            </w:tcBorders>
            <w:vAlign w:val="center"/>
          </w:tcPr>
          <w:p w14:paraId="3C5B112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0.837***</w:t>
            </w:r>
          </w:p>
          <w:p w14:paraId="0CADC409"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(0.009)</w:t>
            </w:r>
          </w:p>
        </w:tc>
        <w:tc>
          <w:tcPr>
            <w:tcW w:w="744" w:type="pct"/>
            <w:tcBorders>
              <w:top w:val="nil"/>
              <w:left w:val="nil"/>
              <w:bottom w:val="nil"/>
              <w:right w:val="nil"/>
            </w:tcBorders>
            <w:vAlign w:val="center"/>
          </w:tcPr>
          <w:p w14:paraId="01464FF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0.841***</w:t>
            </w:r>
          </w:p>
          <w:p w14:paraId="017636CF"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(0.010)</w:t>
            </w:r>
          </w:p>
        </w:tc>
        <w:tc>
          <w:tcPr>
            <w:tcW w:w="742" w:type="pct"/>
            <w:tcBorders>
              <w:top w:val="nil"/>
              <w:left w:val="nil"/>
              <w:bottom w:val="nil"/>
              <w:right w:val="nil"/>
            </w:tcBorders>
            <w:vAlign w:val="center"/>
          </w:tcPr>
          <w:p w14:paraId="2F215DA5"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0.842***</w:t>
            </w:r>
          </w:p>
          <w:p w14:paraId="2E125BFE"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(0.010)</w:t>
            </w:r>
          </w:p>
        </w:tc>
        <w:tc>
          <w:tcPr>
            <w:tcW w:w="744" w:type="pct"/>
            <w:tcBorders>
              <w:top w:val="nil"/>
              <w:left w:val="nil"/>
              <w:bottom w:val="nil"/>
              <w:right w:val="nil"/>
            </w:tcBorders>
            <w:vAlign w:val="center"/>
          </w:tcPr>
          <w:p w14:paraId="115FF0B0"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0.831***</w:t>
            </w:r>
          </w:p>
          <w:p w14:paraId="28A13DC2"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(0.012)</w:t>
            </w:r>
          </w:p>
        </w:tc>
      </w:tr>
      <w:tr w:rsidR="00C666FA" w:rsidRPr="00C666FA" w14:paraId="1D92DA4A" w14:textId="77777777" w:rsidTr="00220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92" w:type="pct"/>
            <w:tcBorders>
              <w:top w:val="nil"/>
              <w:left w:val="nil"/>
              <w:bottom w:val="nil"/>
              <w:right w:val="nil"/>
            </w:tcBorders>
            <w:vAlign w:val="center"/>
          </w:tcPr>
          <w:p w14:paraId="2389825B" w14:textId="77777777" w:rsidR="002D1B3C" w:rsidRPr="00C666FA" w:rsidRDefault="002D1B3C" w:rsidP="0036129B">
            <w:pPr>
              <w:spacing w:line="0" w:lineRule="atLeast"/>
              <w:jc w:val="center"/>
              <w:rPr>
                <w:rFonts w:ascii="DengXian" w:eastAsia="DengXian" w:hAnsi="DengXian" w:cs="Times New Roman"/>
                <w:color w:val="000000" w:themeColor="text1"/>
                <w:sz w:val="18"/>
                <w:szCs w:val="18"/>
              </w:rPr>
            </w:pPr>
            <m:oMathPara>
              <m:oMath>
                <m:r>
                  <w:rPr>
                    <w:rFonts w:ascii="Cambria Math" w:hAnsi="Cambria Math" w:cs="Times New Roman"/>
                    <w:color w:val="000000" w:themeColor="text1"/>
                    <w:sz w:val="18"/>
                    <w:szCs w:val="18"/>
                  </w:rPr>
                  <m:t>γ</m:t>
                </m:r>
              </m:oMath>
            </m:oMathPara>
          </w:p>
        </w:tc>
        <w:tc>
          <w:tcPr>
            <w:tcW w:w="726" w:type="pct"/>
            <w:tcBorders>
              <w:top w:val="nil"/>
              <w:left w:val="nil"/>
              <w:bottom w:val="nil"/>
              <w:right w:val="nil"/>
            </w:tcBorders>
            <w:vAlign w:val="center"/>
          </w:tcPr>
          <w:p w14:paraId="6D5AB56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0.224***</w:t>
            </w:r>
          </w:p>
          <w:p w14:paraId="4BEDE9D0"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(0.012)</w:t>
            </w:r>
          </w:p>
        </w:tc>
        <w:tc>
          <w:tcPr>
            <w:tcW w:w="726" w:type="pct"/>
            <w:tcBorders>
              <w:top w:val="nil"/>
              <w:left w:val="nil"/>
              <w:bottom w:val="nil"/>
              <w:right w:val="nil"/>
            </w:tcBorders>
            <w:vAlign w:val="center"/>
          </w:tcPr>
          <w:p w14:paraId="012FAFA7"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0.224***</w:t>
            </w:r>
          </w:p>
          <w:p w14:paraId="1D723A0A"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(0.012)</w:t>
            </w:r>
          </w:p>
        </w:tc>
        <w:tc>
          <w:tcPr>
            <w:tcW w:w="726" w:type="pct"/>
            <w:tcBorders>
              <w:top w:val="nil"/>
              <w:left w:val="nil"/>
              <w:bottom w:val="nil"/>
              <w:right w:val="nil"/>
            </w:tcBorders>
            <w:vAlign w:val="center"/>
          </w:tcPr>
          <w:p w14:paraId="42295718"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0.223***</w:t>
            </w:r>
          </w:p>
          <w:p w14:paraId="46FF014F"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(0.013)</w:t>
            </w:r>
          </w:p>
        </w:tc>
        <w:tc>
          <w:tcPr>
            <w:tcW w:w="744" w:type="pct"/>
            <w:tcBorders>
              <w:top w:val="nil"/>
              <w:left w:val="nil"/>
              <w:bottom w:val="nil"/>
              <w:right w:val="nil"/>
            </w:tcBorders>
            <w:vAlign w:val="center"/>
          </w:tcPr>
          <w:p w14:paraId="3FE1FDCE"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0.198***</w:t>
            </w:r>
          </w:p>
          <w:p w14:paraId="5BD293F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(0.012)</w:t>
            </w:r>
          </w:p>
        </w:tc>
        <w:tc>
          <w:tcPr>
            <w:tcW w:w="742" w:type="pct"/>
            <w:tcBorders>
              <w:top w:val="nil"/>
              <w:left w:val="nil"/>
              <w:bottom w:val="nil"/>
              <w:right w:val="nil"/>
            </w:tcBorders>
            <w:vAlign w:val="center"/>
          </w:tcPr>
          <w:p w14:paraId="38833330"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0.198***</w:t>
            </w:r>
          </w:p>
          <w:p w14:paraId="1C4F84B8"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(0.012)</w:t>
            </w:r>
          </w:p>
        </w:tc>
        <w:tc>
          <w:tcPr>
            <w:tcW w:w="744" w:type="pct"/>
            <w:tcBorders>
              <w:top w:val="nil"/>
              <w:left w:val="nil"/>
              <w:bottom w:val="nil"/>
              <w:right w:val="nil"/>
            </w:tcBorders>
            <w:vAlign w:val="center"/>
          </w:tcPr>
          <w:p w14:paraId="31A336E0"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0.206***</w:t>
            </w:r>
          </w:p>
          <w:p w14:paraId="5D7CF369"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(0.014)</w:t>
            </w:r>
          </w:p>
        </w:tc>
      </w:tr>
      <w:tr w:rsidR="00C666FA" w:rsidRPr="00C666FA" w14:paraId="047384F0" w14:textId="77777777" w:rsidTr="00220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92" w:type="pct"/>
            <w:tcBorders>
              <w:top w:val="nil"/>
              <w:left w:val="nil"/>
              <w:bottom w:val="nil"/>
              <w:right w:val="nil"/>
            </w:tcBorders>
            <w:vAlign w:val="center"/>
          </w:tcPr>
          <w:p w14:paraId="25CD05E0"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m</m:t>
                </m:r>
              </m:oMath>
            </m:oMathPara>
          </w:p>
        </w:tc>
        <w:tc>
          <w:tcPr>
            <w:tcW w:w="726" w:type="pct"/>
            <w:tcBorders>
              <w:top w:val="nil"/>
              <w:left w:val="nil"/>
              <w:bottom w:val="nil"/>
              <w:right w:val="nil"/>
            </w:tcBorders>
            <w:vAlign w:val="center"/>
          </w:tcPr>
          <w:p w14:paraId="456736AB"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-0.334***</w:t>
            </w:r>
          </w:p>
          <w:p w14:paraId="23A92539"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(0.074)</w:t>
            </w:r>
          </w:p>
        </w:tc>
        <w:tc>
          <w:tcPr>
            <w:tcW w:w="726" w:type="pct"/>
            <w:tcBorders>
              <w:top w:val="nil"/>
              <w:left w:val="nil"/>
              <w:bottom w:val="nil"/>
              <w:right w:val="nil"/>
            </w:tcBorders>
            <w:vAlign w:val="center"/>
          </w:tcPr>
          <w:p w14:paraId="2B05D32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-0.338***</w:t>
            </w:r>
          </w:p>
          <w:p w14:paraId="198231AC"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(0.075)</w:t>
            </w:r>
          </w:p>
        </w:tc>
        <w:tc>
          <w:tcPr>
            <w:tcW w:w="726" w:type="pct"/>
            <w:tcBorders>
              <w:top w:val="nil"/>
              <w:left w:val="nil"/>
              <w:bottom w:val="nil"/>
              <w:right w:val="nil"/>
            </w:tcBorders>
            <w:vAlign w:val="center"/>
          </w:tcPr>
          <w:p w14:paraId="32B8574C"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-1.364***</w:t>
            </w:r>
          </w:p>
          <w:p w14:paraId="64F9C0D8"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(0.138)</w:t>
            </w:r>
          </w:p>
        </w:tc>
        <w:tc>
          <w:tcPr>
            <w:tcW w:w="744" w:type="pct"/>
            <w:tcBorders>
              <w:top w:val="nil"/>
              <w:left w:val="nil"/>
              <w:bottom w:val="nil"/>
              <w:right w:val="nil"/>
            </w:tcBorders>
            <w:vAlign w:val="center"/>
          </w:tcPr>
          <w:p w14:paraId="5C680E2F"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-0.168**</w:t>
            </w:r>
          </w:p>
          <w:p w14:paraId="1EF51A9C"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(0.061)</w:t>
            </w:r>
          </w:p>
        </w:tc>
        <w:tc>
          <w:tcPr>
            <w:tcW w:w="742" w:type="pct"/>
            <w:tcBorders>
              <w:top w:val="nil"/>
              <w:left w:val="nil"/>
              <w:bottom w:val="nil"/>
              <w:right w:val="nil"/>
            </w:tcBorders>
            <w:vAlign w:val="center"/>
          </w:tcPr>
          <w:p w14:paraId="3C0A9DFA"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-0.165**</w:t>
            </w:r>
          </w:p>
          <w:p w14:paraId="7E5B4859"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(0.063)</w:t>
            </w:r>
          </w:p>
        </w:tc>
        <w:tc>
          <w:tcPr>
            <w:tcW w:w="744" w:type="pct"/>
            <w:tcBorders>
              <w:top w:val="nil"/>
              <w:left w:val="nil"/>
              <w:bottom w:val="nil"/>
              <w:right w:val="nil"/>
            </w:tcBorders>
            <w:vAlign w:val="center"/>
          </w:tcPr>
          <w:p w14:paraId="0EF377F2"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-1.430***</w:t>
            </w:r>
          </w:p>
          <w:p w14:paraId="2D4D2AE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(0.128)</w:t>
            </w:r>
          </w:p>
        </w:tc>
      </w:tr>
      <w:tr w:rsidR="00C666FA" w:rsidRPr="00C666FA" w14:paraId="6BE6DBC9" w14:textId="77777777" w:rsidTr="00220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1"/>
          <w:jc w:val="center"/>
        </w:trPr>
        <w:tc>
          <w:tcPr>
            <w:tcW w:w="592" w:type="pct"/>
            <w:tcBorders>
              <w:top w:val="nil"/>
              <w:left w:val="nil"/>
              <w:bottom w:val="nil"/>
              <w:right w:val="nil"/>
            </w:tcBorders>
            <w:vAlign w:val="center"/>
          </w:tcPr>
          <w:p w14:paraId="5EBF9452" w14:textId="77777777" w:rsidR="002D1B3C" w:rsidRPr="00C666FA" w:rsidRDefault="00000000" w:rsidP="0036129B">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θ</m:t>
                    </m:r>
                  </m:e>
                  <m:sub>
                    <m:r>
                      <w:rPr>
                        <w:rFonts w:ascii="Cambria Math" w:hAnsi="Cambria Math" w:cs="Times New Roman"/>
                        <w:color w:val="000000" w:themeColor="text1"/>
                        <w:sz w:val="18"/>
                        <w:szCs w:val="18"/>
                      </w:rPr>
                      <m:t>RV</m:t>
                    </m:r>
                  </m:sub>
                </m:sSub>
              </m:oMath>
            </m:oMathPara>
          </w:p>
        </w:tc>
        <w:tc>
          <w:tcPr>
            <w:tcW w:w="726" w:type="pct"/>
            <w:tcBorders>
              <w:top w:val="nil"/>
              <w:left w:val="nil"/>
              <w:bottom w:val="nil"/>
              <w:right w:val="nil"/>
            </w:tcBorders>
            <w:vAlign w:val="center"/>
          </w:tcPr>
          <w:p w14:paraId="76AA034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0.017***</w:t>
            </w:r>
          </w:p>
          <w:p w14:paraId="734C8D70"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(0.001)</w:t>
            </w:r>
          </w:p>
        </w:tc>
        <w:tc>
          <w:tcPr>
            <w:tcW w:w="726" w:type="pct"/>
            <w:tcBorders>
              <w:top w:val="nil"/>
              <w:left w:val="nil"/>
              <w:bottom w:val="nil"/>
              <w:right w:val="nil"/>
            </w:tcBorders>
            <w:vAlign w:val="center"/>
          </w:tcPr>
          <w:p w14:paraId="5ADAE903"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0.014***</w:t>
            </w:r>
          </w:p>
          <w:p w14:paraId="1B2A0483"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(0.001)</w:t>
            </w:r>
          </w:p>
        </w:tc>
        <w:tc>
          <w:tcPr>
            <w:tcW w:w="726" w:type="pct"/>
            <w:tcBorders>
              <w:top w:val="nil"/>
              <w:left w:val="nil"/>
              <w:bottom w:val="nil"/>
              <w:right w:val="nil"/>
            </w:tcBorders>
            <w:vAlign w:val="center"/>
          </w:tcPr>
          <w:p w14:paraId="35FBE910"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0.011***</w:t>
            </w:r>
          </w:p>
          <w:p w14:paraId="1C28CBA1"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(0.001)</w:t>
            </w:r>
          </w:p>
        </w:tc>
        <w:tc>
          <w:tcPr>
            <w:tcW w:w="744" w:type="pct"/>
            <w:tcBorders>
              <w:top w:val="nil"/>
              <w:left w:val="nil"/>
              <w:bottom w:val="nil"/>
              <w:right w:val="nil"/>
            </w:tcBorders>
            <w:vAlign w:val="center"/>
          </w:tcPr>
          <w:p w14:paraId="64189788"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0.013***</w:t>
            </w:r>
          </w:p>
          <w:p w14:paraId="1E7A3784"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(0.001)</w:t>
            </w:r>
          </w:p>
        </w:tc>
        <w:tc>
          <w:tcPr>
            <w:tcW w:w="742" w:type="pct"/>
            <w:tcBorders>
              <w:top w:val="nil"/>
              <w:left w:val="nil"/>
              <w:bottom w:val="nil"/>
              <w:right w:val="nil"/>
            </w:tcBorders>
            <w:vAlign w:val="center"/>
          </w:tcPr>
          <w:p w14:paraId="51B08723"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0.013***</w:t>
            </w:r>
          </w:p>
          <w:p w14:paraId="7C3D2ECA"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(0.001)</w:t>
            </w:r>
          </w:p>
        </w:tc>
        <w:tc>
          <w:tcPr>
            <w:tcW w:w="744" w:type="pct"/>
            <w:tcBorders>
              <w:top w:val="nil"/>
              <w:left w:val="nil"/>
              <w:bottom w:val="nil"/>
              <w:right w:val="nil"/>
            </w:tcBorders>
            <w:vAlign w:val="center"/>
          </w:tcPr>
          <w:p w14:paraId="5238FCDC"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0.008***</w:t>
            </w:r>
          </w:p>
          <w:p w14:paraId="6F4958F7"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(0.001)</w:t>
            </w:r>
          </w:p>
        </w:tc>
      </w:tr>
      <w:tr w:rsidR="00C666FA" w:rsidRPr="00C666FA" w14:paraId="274FF51F" w14:textId="77777777" w:rsidTr="00220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92" w:type="pct"/>
            <w:tcBorders>
              <w:top w:val="nil"/>
              <w:left w:val="nil"/>
              <w:bottom w:val="nil"/>
              <w:right w:val="nil"/>
            </w:tcBorders>
            <w:vAlign w:val="center"/>
          </w:tcPr>
          <w:p w14:paraId="128AA8FB" w14:textId="77777777" w:rsidR="002D1B3C" w:rsidRPr="00C666FA" w:rsidRDefault="00000000" w:rsidP="0036129B">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θ</m:t>
                    </m:r>
                  </m:e>
                  <m:sub>
                    <m:r>
                      <w:rPr>
                        <w:rFonts w:ascii="Cambria Math" w:hAnsi="Cambria Math" w:cs="Times New Roman"/>
                        <w:color w:val="000000" w:themeColor="text1"/>
                        <w:sz w:val="18"/>
                        <w:szCs w:val="18"/>
                      </w:rPr>
                      <m:t>UCT</m:t>
                    </m:r>
                  </m:sub>
                </m:sSub>
              </m:oMath>
            </m:oMathPara>
          </w:p>
        </w:tc>
        <w:tc>
          <w:tcPr>
            <w:tcW w:w="726" w:type="pct"/>
            <w:tcBorders>
              <w:top w:val="nil"/>
              <w:left w:val="nil"/>
              <w:bottom w:val="nil"/>
              <w:right w:val="nil"/>
            </w:tcBorders>
            <w:vAlign w:val="center"/>
          </w:tcPr>
          <w:p w14:paraId="6C815B81"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26" w:type="pct"/>
            <w:tcBorders>
              <w:top w:val="nil"/>
              <w:left w:val="nil"/>
              <w:bottom w:val="nil"/>
              <w:right w:val="nil"/>
            </w:tcBorders>
            <w:vAlign w:val="center"/>
          </w:tcPr>
          <w:p w14:paraId="39A05827"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0.013</w:t>
            </w:r>
          </w:p>
          <w:p w14:paraId="5762A669"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(0.030)</w:t>
            </w:r>
          </w:p>
        </w:tc>
        <w:tc>
          <w:tcPr>
            <w:tcW w:w="726" w:type="pct"/>
            <w:tcBorders>
              <w:top w:val="nil"/>
              <w:left w:val="nil"/>
              <w:bottom w:val="nil"/>
              <w:right w:val="nil"/>
            </w:tcBorders>
            <w:vAlign w:val="center"/>
          </w:tcPr>
          <w:p w14:paraId="7E96E69A"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44" w:type="pct"/>
            <w:tcBorders>
              <w:top w:val="nil"/>
              <w:left w:val="nil"/>
              <w:bottom w:val="nil"/>
              <w:right w:val="nil"/>
            </w:tcBorders>
            <w:vAlign w:val="center"/>
          </w:tcPr>
          <w:p w14:paraId="7E19A7B0"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42" w:type="pct"/>
            <w:tcBorders>
              <w:top w:val="nil"/>
              <w:left w:val="nil"/>
              <w:bottom w:val="nil"/>
              <w:right w:val="nil"/>
            </w:tcBorders>
            <w:vAlign w:val="center"/>
          </w:tcPr>
          <w:p w14:paraId="394313FB"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-0.006</w:t>
            </w:r>
          </w:p>
          <w:p w14:paraId="5D626690"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(0.013)</w:t>
            </w:r>
          </w:p>
        </w:tc>
        <w:tc>
          <w:tcPr>
            <w:tcW w:w="744" w:type="pct"/>
            <w:tcBorders>
              <w:top w:val="nil"/>
              <w:left w:val="nil"/>
              <w:bottom w:val="nil"/>
              <w:right w:val="nil"/>
            </w:tcBorders>
            <w:vAlign w:val="center"/>
          </w:tcPr>
          <w:p w14:paraId="23058F1C"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r>
      <w:tr w:rsidR="00C666FA" w:rsidRPr="00C666FA" w14:paraId="43D0D742" w14:textId="77777777" w:rsidTr="00220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92" w:type="pct"/>
            <w:tcBorders>
              <w:top w:val="nil"/>
              <w:left w:val="nil"/>
              <w:bottom w:val="nil"/>
              <w:right w:val="nil"/>
            </w:tcBorders>
            <w:vAlign w:val="center"/>
          </w:tcPr>
          <w:p w14:paraId="417B78D5" w14:textId="77777777" w:rsidR="002D1B3C" w:rsidRPr="00C666FA" w:rsidRDefault="00000000" w:rsidP="0036129B">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θ</m:t>
                    </m:r>
                  </m:e>
                  <m:sub>
                    <m:r>
                      <w:rPr>
                        <w:rFonts w:ascii="Cambria Math" w:hAnsi="Cambria Math" w:cs="Times New Roman"/>
                        <w:color w:val="000000" w:themeColor="text1"/>
                        <w:sz w:val="18"/>
                        <w:szCs w:val="18"/>
                      </w:rPr>
                      <m:t>UC</m:t>
                    </m:r>
                    <m:sSup>
                      <m:sSupPr>
                        <m:ctrlPr>
                          <w:rPr>
                            <w:rFonts w:ascii="Cambria Math" w:hAnsi="Cambria Math" w:cs="Times New Roman"/>
                            <w:color w:val="000000" w:themeColor="text1"/>
                            <w:sz w:val="18"/>
                            <w:szCs w:val="18"/>
                          </w:rPr>
                        </m:ctrlPr>
                      </m:sSupPr>
                      <m:e>
                        <m:r>
                          <w:rPr>
                            <w:rFonts w:ascii="Cambria Math" w:hAnsi="Cambria Math" w:cs="Times New Roman"/>
                            <w:color w:val="000000" w:themeColor="text1"/>
                            <w:sz w:val="18"/>
                            <w:szCs w:val="18"/>
                          </w:rPr>
                          <m:t>T</m:t>
                        </m:r>
                      </m:e>
                      <m:sup>
                        <m:r>
                          <m:rPr>
                            <m:sty m:val="p"/>
                          </m:rPr>
                          <w:rPr>
                            <w:rFonts w:ascii="Cambria Math" w:hAnsi="Cambria Math" w:cs="Times New Roman"/>
                            <w:color w:val="000000" w:themeColor="text1"/>
                            <w:sz w:val="18"/>
                            <w:szCs w:val="18"/>
                          </w:rPr>
                          <m:t>+</m:t>
                        </m:r>
                      </m:sup>
                    </m:sSup>
                  </m:sub>
                </m:sSub>
              </m:oMath>
            </m:oMathPara>
          </w:p>
        </w:tc>
        <w:tc>
          <w:tcPr>
            <w:tcW w:w="726" w:type="pct"/>
            <w:tcBorders>
              <w:top w:val="nil"/>
              <w:left w:val="nil"/>
              <w:bottom w:val="nil"/>
              <w:right w:val="nil"/>
            </w:tcBorders>
            <w:vAlign w:val="center"/>
          </w:tcPr>
          <w:p w14:paraId="38D763AA"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26" w:type="pct"/>
            <w:tcBorders>
              <w:top w:val="nil"/>
              <w:left w:val="nil"/>
              <w:bottom w:val="nil"/>
              <w:right w:val="nil"/>
            </w:tcBorders>
            <w:vAlign w:val="center"/>
          </w:tcPr>
          <w:p w14:paraId="3A1733E5"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26" w:type="pct"/>
            <w:tcBorders>
              <w:top w:val="nil"/>
              <w:left w:val="nil"/>
              <w:bottom w:val="nil"/>
              <w:right w:val="nil"/>
            </w:tcBorders>
            <w:vAlign w:val="center"/>
          </w:tcPr>
          <w:p w14:paraId="272EA871"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0.003**</w:t>
            </w:r>
          </w:p>
          <w:p w14:paraId="4400BF22"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(0.002)</w:t>
            </w:r>
          </w:p>
        </w:tc>
        <w:tc>
          <w:tcPr>
            <w:tcW w:w="744" w:type="pct"/>
            <w:tcBorders>
              <w:top w:val="nil"/>
              <w:left w:val="nil"/>
              <w:bottom w:val="nil"/>
              <w:right w:val="nil"/>
            </w:tcBorders>
            <w:vAlign w:val="center"/>
          </w:tcPr>
          <w:p w14:paraId="6BB14B2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42" w:type="pct"/>
            <w:tcBorders>
              <w:top w:val="nil"/>
              <w:left w:val="nil"/>
              <w:bottom w:val="nil"/>
              <w:right w:val="nil"/>
            </w:tcBorders>
            <w:vAlign w:val="center"/>
          </w:tcPr>
          <w:p w14:paraId="0B9CDBCE"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44" w:type="pct"/>
            <w:tcBorders>
              <w:top w:val="nil"/>
              <w:left w:val="nil"/>
              <w:bottom w:val="nil"/>
              <w:right w:val="nil"/>
            </w:tcBorders>
            <w:vAlign w:val="center"/>
          </w:tcPr>
          <w:p w14:paraId="1BA93000"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0.005***</w:t>
            </w:r>
          </w:p>
          <w:p w14:paraId="44A33263"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(0.002)</w:t>
            </w:r>
          </w:p>
        </w:tc>
      </w:tr>
      <w:tr w:rsidR="00C666FA" w:rsidRPr="00C666FA" w14:paraId="4B89581F" w14:textId="77777777" w:rsidTr="00220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92" w:type="pct"/>
            <w:tcBorders>
              <w:top w:val="nil"/>
              <w:left w:val="nil"/>
              <w:bottom w:val="nil"/>
              <w:right w:val="nil"/>
            </w:tcBorders>
            <w:vAlign w:val="center"/>
          </w:tcPr>
          <w:p w14:paraId="3DDEC9E8" w14:textId="77777777" w:rsidR="002D1B3C" w:rsidRPr="00C666FA" w:rsidRDefault="00000000" w:rsidP="0036129B">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θ</m:t>
                    </m:r>
                  </m:e>
                  <m:sub>
                    <m:r>
                      <w:rPr>
                        <w:rFonts w:ascii="Cambria Math" w:hAnsi="Cambria Math" w:cs="Times New Roman"/>
                        <w:color w:val="000000" w:themeColor="text1"/>
                        <w:sz w:val="18"/>
                        <w:szCs w:val="18"/>
                      </w:rPr>
                      <m:t>UC</m:t>
                    </m:r>
                    <m:sSup>
                      <m:sSupPr>
                        <m:ctrlPr>
                          <w:rPr>
                            <w:rFonts w:ascii="Cambria Math" w:hAnsi="Cambria Math" w:cs="Times New Roman"/>
                            <w:color w:val="000000" w:themeColor="text1"/>
                            <w:sz w:val="18"/>
                            <w:szCs w:val="18"/>
                          </w:rPr>
                        </m:ctrlPr>
                      </m:sSupPr>
                      <m:e>
                        <m:r>
                          <w:rPr>
                            <w:rFonts w:ascii="Cambria Math" w:hAnsi="Cambria Math" w:cs="Times New Roman"/>
                            <w:color w:val="000000" w:themeColor="text1"/>
                            <w:sz w:val="18"/>
                            <w:szCs w:val="18"/>
                          </w:rPr>
                          <m:t>T</m:t>
                        </m:r>
                      </m:e>
                      <m:sup>
                        <m:r>
                          <m:rPr>
                            <m:sty m:val="p"/>
                          </m:rPr>
                          <w:rPr>
                            <w:rFonts w:ascii="Cambria Math" w:hAnsi="Cambria Math" w:cs="Times New Roman"/>
                            <w:color w:val="000000" w:themeColor="text1"/>
                            <w:sz w:val="18"/>
                            <w:szCs w:val="18"/>
                          </w:rPr>
                          <m:t>-</m:t>
                        </m:r>
                      </m:sup>
                    </m:sSup>
                  </m:sub>
                </m:sSub>
              </m:oMath>
            </m:oMathPara>
          </w:p>
        </w:tc>
        <w:tc>
          <w:tcPr>
            <w:tcW w:w="726" w:type="pct"/>
            <w:tcBorders>
              <w:top w:val="nil"/>
              <w:left w:val="nil"/>
              <w:bottom w:val="nil"/>
              <w:right w:val="nil"/>
            </w:tcBorders>
            <w:vAlign w:val="center"/>
          </w:tcPr>
          <w:p w14:paraId="26F4955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26" w:type="pct"/>
            <w:tcBorders>
              <w:top w:val="nil"/>
              <w:left w:val="nil"/>
              <w:bottom w:val="nil"/>
              <w:right w:val="nil"/>
            </w:tcBorders>
            <w:vAlign w:val="center"/>
          </w:tcPr>
          <w:p w14:paraId="1011C5BC"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26" w:type="pct"/>
            <w:tcBorders>
              <w:top w:val="nil"/>
              <w:left w:val="nil"/>
              <w:bottom w:val="nil"/>
              <w:right w:val="nil"/>
            </w:tcBorders>
            <w:vAlign w:val="center"/>
          </w:tcPr>
          <w:p w14:paraId="14DB675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-0.004**</w:t>
            </w:r>
          </w:p>
          <w:p w14:paraId="4017FDE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(0.001)</w:t>
            </w:r>
          </w:p>
        </w:tc>
        <w:tc>
          <w:tcPr>
            <w:tcW w:w="744" w:type="pct"/>
            <w:tcBorders>
              <w:top w:val="nil"/>
              <w:left w:val="nil"/>
              <w:bottom w:val="nil"/>
              <w:right w:val="nil"/>
            </w:tcBorders>
            <w:vAlign w:val="center"/>
          </w:tcPr>
          <w:p w14:paraId="7374281C"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42" w:type="pct"/>
            <w:tcBorders>
              <w:top w:val="nil"/>
              <w:left w:val="nil"/>
              <w:bottom w:val="nil"/>
              <w:right w:val="nil"/>
            </w:tcBorders>
            <w:vAlign w:val="center"/>
          </w:tcPr>
          <w:p w14:paraId="4A33A5EB"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44" w:type="pct"/>
            <w:tcBorders>
              <w:top w:val="nil"/>
              <w:left w:val="nil"/>
              <w:bottom w:val="nil"/>
              <w:right w:val="nil"/>
            </w:tcBorders>
            <w:vAlign w:val="center"/>
          </w:tcPr>
          <w:p w14:paraId="3A7109DA"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-0.005***</w:t>
            </w:r>
          </w:p>
          <w:p w14:paraId="1D93D61A"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(0.001)</w:t>
            </w:r>
          </w:p>
        </w:tc>
      </w:tr>
      <w:tr w:rsidR="00C666FA" w:rsidRPr="00C666FA" w14:paraId="3FF4866B" w14:textId="77777777" w:rsidTr="00220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92" w:type="pct"/>
            <w:tcBorders>
              <w:top w:val="nil"/>
              <w:left w:val="nil"/>
              <w:bottom w:val="nil"/>
              <w:right w:val="nil"/>
            </w:tcBorders>
            <w:vAlign w:val="center"/>
          </w:tcPr>
          <w:p w14:paraId="6F066B56" w14:textId="77777777" w:rsidR="002D1B3C" w:rsidRPr="00C666FA" w:rsidRDefault="00000000" w:rsidP="0036129B">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w</m:t>
                    </m:r>
                  </m:e>
                  <m:sub>
                    <m:r>
                      <m:rPr>
                        <m:sty m:val="p"/>
                      </m:rPr>
                      <w:rPr>
                        <w:rFonts w:ascii="Cambria Math" w:hAnsi="Cambria Math" w:cs="Times New Roman"/>
                        <w:color w:val="000000" w:themeColor="text1"/>
                        <w:sz w:val="18"/>
                        <w:szCs w:val="18"/>
                      </w:rPr>
                      <m:t>2,RV</m:t>
                    </m:r>
                  </m:sub>
                </m:sSub>
              </m:oMath>
            </m:oMathPara>
          </w:p>
        </w:tc>
        <w:tc>
          <w:tcPr>
            <w:tcW w:w="726" w:type="pct"/>
            <w:tcBorders>
              <w:top w:val="nil"/>
              <w:left w:val="nil"/>
              <w:bottom w:val="nil"/>
              <w:right w:val="nil"/>
            </w:tcBorders>
            <w:vAlign w:val="center"/>
          </w:tcPr>
          <w:p w14:paraId="6450A66B"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6.167***</w:t>
            </w:r>
          </w:p>
          <w:p w14:paraId="050D5188"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(0.775)</w:t>
            </w:r>
          </w:p>
        </w:tc>
        <w:tc>
          <w:tcPr>
            <w:tcW w:w="726" w:type="pct"/>
            <w:tcBorders>
              <w:top w:val="nil"/>
              <w:left w:val="nil"/>
              <w:bottom w:val="nil"/>
              <w:right w:val="nil"/>
            </w:tcBorders>
            <w:vAlign w:val="center"/>
          </w:tcPr>
          <w:p w14:paraId="6AFD8F24"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6.119***</w:t>
            </w:r>
          </w:p>
          <w:p w14:paraId="1C6955E3"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(0.808)</w:t>
            </w:r>
          </w:p>
        </w:tc>
        <w:tc>
          <w:tcPr>
            <w:tcW w:w="726" w:type="pct"/>
            <w:tcBorders>
              <w:top w:val="nil"/>
              <w:left w:val="nil"/>
              <w:bottom w:val="nil"/>
              <w:right w:val="nil"/>
            </w:tcBorders>
            <w:vAlign w:val="center"/>
          </w:tcPr>
          <w:p w14:paraId="1010980B"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7.500***</w:t>
            </w:r>
          </w:p>
          <w:p w14:paraId="67A5A8C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(0.156)</w:t>
            </w:r>
          </w:p>
        </w:tc>
        <w:tc>
          <w:tcPr>
            <w:tcW w:w="744" w:type="pct"/>
            <w:tcBorders>
              <w:top w:val="nil"/>
              <w:left w:val="nil"/>
              <w:bottom w:val="nil"/>
              <w:right w:val="nil"/>
            </w:tcBorders>
            <w:vAlign w:val="center"/>
          </w:tcPr>
          <w:p w14:paraId="59489868"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5.837***</w:t>
            </w:r>
          </w:p>
          <w:p w14:paraId="510BBDE0"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(0.664)</w:t>
            </w:r>
          </w:p>
        </w:tc>
        <w:tc>
          <w:tcPr>
            <w:tcW w:w="742" w:type="pct"/>
            <w:tcBorders>
              <w:top w:val="nil"/>
              <w:left w:val="nil"/>
              <w:bottom w:val="nil"/>
              <w:right w:val="nil"/>
            </w:tcBorders>
            <w:vAlign w:val="center"/>
          </w:tcPr>
          <w:p w14:paraId="4A800A0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5.831***</w:t>
            </w:r>
          </w:p>
          <w:p w14:paraId="2D0D653E"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(0.709)</w:t>
            </w:r>
          </w:p>
        </w:tc>
        <w:tc>
          <w:tcPr>
            <w:tcW w:w="744" w:type="pct"/>
            <w:tcBorders>
              <w:top w:val="nil"/>
              <w:left w:val="nil"/>
              <w:bottom w:val="nil"/>
              <w:right w:val="nil"/>
            </w:tcBorders>
            <w:vAlign w:val="center"/>
          </w:tcPr>
          <w:p w14:paraId="75F1C5ED"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1.000***</w:t>
            </w:r>
          </w:p>
          <w:p w14:paraId="5742FD19"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(0.223)</w:t>
            </w:r>
          </w:p>
        </w:tc>
      </w:tr>
      <w:tr w:rsidR="00C666FA" w:rsidRPr="00C666FA" w14:paraId="37687501" w14:textId="77777777" w:rsidTr="00220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92" w:type="pct"/>
            <w:tcBorders>
              <w:top w:val="nil"/>
              <w:left w:val="nil"/>
              <w:bottom w:val="nil"/>
              <w:right w:val="nil"/>
            </w:tcBorders>
            <w:vAlign w:val="center"/>
          </w:tcPr>
          <w:p w14:paraId="22D584A6" w14:textId="77777777" w:rsidR="002D1B3C" w:rsidRPr="00C666FA" w:rsidRDefault="00000000" w:rsidP="0036129B">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w</m:t>
                    </m:r>
                  </m:e>
                  <m:sub>
                    <m:r>
                      <m:rPr>
                        <m:sty m:val="p"/>
                      </m:rPr>
                      <w:rPr>
                        <w:rFonts w:ascii="Cambria Math" w:hAnsi="Cambria Math" w:cs="Times New Roman"/>
                        <w:color w:val="000000" w:themeColor="text1"/>
                        <w:sz w:val="18"/>
                        <w:szCs w:val="18"/>
                      </w:rPr>
                      <m:t>2,UCT</m:t>
                    </m:r>
                  </m:sub>
                </m:sSub>
              </m:oMath>
            </m:oMathPara>
          </w:p>
        </w:tc>
        <w:tc>
          <w:tcPr>
            <w:tcW w:w="726" w:type="pct"/>
            <w:tcBorders>
              <w:top w:val="nil"/>
              <w:left w:val="nil"/>
              <w:bottom w:val="nil"/>
              <w:right w:val="nil"/>
            </w:tcBorders>
            <w:vAlign w:val="center"/>
          </w:tcPr>
          <w:p w14:paraId="744E9C9C"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26" w:type="pct"/>
            <w:tcBorders>
              <w:top w:val="nil"/>
              <w:left w:val="nil"/>
              <w:bottom w:val="nil"/>
              <w:right w:val="nil"/>
            </w:tcBorders>
            <w:vAlign w:val="center"/>
          </w:tcPr>
          <w:p w14:paraId="06DAF161"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1.000</w:t>
            </w:r>
          </w:p>
          <w:p w14:paraId="186ACE83"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(0.342)</w:t>
            </w:r>
          </w:p>
        </w:tc>
        <w:tc>
          <w:tcPr>
            <w:tcW w:w="726" w:type="pct"/>
            <w:tcBorders>
              <w:top w:val="nil"/>
              <w:left w:val="nil"/>
              <w:bottom w:val="nil"/>
              <w:right w:val="nil"/>
            </w:tcBorders>
            <w:vAlign w:val="center"/>
          </w:tcPr>
          <w:p w14:paraId="54813AE0"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44" w:type="pct"/>
            <w:tcBorders>
              <w:top w:val="nil"/>
              <w:left w:val="nil"/>
              <w:bottom w:val="nil"/>
              <w:right w:val="nil"/>
            </w:tcBorders>
            <w:vAlign w:val="center"/>
          </w:tcPr>
          <w:p w14:paraId="7CBC818E"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42" w:type="pct"/>
            <w:tcBorders>
              <w:top w:val="nil"/>
              <w:left w:val="nil"/>
              <w:bottom w:val="nil"/>
              <w:right w:val="nil"/>
            </w:tcBorders>
            <w:vAlign w:val="center"/>
          </w:tcPr>
          <w:p w14:paraId="66C3312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10.074</w:t>
            </w:r>
          </w:p>
          <w:p w14:paraId="694175B7"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(23.296)</w:t>
            </w:r>
          </w:p>
        </w:tc>
        <w:tc>
          <w:tcPr>
            <w:tcW w:w="744" w:type="pct"/>
            <w:tcBorders>
              <w:top w:val="nil"/>
              <w:left w:val="nil"/>
              <w:bottom w:val="nil"/>
              <w:right w:val="nil"/>
            </w:tcBorders>
            <w:vAlign w:val="center"/>
          </w:tcPr>
          <w:p w14:paraId="0F4DD170" w14:textId="77777777" w:rsidR="002D1B3C" w:rsidRPr="00C666FA" w:rsidRDefault="002D1B3C" w:rsidP="0036129B">
            <w:pPr>
              <w:jc w:val="center"/>
              <w:rPr>
                <w:rFonts w:ascii="Times New Roman" w:hAnsi="Times New Roman" w:cs="Times New Roman"/>
                <w:color w:val="000000" w:themeColor="text1"/>
                <w:sz w:val="18"/>
                <w:szCs w:val="18"/>
              </w:rPr>
            </w:pPr>
          </w:p>
        </w:tc>
      </w:tr>
      <w:tr w:rsidR="00C666FA" w:rsidRPr="00C666FA" w14:paraId="5AEA3A08" w14:textId="77777777" w:rsidTr="00220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92" w:type="pct"/>
            <w:tcBorders>
              <w:top w:val="nil"/>
              <w:left w:val="nil"/>
              <w:bottom w:val="nil"/>
              <w:right w:val="nil"/>
            </w:tcBorders>
            <w:vAlign w:val="center"/>
          </w:tcPr>
          <w:p w14:paraId="3D5D6D7F" w14:textId="77777777" w:rsidR="002D1B3C" w:rsidRPr="00C666FA" w:rsidRDefault="00000000" w:rsidP="0036129B">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w</m:t>
                    </m:r>
                  </m:e>
                  <m:sub>
                    <m:r>
                      <m:rPr>
                        <m:sty m:val="p"/>
                      </m:rPr>
                      <w:rPr>
                        <w:rFonts w:ascii="Cambria Math" w:hAnsi="Cambria Math" w:cs="Times New Roman"/>
                        <w:color w:val="000000" w:themeColor="text1"/>
                        <w:sz w:val="18"/>
                        <w:szCs w:val="18"/>
                      </w:rPr>
                      <m:t>2,</m:t>
                    </m:r>
                    <m:sSup>
                      <m:sSupPr>
                        <m:ctrlPr>
                          <w:rPr>
                            <w:rFonts w:ascii="Cambria Math" w:hAnsi="Cambria Math" w:cs="Times New Roman"/>
                            <w:color w:val="000000" w:themeColor="text1"/>
                            <w:sz w:val="18"/>
                            <w:szCs w:val="18"/>
                          </w:rPr>
                        </m:ctrlPr>
                      </m:sSupPr>
                      <m:e>
                        <m:r>
                          <m:rPr>
                            <m:sty m:val="p"/>
                          </m:rPr>
                          <w:rPr>
                            <w:rFonts w:ascii="Cambria Math" w:hAnsi="Cambria Math" w:cs="Times New Roman"/>
                            <w:color w:val="000000" w:themeColor="text1"/>
                            <w:sz w:val="18"/>
                            <w:szCs w:val="18"/>
                          </w:rPr>
                          <m:t>UCT</m:t>
                        </m:r>
                      </m:e>
                      <m:sup>
                        <m:r>
                          <m:rPr>
                            <m:sty m:val="p"/>
                          </m:rPr>
                          <w:rPr>
                            <w:rFonts w:ascii="Cambria Math" w:hAnsi="Cambria Math" w:cs="Times New Roman"/>
                            <w:color w:val="000000" w:themeColor="text1"/>
                            <w:sz w:val="18"/>
                            <w:szCs w:val="18"/>
                          </w:rPr>
                          <m:t>+</m:t>
                        </m:r>
                      </m:sup>
                    </m:sSup>
                  </m:sub>
                </m:sSub>
              </m:oMath>
            </m:oMathPara>
          </w:p>
        </w:tc>
        <w:tc>
          <w:tcPr>
            <w:tcW w:w="726" w:type="pct"/>
            <w:tcBorders>
              <w:top w:val="nil"/>
              <w:left w:val="nil"/>
              <w:bottom w:val="nil"/>
              <w:right w:val="nil"/>
            </w:tcBorders>
            <w:vAlign w:val="center"/>
          </w:tcPr>
          <w:p w14:paraId="443E7B93"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26" w:type="pct"/>
            <w:tcBorders>
              <w:top w:val="nil"/>
              <w:left w:val="nil"/>
              <w:bottom w:val="nil"/>
              <w:right w:val="nil"/>
            </w:tcBorders>
            <w:vAlign w:val="center"/>
          </w:tcPr>
          <w:p w14:paraId="2C17997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26" w:type="pct"/>
            <w:tcBorders>
              <w:top w:val="nil"/>
              <w:left w:val="nil"/>
              <w:bottom w:val="nil"/>
              <w:right w:val="nil"/>
            </w:tcBorders>
            <w:vAlign w:val="center"/>
          </w:tcPr>
          <w:p w14:paraId="2066FC4A"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1.000***</w:t>
            </w:r>
          </w:p>
          <w:p w14:paraId="29E9741B"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(0.333)</w:t>
            </w:r>
          </w:p>
        </w:tc>
        <w:tc>
          <w:tcPr>
            <w:tcW w:w="744" w:type="pct"/>
            <w:tcBorders>
              <w:top w:val="nil"/>
              <w:left w:val="nil"/>
              <w:bottom w:val="nil"/>
              <w:right w:val="nil"/>
            </w:tcBorders>
            <w:vAlign w:val="center"/>
          </w:tcPr>
          <w:p w14:paraId="7C1805BF"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42" w:type="pct"/>
            <w:tcBorders>
              <w:top w:val="nil"/>
              <w:left w:val="nil"/>
              <w:bottom w:val="nil"/>
              <w:right w:val="nil"/>
            </w:tcBorders>
            <w:vAlign w:val="center"/>
          </w:tcPr>
          <w:p w14:paraId="40A17DB4"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44" w:type="pct"/>
            <w:tcBorders>
              <w:top w:val="nil"/>
              <w:left w:val="nil"/>
              <w:bottom w:val="nil"/>
              <w:right w:val="nil"/>
            </w:tcBorders>
            <w:vAlign w:val="center"/>
          </w:tcPr>
          <w:p w14:paraId="0E602BE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1.000***</w:t>
            </w:r>
          </w:p>
          <w:p w14:paraId="1A80D14D"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(0.223)</w:t>
            </w:r>
          </w:p>
        </w:tc>
      </w:tr>
      <w:tr w:rsidR="00C666FA" w:rsidRPr="00C666FA" w14:paraId="336CA694" w14:textId="77777777" w:rsidTr="00220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92" w:type="pct"/>
            <w:tcBorders>
              <w:top w:val="nil"/>
              <w:left w:val="nil"/>
              <w:bottom w:val="nil"/>
              <w:right w:val="nil"/>
            </w:tcBorders>
            <w:vAlign w:val="center"/>
          </w:tcPr>
          <w:p w14:paraId="66C1348C" w14:textId="77777777" w:rsidR="002D1B3C" w:rsidRPr="00C666FA" w:rsidRDefault="00000000" w:rsidP="0036129B">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w</m:t>
                    </m:r>
                  </m:e>
                  <m:sub>
                    <m:r>
                      <m:rPr>
                        <m:sty m:val="p"/>
                      </m:rPr>
                      <w:rPr>
                        <w:rFonts w:ascii="Cambria Math" w:hAnsi="Cambria Math" w:cs="Times New Roman"/>
                        <w:color w:val="000000" w:themeColor="text1"/>
                        <w:sz w:val="18"/>
                        <w:szCs w:val="18"/>
                      </w:rPr>
                      <m:t>2,</m:t>
                    </m:r>
                    <m:sSup>
                      <m:sSupPr>
                        <m:ctrlPr>
                          <w:rPr>
                            <w:rFonts w:ascii="Cambria Math" w:hAnsi="Cambria Math" w:cs="Times New Roman"/>
                            <w:color w:val="000000" w:themeColor="text1"/>
                            <w:sz w:val="18"/>
                            <w:szCs w:val="18"/>
                          </w:rPr>
                        </m:ctrlPr>
                      </m:sSupPr>
                      <m:e>
                        <m:r>
                          <m:rPr>
                            <m:sty m:val="p"/>
                          </m:rPr>
                          <w:rPr>
                            <w:rFonts w:ascii="Cambria Math" w:hAnsi="Cambria Math" w:cs="Times New Roman"/>
                            <w:color w:val="000000" w:themeColor="text1"/>
                            <w:sz w:val="18"/>
                            <w:szCs w:val="18"/>
                          </w:rPr>
                          <m:t>UCT</m:t>
                        </m:r>
                      </m:e>
                      <m:sup>
                        <m:r>
                          <m:rPr>
                            <m:sty m:val="p"/>
                          </m:rPr>
                          <w:rPr>
                            <w:rFonts w:ascii="Cambria Math" w:hAnsi="Cambria Math" w:cs="Times New Roman"/>
                            <w:color w:val="000000" w:themeColor="text1"/>
                            <w:sz w:val="18"/>
                            <w:szCs w:val="18"/>
                          </w:rPr>
                          <m:t>-</m:t>
                        </m:r>
                      </m:sup>
                    </m:sSup>
                  </m:sub>
                </m:sSub>
              </m:oMath>
            </m:oMathPara>
          </w:p>
        </w:tc>
        <w:tc>
          <w:tcPr>
            <w:tcW w:w="726" w:type="pct"/>
            <w:tcBorders>
              <w:top w:val="nil"/>
              <w:left w:val="nil"/>
              <w:bottom w:val="nil"/>
              <w:right w:val="nil"/>
            </w:tcBorders>
            <w:vAlign w:val="center"/>
          </w:tcPr>
          <w:p w14:paraId="1D09D16D"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26" w:type="pct"/>
            <w:tcBorders>
              <w:top w:val="nil"/>
              <w:left w:val="nil"/>
              <w:bottom w:val="nil"/>
              <w:right w:val="nil"/>
            </w:tcBorders>
            <w:vAlign w:val="center"/>
          </w:tcPr>
          <w:p w14:paraId="1CB4120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26" w:type="pct"/>
            <w:tcBorders>
              <w:top w:val="nil"/>
              <w:left w:val="nil"/>
              <w:bottom w:val="nil"/>
              <w:right w:val="nil"/>
            </w:tcBorders>
            <w:vAlign w:val="center"/>
          </w:tcPr>
          <w:p w14:paraId="4324385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1.316***</w:t>
            </w:r>
          </w:p>
          <w:p w14:paraId="5F921202"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(0.390)</w:t>
            </w:r>
          </w:p>
        </w:tc>
        <w:tc>
          <w:tcPr>
            <w:tcW w:w="744" w:type="pct"/>
            <w:tcBorders>
              <w:top w:val="nil"/>
              <w:left w:val="nil"/>
              <w:bottom w:val="nil"/>
              <w:right w:val="nil"/>
            </w:tcBorders>
            <w:vAlign w:val="center"/>
          </w:tcPr>
          <w:p w14:paraId="01C9BD9B"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42" w:type="pct"/>
            <w:tcBorders>
              <w:top w:val="nil"/>
              <w:left w:val="nil"/>
              <w:bottom w:val="nil"/>
              <w:right w:val="nil"/>
            </w:tcBorders>
            <w:vAlign w:val="center"/>
          </w:tcPr>
          <w:p w14:paraId="337BA5D9"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p>
        </w:tc>
        <w:tc>
          <w:tcPr>
            <w:tcW w:w="744" w:type="pct"/>
            <w:tcBorders>
              <w:top w:val="nil"/>
              <w:left w:val="nil"/>
              <w:bottom w:val="nil"/>
              <w:right w:val="nil"/>
            </w:tcBorders>
            <w:vAlign w:val="center"/>
          </w:tcPr>
          <w:p w14:paraId="299634B3"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1.146***</w:t>
            </w:r>
          </w:p>
          <w:p w14:paraId="027090B8"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(0.256)</w:t>
            </w:r>
          </w:p>
        </w:tc>
      </w:tr>
      <w:tr w:rsidR="00C666FA" w:rsidRPr="00C666FA" w14:paraId="554DB78A" w14:textId="77777777" w:rsidTr="00220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9"/>
          <w:jc w:val="center"/>
        </w:trPr>
        <w:tc>
          <w:tcPr>
            <w:tcW w:w="592" w:type="pct"/>
            <w:tcBorders>
              <w:top w:val="nil"/>
              <w:left w:val="nil"/>
              <w:bottom w:val="nil"/>
              <w:right w:val="nil"/>
            </w:tcBorders>
            <w:vAlign w:val="center"/>
          </w:tcPr>
          <w:p w14:paraId="6A3F5D6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LLH</m:t>
                </m:r>
              </m:oMath>
            </m:oMathPara>
          </w:p>
        </w:tc>
        <w:tc>
          <w:tcPr>
            <w:tcW w:w="726" w:type="pct"/>
            <w:tcBorders>
              <w:top w:val="nil"/>
              <w:left w:val="nil"/>
              <w:bottom w:val="nil"/>
              <w:right w:val="nil"/>
            </w:tcBorders>
            <w:vAlign w:val="center"/>
          </w:tcPr>
          <w:p w14:paraId="1BEEF689"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-9696.886</w:t>
            </w:r>
          </w:p>
        </w:tc>
        <w:tc>
          <w:tcPr>
            <w:tcW w:w="726" w:type="pct"/>
            <w:tcBorders>
              <w:top w:val="nil"/>
              <w:left w:val="nil"/>
              <w:bottom w:val="nil"/>
              <w:right w:val="nil"/>
            </w:tcBorders>
            <w:vAlign w:val="center"/>
          </w:tcPr>
          <w:p w14:paraId="3974AF80"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-9696.826</w:t>
            </w:r>
          </w:p>
        </w:tc>
        <w:tc>
          <w:tcPr>
            <w:tcW w:w="726" w:type="pct"/>
            <w:tcBorders>
              <w:top w:val="nil"/>
              <w:left w:val="nil"/>
              <w:bottom w:val="nil"/>
              <w:right w:val="nil"/>
            </w:tcBorders>
            <w:vAlign w:val="center"/>
          </w:tcPr>
          <w:p w14:paraId="4C7D9126"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-9677.922</w:t>
            </w:r>
          </w:p>
        </w:tc>
        <w:tc>
          <w:tcPr>
            <w:tcW w:w="744" w:type="pct"/>
            <w:tcBorders>
              <w:top w:val="nil"/>
              <w:left w:val="nil"/>
              <w:bottom w:val="nil"/>
              <w:right w:val="nil"/>
            </w:tcBorders>
            <w:vAlign w:val="center"/>
          </w:tcPr>
          <w:p w14:paraId="08363BDF"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-11487.658</w:t>
            </w:r>
          </w:p>
        </w:tc>
        <w:tc>
          <w:tcPr>
            <w:tcW w:w="742" w:type="pct"/>
            <w:tcBorders>
              <w:top w:val="nil"/>
              <w:left w:val="nil"/>
              <w:bottom w:val="nil"/>
              <w:right w:val="nil"/>
            </w:tcBorders>
            <w:vAlign w:val="center"/>
          </w:tcPr>
          <w:p w14:paraId="23A37E0E"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-11487.113</w:t>
            </w:r>
          </w:p>
        </w:tc>
        <w:tc>
          <w:tcPr>
            <w:tcW w:w="744" w:type="pct"/>
            <w:tcBorders>
              <w:top w:val="nil"/>
              <w:left w:val="nil"/>
              <w:bottom w:val="nil"/>
              <w:right w:val="nil"/>
            </w:tcBorders>
            <w:vAlign w:val="center"/>
          </w:tcPr>
          <w:p w14:paraId="5227A0B9" w14:textId="77777777" w:rsidR="002D1B3C" w:rsidRPr="00C666FA" w:rsidRDefault="002D1B3C" w:rsidP="0036129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-11454.887</w:t>
            </w:r>
          </w:p>
        </w:tc>
      </w:tr>
      <w:tr w:rsidR="00C666FA" w:rsidRPr="00C666FA" w14:paraId="0BEC5AD8" w14:textId="77777777" w:rsidTr="00220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592" w:type="pct"/>
            <w:tcBorders>
              <w:top w:val="nil"/>
              <w:left w:val="nil"/>
              <w:bottom w:val="single" w:sz="8" w:space="0" w:color="auto"/>
              <w:right w:val="nil"/>
            </w:tcBorders>
            <w:vAlign w:val="center"/>
          </w:tcPr>
          <w:p w14:paraId="21871D46" w14:textId="77777777" w:rsidR="002D1B3C" w:rsidRPr="00C666FA" w:rsidRDefault="002D1B3C" w:rsidP="0036129B">
            <w:pPr>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BIC</m:t>
                </m:r>
              </m:oMath>
            </m:oMathPara>
          </w:p>
        </w:tc>
        <w:tc>
          <w:tcPr>
            <w:tcW w:w="726" w:type="pct"/>
            <w:tcBorders>
              <w:top w:val="nil"/>
              <w:left w:val="nil"/>
              <w:bottom w:val="single" w:sz="8" w:space="0" w:color="auto"/>
              <w:right w:val="nil"/>
            </w:tcBorders>
            <w:vAlign w:val="center"/>
          </w:tcPr>
          <w:p w14:paraId="577ACEBC" w14:textId="77777777" w:rsidR="002D1B3C" w:rsidRPr="00C666FA" w:rsidRDefault="002D1B3C" w:rsidP="0036129B">
            <w:pPr>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19455.815</w:t>
            </w:r>
          </w:p>
        </w:tc>
        <w:tc>
          <w:tcPr>
            <w:tcW w:w="726" w:type="pct"/>
            <w:tcBorders>
              <w:top w:val="nil"/>
              <w:left w:val="nil"/>
              <w:bottom w:val="single" w:sz="8" w:space="0" w:color="auto"/>
              <w:right w:val="nil"/>
            </w:tcBorders>
            <w:vAlign w:val="center"/>
          </w:tcPr>
          <w:p w14:paraId="1D59E701" w14:textId="77777777" w:rsidR="002D1B3C" w:rsidRPr="00C666FA" w:rsidRDefault="002D1B3C" w:rsidP="0036129B">
            <w:pPr>
              <w:jc w:val="center"/>
              <w:rPr>
                <w:rFonts w:ascii="Times New Roman" w:hAnsi="Times New Roman" w:cs="Times New Roman"/>
                <w:color w:val="000000" w:themeColor="text1"/>
                <w:sz w:val="18"/>
                <w:szCs w:val="18"/>
              </w:rPr>
            </w:pPr>
            <w:r w:rsidRPr="00C666FA">
              <w:rPr>
                <w:rFonts w:ascii="Times New Roman" w:hAnsi="Times New Roman" w:cs="Times New Roman"/>
                <w:iCs/>
                <w:color w:val="000000" w:themeColor="text1"/>
                <w:sz w:val="18"/>
                <w:szCs w:val="18"/>
              </w:rPr>
              <w:t>19473.420</w:t>
            </w:r>
          </w:p>
        </w:tc>
        <w:tc>
          <w:tcPr>
            <w:tcW w:w="726" w:type="pct"/>
            <w:tcBorders>
              <w:top w:val="nil"/>
              <w:left w:val="nil"/>
              <w:bottom w:val="single" w:sz="8" w:space="0" w:color="auto"/>
              <w:right w:val="nil"/>
            </w:tcBorders>
            <w:vAlign w:val="center"/>
          </w:tcPr>
          <w:p w14:paraId="1CFFC9A3" w14:textId="77777777" w:rsidR="002D1B3C" w:rsidRPr="00C666FA" w:rsidRDefault="002D1B3C" w:rsidP="0036129B">
            <w:pPr>
              <w:jc w:val="center"/>
              <w:rPr>
                <w:rFonts w:ascii="Times New Roman" w:hAnsi="Times New Roman" w:cs="Times New Roman"/>
                <w:color w:val="000000" w:themeColor="text1"/>
                <w:sz w:val="18"/>
                <w:szCs w:val="18"/>
              </w:rPr>
            </w:pPr>
            <w:r w:rsidRPr="00C666FA">
              <w:rPr>
                <w:rFonts w:ascii="Times New Roman" w:hAnsi="Times New Roman" w:cs="Times New Roman"/>
                <w:iCs/>
                <w:color w:val="000000" w:themeColor="text1"/>
                <w:sz w:val="18"/>
                <w:szCs w:val="18"/>
              </w:rPr>
              <w:t>19453.339</w:t>
            </w:r>
          </w:p>
        </w:tc>
        <w:tc>
          <w:tcPr>
            <w:tcW w:w="744" w:type="pct"/>
            <w:tcBorders>
              <w:top w:val="nil"/>
              <w:left w:val="nil"/>
              <w:bottom w:val="single" w:sz="8" w:space="0" w:color="auto"/>
              <w:right w:val="nil"/>
            </w:tcBorders>
            <w:vAlign w:val="center"/>
          </w:tcPr>
          <w:p w14:paraId="1BE73581" w14:textId="77777777" w:rsidR="002D1B3C" w:rsidRPr="00C666FA" w:rsidRDefault="002D1B3C" w:rsidP="0036129B">
            <w:pPr>
              <w:jc w:val="center"/>
              <w:rPr>
                <w:rFonts w:ascii="Times New Roman" w:hAnsi="Times New Roman" w:cs="Times New Roman"/>
                <w:color w:val="000000" w:themeColor="text1"/>
                <w:sz w:val="18"/>
                <w:szCs w:val="18"/>
              </w:rPr>
            </w:pPr>
            <w:r w:rsidRPr="00C666FA">
              <w:rPr>
                <w:rFonts w:ascii="Times New Roman" w:hAnsi="Times New Roman" w:cs="Times New Roman"/>
                <w:iCs/>
                <w:color w:val="000000" w:themeColor="text1"/>
                <w:sz w:val="18"/>
                <w:szCs w:val="18"/>
              </w:rPr>
              <w:t>23037.358</w:t>
            </w:r>
          </w:p>
        </w:tc>
        <w:tc>
          <w:tcPr>
            <w:tcW w:w="742" w:type="pct"/>
            <w:tcBorders>
              <w:top w:val="nil"/>
              <w:left w:val="nil"/>
              <w:bottom w:val="single" w:sz="8" w:space="0" w:color="auto"/>
              <w:right w:val="nil"/>
            </w:tcBorders>
            <w:vAlign w:val="center"/>
          </w:tcPr>
          <w:p w14:paraId="0FFC4DB0" w14:textId="77777777" w:rsidR="002D1B3C" w:rsidRPr="00C666FA" w:rsidRDefault="002D1B3C" w:rsidP="0036129B">
            <w:pPr>
              <w:jc w:val="center"/>
              <w:rPr>
                <w:rFonts w:ascii="Times New Roman" w:hAnsi="Times New Roman" w:cs="Times New Roman"/>
                <w:color w:val="000000" w:themeColor="text1"/>
                <w:sz w:val="18"/>
                <w:szCs w:val="18"/>
              </w:rPr>
            </w:pPr>
            <w:r w:rsidRPr="00C666FA">
              <w:rPr>
                <w:rFonts w:ascii="Times New Roman" w:hAnsi="Times New Roman" w:cs="Times New Roman"/>
                <w:iCs/>
                <w:color w:val="000000" w:themeColor="text1"/>
                <w:sz w:val="18"/>
                <w:szCs w:val="18"/>
              </w:rPr>
              <w:t>23053.994</w:t>
            </w:r>
          </w:p>
        </w:tc>
        <w:tc>
          <w:tcPr>
            <w:tcW w:w="744" w:type="pct"/>
            <w:tcBorders>
              <w:top w:val="nil"/>
              <w:left w:val="nil"/>
              <w:bottom w:val="single" w:sz="8" w:space="0" w:color="auto"/>
              <w:right w:val="nil"/>
            </w:tcBorders>
            <w:vAlign w:val="center"/>
          </w:tcPr>
          <w:p w14:paraId="5D3D18C6" w14:textId="77777777" w:rsidR="002D1B3C" w:rsidRPr="00C666FA" w:rsidRDefault="002D1B3C" w:rsidP="0036129B">
            <w:pPr>
              <w:spacing w:line="0" w:lineRule="atLeast"/>
              <w:jc w:val="center"/>
              <w:rPr>
                <w:rFonts w:ascii="Times New Roman" w:hAnsi="Times New Roman" w:cs="Times New Roman"/>
                <w:iCs/>
                <w:color w:val="000000" w:themeColor="text1"/>
                <w:sz w:val="18"/>
                <w:szCs w:val="18"/>
              </w:rPr>
            </w:pPr>
            <w:r w:rsidRPr="00C666FA">
              <w:rPr>
                <w:rFonts w:ascii="Times New Roman" w:hAnsi="Times New Roman" w:cs="Times New Roman"/>
                <w:iCs/>
                <w:color w:val="000000" w:themeColor="text1"/>
                <w:sz w:val="18"/>
                <w:szCs w:val="18"/>
              </w:rPr>
              <w:t>23007.269</w:t>
            </w:r>
          </w:p>
        </w:tc>
      </w:tr>
      <w:tr w:rsidR="00C666FA" w:rsidRPr="00C666FA" w14:paraId="2D9EFB21" w14:textId="77777777" w:rsidTr="00220140">
        <w:trPr>
          <w:jc w:val="center"/>
        </w:trPr>
        <w:tc>
          <w:tcPr>
            <w:tcW w:w="5000" w:type="pct"/>
            <w:gridSpan w:val="7"/>
            <w:tcBorders>
              <w:top w:val="single" w:sz="8" w:space="0" w:color="auto"/>
            </w:tcBorders>
            <w:vAlign w:val="center"/>
          </w:tcPr>
          <w:p w14:paraId="0565CE10" w14:textId="77777777" w:rsidR="002D1B3C" w:rsidRPr="00C666FA" w:rsidRDefault="002D1B3C" w:rsidP="0036129B">
            <w:pPr>
              <w:spacing w:line="0" w:lineRule="atLeast"/>
              <w:jc w:val="both"/>
              <w:rPr>
                <w:rFonts w:ascii="Times New Roman" w:hAnsi="Times New Roman" w:cs="Times New Roman"/>
                <w:iCs/>
                <w:color w:val="000000" w:themeColor="text1"/>
                <w:sz w:val="18"/>
                <w:szCs w:val="18"/>
              </w:rPr>
            </w:pPr>
            <w:r w:rsidRPr="00C666FA">
              <w:rPr>
                <w:rFonts w:ascii="Times New Roman" w:hAnsi="Times New Roman" w:cs="Times New Roman"/>
                <w:color w:val="000000" w:themeColor="text1"/>
                <w:sz w:val="18"/>
                <w:szCs w:val="18"/>
              </w:rPr>
              <w:t>Note: This table reports the parameter estimates of all the factor models. LLH is the log-likelihood function and BIC indicates the Bayesian information criterion. The numbers in parentheses are the standard errors.</w:t>
            </w:r>
            <w:r w:rsidRPr="00C666FA">
              <w:rPr>
                <w:rFonts w:hint="eastAsia"/>
                <w:color w:val="000000" w:themeColor="text1"/>
                <w:sz w:val="18"/>
                <w:szCs w:val="18"/>
              </w:rPr>
              <w:t xml:space="preserve"> </w:t>
            </w:r>
            <w:r w:rsidRPr="00C666FA">
              <w:rPr>
                <w:rFonts w:ascii="Cambria Math" w:hAnsi="Cambria Math" w:cs="Cambria Math"/>
                <w:color w:val="000000" w:themeColor="text1"/>
                <w:sz w:val="18"/>
                <w:szCs w:val="18"/>
              </w:rPr>
              <w:t>∗∗∗</w:t>
            </w:r>
            <w:r w:rsidRPr="00C666FA">
              <w:rPr>
                <w:rFonts w:ascii="Times New Roman" w:hAnsi="Times New Roman" w:cs="Times New Roman"/>
                <w:color w:val="000000" w:themeColor="text1"/>
                <w:sz w:val="18"/>
                <w:szCs w:val="18"/>
              </w:rPr>
              <w:t xml:space="preserve">, </w:t>
            </w:r>
            <w:r w:rsidRPr="00C666FA">
              <w:rPr>
                <w:rFonts w:ascii="Cambria Math" w:hAnsi="Cambria Math" w:cs="Cambria Math"/>
                <w:color w:val="000000" w:themeColor="text1"/>
                <w:sz w:val="18"/>
                <w:szCs w:val="18"/>
              </w:rPr>
              <w:t>∗∗</w:t>
            </w:r>
            <w:r w:rsidRPr="00C666FA">
              <w:rPr>
                <w:rFonts w:ascii="Times New Roman" w:hAnsi="Times New Roman" w:cs="Times New Roman"/>
                <w:color w:val="000000" w:themeColor="text1"/>
                <w:sz w:val="18"/>
                <w:szCs w:val="18"/>
              </w:rPr>
              <w:t xml:space="preserve">, and </w:t>
            </w:r>
            <w:r w:rsidRPr="00C666FA">
              <w:rPr>
                <w:rFonts w:ascii="Cambria Math" w:hAnsi="Cambria Math" w:cs="Cambria Math"/>
                <w:color w:val="000000" w:themeColor="text1"/>
                <w:sz w:val="18"/>
                <w:szCs w:val="18"/>
              </w:rPr>
              <w:t>∗</w:t>
            </w:r>
            <w:r w:rsidRPr="00C666FA">
              <w:rPr>
                <w:rFonts w:ascii="Times New Roman" w:hAnsi="Times New Roman" w:cs="Times New Roman"/>
                <w:color w:val="000000" w:themeColor="text1"/>
                <w:sz w:val="18"/>
                <w:szCs w:val="18"/>
              </w:rPr>
              <w:t xml:space="preserve"> denote respectively the significance levels at 1%, 5%, and 10%.</w:t>
            </w:r>
          </w:p>
        </w:tc>
      </w:tr>
    </w:tbl>
    <w:p w14:paraId="5A36CE7B" w14:textId="77777777" w:rsidR="006A0BB4" w:rsidRPr="00C666FA" w:rsidRDefault="006A0BB4" w:rsidP="00B36226">
      <w:pPr>
        <w:spacing w:before="120" w:after="120" w:line="240" w:lineRule="auto"/>
        <w:contextualSpacing/>
        <w:jc w:val="both"/>
        <w:rPr>
          <w:rFonts w:ascii="Times New Roman" w:eastAsia="仿宋" w:hAnsi="Times New Roman" w:cs="Times New Roman"/>
          <w:color w:val="000000" w:themeColor="text1"/>
          <w:sz w:val="18"/>
          <w:szCs w:val="18"/>
          <w14:ligatures w14:val="none"/>
        </w:rPr>
        <w:sectPr w:rsidR="006A0BB4" w:rsidRPr="00C666FA" w:rsidSect="006A0BB4">
          <w:footerReference w:type="even" r:id="rId11"/>
          <w:footerReference w:type="default" r:id="rId12"/>
          <w:pgSz w:w="11906" w:h="16838"/>
          <w:pgMar w:top="1191" w:right="1077" w:bottom="1191" w:left="1077" w:header="851" w:footer="992" w:gutter="0"/>
          <w:cols w:space="425"/>
          <w:docGrid w:type="lines" w:linePitch="312"/>
        </w:sectPr>
      </w:pPr>
      <w:bookmarkStart w:id="8" w:name="OLE_LINK103"/>
    </w:p>
    <w:p w14:paraId="7C9376EB" w14:textId="17EBC85F" w:rsidR="0031518B" w:rsidRPr="00C666FA" w:rsidRDefault="0031518B" w:rsidP="00B36226">
      <w:pPr>
        <w:spacing w:before="120" w:after="120" w:line="240" w:lineRule="auto"/>
        <w:contextualSpacing/>
        <w:jc w:val="both"/>
        <w:rPr>
          <w:rFonts w:ascii="Times New Roman" w:eastAsia="仿宋" w:hAnsi="Times New Roman" w:cs="Times New Roman"/>
          <w:color w:val="000000" w:themeColor="text1"/>
          <w:sz w:val="18"/>
          <w:szCs w:val="18"/>
          <w14:ligatures w14:val="none"/>
        </w:rPr>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9"/>
        <w:gridCol w:w="1312"/>
        <w:gridCol w:w="1313"/>
        <w:gridCol w:w="1313"/>
        <w:gridCol w:w="1313"/>
        <w:gridCol w:w="1313"/>
        <w:gridCol w:w="1309"/>
      </w:tblGrid>
      <w:tr w:rsidR="00C666FA" w:rsidRPr="00C666FA" w14:paraId="39D0B18D" w14:textId="77777777" w:rsidTr="00220140">
        <w:tc>
          <w:tcPr>
            <w:tcW w:w="5000" w:type="pct"/>
            <w:gridSpan w:val="7"/>
            <w:tcBorders>
              <w:bottom w:val="single" w:sz="8" w:space="0" w:color="auto"/>
            </w:tcBorders>
            <w:vAlign w:val="center"/>
          </w:tcPr>
          <w:bookmarkEnd w:id="8"/>
          <w:p w14:paraId="7C99F81F" w14:textId="7024652D" w:rsidR="00FA6AF6" w:rsidRPr="00C666FA" w:rsidRDefault="00FA6AF6" w:rsidP="006A0BB4">
            <w:pPr>
              <w:spacing w:line="0" w:lineRule="atLeast"/>
              <w:rPr>
                <w:rFonts w:ascii="Times New Roman" w:eastAsia="DengXian" w:hAnsi="Times New Roman" w:cs="Times New Roman"/>
                <w:color w:val="000000" w:themeColor="text1"/>
                <w:sz w:val="18"/>
                <w:szCs w:val="18"/>
              </w:rPr>
            </w:pPr>
            <w:r w:rsidRPr="00C666FA">
              <w:rPr>
                <w:rFonts w:ascii="Times New Roman" w:hAnsi="Times New Roman" w:cs="Times New Roman"/>
                <w:b/>
                <w:bCs/>
                <w:color w:val="000000" w:themeColor="text1"/>
                <w:sz w:val="18"/>
                <w:szCs w:val="18"/>
              </w:rPr>
              <w:t xml:space="preserve">Table </w:t>
            </w:r>
            <w:r w:rsidR="00121E14">
              <w:rPr>
                <w:rFonts w:ascii="Times New Roman" w:hAnsi="Times New Roman" w:cs="Times New Roman" w:hint="eastAsia"/>
                <w:b/>
                <w:bCs/>
                <w:color w:val="000000" w:themeColor="text1"/>
                <w:sz w:val="18"/>
                <w:szCs w:val="18"/>
              </w:rPr>
              <w:t>2</w:t>
            </w:r>
            <w:r w:rsidRPr="00C666FA">
              <w:rPr>
                <w:rFonts w:ascii="Times New Roman" w:hAnsi="Times New Roman" w:cs="Times New Roman"/>
                <w:b/>
                <w:bCs/>
                <w:color w:val="000000" w:themeColor="text1"/>
                <w:sz w:val="18"/>
                <w:szCs w:val="18"/>
              </w:rPr>
              <w:t xml:space="preserve">. </w:t>
            </w:r>
            <w:r w:rsidRPr="00C666FA">
              <w:rPr>
                <w:rFonts w:ascii="Times New Roman" w:hAnsi="Times New Roman" w:cs="Times New Roman"/>
                <w:color w:val="000000" w:themeColor="text1"/>
                <w:sz w:val="18"/>
                <w:szCs w:val="18"/>
              </w:rPr>
              <w:t>MCS test results</w:t>
            </w:r>
          </w:p>
        </w:tc>
      </w:tr>
      <w:tr w:rsidR="00C666FA" w:rsidRPr="00C666FA" w14:paraId="10DC020C" w14:textId="77777777" w:rsidTr="00220140">
        <w:tc>
          <w:tcPr>
            <w:tcW w:w="964" w:type="pct"/>
            <w:vMerge w:val="restart"/>
            <w:tcBorders>
              <w:top w:val="single" w:sz="8" w:space="0" w:color="auto"/>
            </w:tcBorders>
            <w:vAlign w:val="center"/>
          </w:tcPr>
          <w:p w14:paraId="5A07AB5C" w14:textId="796C70D1"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1000 days</w:t>
            </w:r>
          </w:p>
        </w:tc>
        <w:tc>
          <w:tcPr>
            <w:tcW w:w="1346" w:type="pct"/>
            <w:gridSpan w:val="2"/>
            <w:tcBorders>
              <w:top w:val="single" w:sz="8" w:space="0" w:color="auto"/>
              <w:bottom w:val="single" w:sz="8" w:space="0" w:color="auto"/>
            </w:tcBorders>
            <w:vAlign w:val="center"/>
          </w:tcPr>
          <w:p w14:paraId="4FBDC2A5" w14:textId="47453DFF" w:rsidR="006D6C4B" w:rsidRPr="00C666FA" w:rsidRDefault="006D6C4B" w:rsidP="006D6C4B">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MSE</m:t>
                </m:r>
              </m:oMath>
            </m:oMathPara>
          </w:p>
        </w:tc>
        <w:tc>
          <w:tcPr>
            <w:tcW w:w="1346" w:type="pct"/>
            <w:gridSpan w:val="2"/>
            <w:tcBorders>
              <w:top w:val="single" w:sz="8" w:space="0" w:color="auto"/>
              <w:bottom w:val="single" w:sz="8" w:space="0" w:color="auto"/>
            </w:tcBorders>
            <w:vAlign w:val="center"/>
          </w:tcPr>
          <w:p w14:paraId="37F39B01" w14:textId="20E184C4" w:rsidR="006D6C4B" w:rsidRPr="00C666FA" w:rsidRDefault="006D6C4B" w:rsidP="006D6C4B">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MAE</m:t>
                </m:r>
              </m:oMath>
            </m:oMathPara>
          </w:p>
        </w:tc>
        <w:tc>
          <w:tcPr>
            <w:tcW w:w="1344" w:type="pct"/>
            <w:gridSpan w:val="2"/>
            <w:tcBorders>
              <w:top w:val="single" w:sz="8" w:space="0" w:color="auto"/>
              <w:bottom w:val="single" w:sz="8" w:space="0" w:color="auto"/>
            </w:tcBorders>
            <w:vAlign w:val="center"/>
          </w:tcPr>
          <w:p w14:paraId="0323D62C" w14:textId="59BCABBD" w:rsidR="006D6C4B" w:rsidRPr="00C666FA" w:rsidRDefault="00000000" w:rsidP="006D6C4B">
            <w:pPr>
              <w:spacing w:line="0" w:lineRule="atLeast"/>
              <w:jc w:val="center"/>
              <w:rPr>
                <w:rFonts w:ascii="Times New Roman" w:hAnsi="Times New Roman" w:cs="Times New Roman"/>
                <w:color w:val="000000" w:themeColor="text1"/>
                <w:sz w:val="18"/>
                <w:szCs w:val="18"/>
              </w:rPr>
            </w:pPr>
            <m:oMathPara>
              <m:oMath>
                <m:sSup>
                  <m:sSupPr>
                    <m:ctrlPr>
                      <w:rPr>
                        <w:rFonts w:ascii="Cambria Math" w:hAnsi="Cambria Math" w:cs="Times New Roman"/>
                        <w:color w:val="000000" w:themeColor="text1"/>
                        <w:sz w:val="18"/>
                        <w:szCs w:val="18"/>
                      </w:rPr>
                    </m:ctrlPr>
                  </m:sSupPr>
                  <m:e>
                    <m:r>
                      <w:rPr>
                        <w:rFonts w:ascii="Cambria Math" w:hAnsi="Cambria Math" w:cs="Times New Roman"/>
                        <w:color w:val="000000" w:themeColor="text1"/>
                        <w:sz w:val="18"/>
                        <w:szCs w:val="18"/>
                      </w:rPr>
                      <m:t>R</m:t>
                    </m:r>
                  </m:e>
                  <m:sup>
                    <m:r>
                      <m:rPr>
                        <m:sty m:val="p"/>
                      </m:rPr>
                      <w:rPr>
                        <w:rFonts w:ascii="Cambria Math" w:hAnsi="Cambria Math" w:cs="Times New Roman"/>
                        <w:color w:val="000000" w:themeColor="text1"/>
                        <w:sz w:val="18"/>
                        <w:szCs w:val="18"/>
                      </w:rPr>
                      <m:t>2</m:t>
                    </m:r>
                  </m:sup>
                </m:sSup>
                <m:r>
                  <w:rPr>
                    <w:rFonts w:ascii="Cambria Math" w:hAnsi="Cambria Math" w:cs="Times New Roman"/>
                    <w:color w:val="000000" w:themeColor="text1"/>
                    <w:sz w:val="18"/>
                    <w:szCs w:val="18"/>
                  </w:rPr>
                  <m:t>LOG</m:t>
                </m:r>
              </m:oMath>
            </m:oMathPara>
          </w:p>
        </w:tc>
      </w:tr>
      <w:tr w:rsidR="00C666FA" w:rsidRPr="00C666FA" w14:paraId="692FADC2" w14:textId="77777777" w:rsidTr="00220140">
        <w:tc>
          <w:tcPr>
            <w:tcW w:w="964" w:type="pct"/>
            <w:vMerge/>
            <w:tcBorders>
              <w:bottom w:val="single" w:sz="8" w:space="0" w:color="auto"/>
            </w:tcBorders>
            <w:vAlign w:val="center"/>
          </w:tcPr>
          <w:p w14:paraId="63473258" w14:textId="033D19C7" w:rsidR="006D6C4B" w:rsidRPr="00C666FA" w:rsidRDefault="006D6C4B" w:rsidP="006D6C4B">
            <w:pPr>
              <w:spacing w:line="0" w:lineRule="atLeast"/>
              <w:jc w:val="center"/>
              <w:rPr>
                <w:rFonts w:ascii="Times New Roman" w:hAnsi="Times New Roman" w:cs="Times New Roman"/>
                <w:color w:val="000000" w:themeColor="text1"/>
                <w:sz w:val="18"/>
                <w:szCs w:val="18"/>
              </w:rPr>
            </w:pPr>
          </w:p>
        </w:tc>
        <w:tc>
          <w:tcPr>
            <w:tcW w:w="673" w:type="pct"/>
            <w:tcBorders>
              <w:top w:val="single" w:sz="8" w:space="0" w:color="auto"/>
              <w:bottom w:val="single" w:sz="8" w:space="0" w:color="auto"/>
            </w:tcBorders>
            <w:vAlign w:val="center"/>
          </w:tcPr>
          <w:p w14:paraId="3D633C5A" w14:textId="79D68E86" w:rsidR="006D6C4B" w:rsidRPr="00C666FA" w:rsidRDefault="00000000" w:rsidP="006D6C4B">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T</m:t>
                    </m:r>
                  </m:e>
                  <m:sub>
                    <m:r>
                      <w:rPr>
                        <w:rFonts w:ascii="Cambria Math" w:hAnsi="Cambria Math" w:cs="Times New Roman"/>
                        <w:color w:val="000000" w:themeColor="text1"/>
                        <w:sz w:val="18"/>
                        <w:szCs w:val="18"/>
                      </w:rPr>
                      <m:t>R</m:t>
                    </m:r>
                  </m:sub>
                </m:sSub>
              </m:oMath>
            </m:oMathPara>
          </w:p>
        </w:tc>
        <w:tc>
          <w:tcPr>
            <w:tcW w:w="673" w:type="pct"/>
            <w:tcBorders>
              <w:top w:val="single" w:sz="8" w:space="0" w:color="auto"/>
              <w:bottom w:val="single" w:sz="8" w:space="0" w:color="auto"/>
            </w:tcBorders>
            <w:vAlign w:val="center"/>
          </w:tcPr>
          <w:p w14:paraId="7F503283" w14:textId="1BC80091" w:rsidR="006D6C4B" w:rsidRPr="00C666FA" w:rsidRDefault="00000000" w:rsidP="006D6C4B">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T</m:t>
                    </m:r>
                  </m:e>
                  <m:sub>
                    <m:r>
                      <w:rPr>
                        <w:rFonts w:ascii="Cambria Math" w:hAnsi="Cambria Math" w:cs="Times New Roman"/>
                        <w:color w:val="000000" w:themeColor="text1"/>
                        <w:sz w:val="18"/>
                        <w:szCs w:val="18"/>
                      </w:rPr>
                      <m:t>max</m:t>
                    </m:r>
                  </m:sub>
                </m:sSub>
              </m:oMath>
            </m:oMathPara>
          </w:p>
        </w:tc>
        <w:tc>
          <w:tcPr>
            <w:tcW w:w="673" w:type="pct"/>
            <w:tcBorders>
              <w:top w:val="single" w:sz="8" w:space="0" w:color="auto"/>
              <w:bottom w:val="single" w:sz="8" w:space="0" w:color="auto"/>
            </w:tcBorders>
            <w:vAlign w:val="center"/>
          </w:tcPr>
          <w:p w14:paraId="6F3B2694" w14:textId="1B45C477" w:rsidR="006D6C4B" w:rsidRPr="00C666FA" w:rsidRDefault="00000000" w:rsidP="006D6C4B">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T</m:t>
                    </m:r>
                  </m:e>
                  <m:sub>
                    <m:r>
                      <w:rPr>
                        <w:rFonts w:ascii="Cambria Math" w:hAnsi="Cambria Math" w:cs="Times New Roman"/>
                        <w:color w:val="000000" w:themeColor="text1"/>
                        <w:sz w:val="18"/>
                        <w:szCs w:val="18"/>
                      </w:rPr>
                      <m:t>R</m:t>
                    </m:r>
                  </m:sub>
                </m:sSub>
              </m:oMath>
            </m:oMathPara>
          </w:p>
        </w:tc>
        <w:tc>
          <w:tcPr>
            <w:tcW w:w="673" w:type="pct"/>
            <w:tcBorders>
              <w:top w:val="single" w:sz="8" w:space="0" w:color="auto"/>
              <w:bottom w:val="single" w:sz="8" w:space="0" w:color="auto"/>
            </w:tcBorders>
            <w:vAlign w:val="center"/>
          </w:tcPr>
          <w:p w14:paraId="4A7E442E" w14:textId="28DB3009" w:rsidR="006D6C4B" w:rsidRPr="00C666FA" w:rsidRDefault="00000000" w:rsidP="006D6C4B">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T</m:t>
                    </m:r>
                  </m:e>
                  <m:sub>
                    <m:r>
                      <w:rPr>
                        <w:rFonts w:ascii="Cambria Math" w:hAnsi="Cambria Math" w:cs="Times New Roman"/>
                        <w:color w:val="000000" w:themeColor="text1"/>
                        <w:sz w:val="18"/>
                        <w:szCs w:val="18"/>
                      </w:rPr>
                      <m:t>max</m:t>
                    </m:r>
                  </m:sub>
                </m:sSub>
              </m:oMath>
            </m:oMathPara>
          </w:p>
        </w:tc>
        <w:tc>
          <w:tcPr>
            <w:tcW w:w="673" w:type="pct"/>
            <w:tcBorders>
              <w:top w:val="single" w:sz="8" w:space="0" w:color="auto"/>
              <w:bottom w:val="single" w:sz="8" w:space="0" w:color="auto"/>
            </w:tcBorders>
            <w:vAlign w:val="center"/>
          </w:tcPr>
          <w:p w14:paraId="230F0F21" w14:textId="48F514AA" w:rsidR="006D6C4B" w:rsidRPr="00C666FA" w:rsidRDefault="00000000" w:rsidP="006D6C4B">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T</m:t>
                    </m:r>
                  </m:e>
                  <m:sub>
                    <m:r>
                      <w:rPr>
                        <w:rFonts w:ascii="Cambria Math" w:hAnsi="Cambria Math" w:cs="Times New Roman"/>
                        <w:color w:val="000000" w:themeColor="text1"/>
                        <w:sz w:val="18"/>
                        <w:szCs w:val="18"/>
                      </w:rPr>
                      <m:t>R</m:t>
                    </m:r>
                  </m:sub>
                </m:sSub>
              </m:oMath>
            </m:oMathPara>
          </w:p>
        </w:tc>
        <w:tc>
          <w:tcPr>
            <w:tcW w:w="671" w:type="pct"/>
            <w:tcBorders>
              <w:top w:val="single" w:sz="8" w:space="0" w:color="auto"/>
              <w:bottom w:val="single" w:sz="8" w:space="0" w:color="auto"/>
            </w:tcBorders>
            <w:vAlign w:val="center"/>
          </w:tcPr>
          <w:p w14:paraId="13C434F1" w14:textId="4B452941" w:rsidR="006D6C4B" w:rsidRPr="00C666FA" w:rsidRDefault="00000000" w:rsidP="006D6C4B">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T</m:t>
                    </m:r>
                  </m:e>
                  <m:sub>
                    <m:r>
                      <w:rPr>
                        <w:rFonts w:ascii="Cambria Math" w:hAnsi="Cambria Math" w:cs="Times New Roman"/>
                        <w:color w:val="000000" w:themeColor="text1"/>
                        <w:sz w:val="18"/>
                        <w:szCs w:val="18"/>
                      </w:rPr>
                      <m:t>max</m:t>
                    </m:r>
                  </m:sub>
                </m:sSub>
              </m:oMath>
            </m:oMathPara>
          </w:p>
        </w:tc>
      </w:tr>
      <w:tr w:rsidR="00C666FA" w:rsidRPr="00C666FA" w14:paraId="57CDA377" w14:textId="77777777" w:rsidTr="00220140">
        <w:tc>
          <w:tcPr>
            <w:tcW w:w="5000" w:type="pct"/>
            <w:gridSpan w:val="7"/>
            <w:tcBorders>
              <w:top w:val="single" w:sz="8" w:space="0" w:color="auto"/>
            </w:tcBorders>
            <w:vAlign w:val="center"/>
          </w:tcPr>
          <w:p w14:paraId="2D6D5E76" w14:textId="43D7B450" w:rsidR="006D6C4B" w:rsidRPr="00C666FA" w:rsidRDefault="006D6C4B" w:rsidP="006D6C4B">
            <w:pPr>
              <w:spacing w:line="0" w:lineRule="atLeast"/>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SPX</w:t>
            </w:r>
          </w:p>
        </w:tc>
      </w:tr>
      <w:tr w:rsidR="00C666FA" w:rsidRPr="00C666FA" w14:paraId="05E9F3CD" w14:textId="77777777" w:rsidTr="00220140">
        <w:tc>
          <w:tcPr>
            <w:tcW w:w="964" w:type="pct"/>
            <w:vAlign w:val="center"/>
          </w:tcPr>
          <w:p w14:paraId="71115B25" w14:textId="16D0F571" w:rsidR="00450B23" w:rsidRPr="00C666FA" w:rsidRDefault="00450B23"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1</w:t>
            </w:r>
          </w:p>
        </w:tc>
        <w:tc>
          <w:tcPr>
            <w:tcW w:w="673" w:type="pct"/>
            <w:vAlign w:val="center"/>
          </w:tcPr>
          <w:p w14:paraId="41E299E5" w14:textId="7C9ED1D9"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0.312</w:t>
            </w:r>
          </w:p>
        </w:tc>
        <w:tc>
          <w:tcPr>
            <w:tcW w:w="673" w:type="pct"/>
            <w:vAlign w:val="center"/>
          </w:tcPr>
          <w:p w14:paraId="2D36BEFC" w14:textId="5C108234"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0.225</w:t>
            </w:r>
          </w:p>
        </w:tc>
        <w:tc>
          <w:tcPr>
            <w:tcW w:w="673" w:type="pct"/>
            <w:vAlign w:val="center"/>
          </w:tcPr>
          <w:p w14:paraId="28498664" w14:textId="5BC732D5"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0.253</w:t>
            </w:r>
          </w:p>
        </w:tc>
        <w:tc>
          <w:tcPr>
            <w:tcW w:w="673" w:type="pct"/>
            <w:vAlign w:val="center"/>
          </w:tcPr>
          <w:p w14:paraId="27B570B0" w14:textId="2B1E674C"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0.239</w:t>
            </w:r>
          </w:p>
        </w:tc>
        <w:tc>
          <w:tcPr>
            <w:tcW w:w="673" w:type="pct"/>
            <w:vAlign w:val="center"/>
          </w:tcPr>
          <w:p w14:paraId="76B0D8EA" w14:textId="17D55A66"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0.121</w:t>
            </w:r>
          </w:p>
        </w:tc>
        <w:tc>
          <w:tcPr>
            <w:tcW w:w="671" w:type="pct"/>
            <w:vAlign w:val="center"/>
          </w:tcPr>
          <w:p w14:paraId="797E860F" w14:textId="294624A7"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0.363</w:t>
            </w:r>
          </w:p>
        </w:tc>
      </w:tr>
      <w:tr w:rsidR="00C666FA" w:rsidRPr="00C666FA" w14:paraId="2A7A5690" w14:textId="77777777" w:rsidTr="00220140">
        <w:tc>
          <w:tcPr>
            <w:tcW w:w="964" w:type="pct"/>
            <w:vAlign w:val="center"/>
          </w:tcPr>
          <w:p w14:paraId="6529CBC2" w14:textId="1C225BC9" w:rsidR="00450B23" w:rsidRPr="00C666FA" w:rsidRDefault="00450B23"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2</w:t>
            </w:r>
          </w:p>
        </w:tc>
        <w:tc>
          <w:tcPr>
            <w:tcW w:w="673" w:type="pct"/>
            <w:vAlign w:val="center"/>
          </w:tcPr>
          <w:p w14:paraId="0F7ABAFB" w14:textId="16EB7C96"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0.312</w:t>
            </w:r>
          </w:p>
        </w:tc>
        <w:tc>
          <w:tcPr>
            <w:tcW w:w="673" w:type="pct"/>
            <w:vAlign w:val="center"/>
          </w:tcPr>
          <w:p w14:paraId="46EF7AF1" w14:textId="65ED2125"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0.265</w:t>
            </w:r>
          </w:p>
        </w:tc>
        <w:tc>
          <w:tcPr>
            <w:tcW w:w="673" w:type="pct"/>
            <w:vAlign w:val="center"/>
          </w:tcPr>
          <w:p w14:paraId="088DFD35" w14:textId="715BE397"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0.294</w:t>
            </w:r>
          </w:p>
        </w:tc>
        <w:tc>
          <w:tcPr>
            <w:tcW w:w="673" w:type="pct"/>
            <w:vAlign w:val="center"/>
          </w:tcPr>
          <w:p w14:paraId="53ECF975" w14:textId="5F0AFFD5"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0.294</w:t>
            </w:r>
          </w:p>
        </w:tc>
        <w:tc>
          <w:tcPr>
            <w:tcW w:w="673" w:type="pct"/>
            <w:vAlign w:val="center"/>
          </w:tcPr>
          <w:p w14:paraId="7263D911" w14:textId="13DD0B6D"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0.695</w:t>
            </w:r>
          </w:p>
        </w:tc>
        <w:tc>
          <w:tcPr>
            <w:tcW w:w="671" w:type="pct"/>
            <w:vAlign w:val="center"/>
          </w:tcPr>
          <w:p w14:paraId="7B8B4F9E" w14:textId="0B32AA6D"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0.695</w:t>
            </w:r>
          </w:p>
        </w:tc>
      </w:tr>
      <w:tr w:rsidR="00C666FA" w:rsidRPr="00C666FA" w14:paraId="735E4D7A" w14:textId="77777777" w:rsidTr="00220140">
        <w:tc>
          <w:tcPr>
            <w:tcW w:w="964" w:type="pct"/>
            <w:vAlign w:val="center"/>
          </w:tcPr>
          <w:p w14:paraId="32579706" w14:textId="2A0FC30C" w:rsidR="00450B23" w:rsidRPr="00C666FA" w:rsidRDefault="00450B23"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3</w:t>
            </w:r>
          </w:p>
        </w:tc>
        <w:tc>
          <w:tcPr>
            <w:tcW w:w="673" w:type="pct"/>
            <w:vAlign w:val="center"/>
          </w:tcPr>
          <w:p w14:paraId="65498A4F" w14:textId="325A5FCD"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73" w:type="pct"/>
            <w:vAlign w:val="center"/>
          </w:tcPr>
          <w:p w14:paraId="44F8FAE4" w14:textId="099A6761"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73" w:type="pct"/>
            <w:vAlign w:val="center"/>
          </w:tcPr>
          <w:p w14:paraId="52B4D48A" w14:textId="4FF17D4E"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73" w:type="pct"/>
            <w:vAlign w:val="center"/>
          </w:tcPr>
          <w:p w14:paraId="1AC477EA" w14:textId="53DDA0AB"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73" w:type="pct"/>
            <w:vAlign w:val="center"/>
          </w:tcPr>
          <w:p w14:paraId="514BDD54" w14:textId="75B18AF6"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71" w:type="pct"/>
            <w:vAlign w:val="center"/>
          </w:tcPr>
          <w:p w14:paraId="6676B72E" w14:textId="450F8C48" w:rsidR="00450B2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r>
      <w:tr w:rsidR="00C666FA" w:rsidRPr="00C666FA" w14:paraId="23AE3783" w14:textId="77777777" w:rsidTr="00220140">
        <w:tc>
          <w:tcPr>
            <w:tcW w:w="5000" w:type="pct"/>
            <w:gridSpan w:val="7"/>
            <w:vAlign w:val="center"/>
          </w:tcPr>
          <w:p w14:paraId="10F86102" w14:textId="357A4696" w:rsidR="006D6C4B" w:rsidRPr="00C666FA" w:rsidRDefault="006D6C4B" w:rsidP="006D6C4B">
            <w:pPr>
              <w:spacing w:line="0" w:lineRule="atLeast"/>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IXIC</w:t>
            </w:r>
          </w:p>
        </w:tc>
      </w:tr>
      <w:tr w:rsidR="00C666FA" w:rsidRPr="00C666FA" w14:paraId="7641B693" w14:textId="77777777" w:rsidTr="00220140">
        <w:tc>
          <w:tcPr>
            <w:tcW w:w="964" w:type="pct"/>
            <w:vAlign w:val="center"/>
          </w:tcPr>
          <w:p w14:paraId="08CA03C6" w14:textId="45B3D473" w:rsidR="00611473" w:rsidRPr="00C666FA" w:rsidRDefault="00611473"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1</w:t>
            </w:r>
          </w:p>
        </w:tc>
        <w:tc>
          <w:tcPr>
            <w:tcW w:w="673" w:type="pct"/>
            <w:vAlign w:val="center"/>
          </w:tcPr>
          <w:p w14:paraId="48FF65FF" w14:textId="1C435CA1"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0.415</w:t>
            </w:r>
          </w:p>
        </w:tc>
        <w:tc>
          <w:tcPr>
            <w:tcW w:w="673" w:type="pct"/>
            <w:vAlign w:val="center"/>
          </w:tcPr>
          <w:p w14:paraId="08F8C1C7" w14:textId="0A7110F3"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0.212</w:t>
            </w:r>
          </w:p>
        </w:tc>
        <w:tc>
          <w:tcPr>
            <w:tcW w:w="673" w:type="pct"/>
            <w:vAlign w:val="center"/>
          </w:tcPr>
          <w:p w14:paraId="4A2EB679" w14:textId="75B89B58"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0.290</w:t>
            </w:r>
          </w:p>
        </w:tc>
        <w:tc>
          <w:tcPr>
            <w:tcW w:w="673" w:type="pct"/>
            <w:vAlign w:val="center"/>
          </w:tcPr>
          <w:p w14:paraId="7D1B2F39" w14:textId="398A3D48"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0.129</w:t>
            </w:r>
          </w:p>
        </w:tc>
        <w:tc>
          <w:tcPr>
            <w:tcW w:w="673" w:type="pct"/>
            <w:vAlign w:val="center"/>
          </w:tcPr>
          <w:p w14:paraId="16EF93CC" w14:textId="29DD4063"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0.426</w:t>
            </w:r>
          </w:p>
        </w:tc>
        <w:tc>
          <w:tcPr>
            <w:tcW w:w="671" w:type="pct"/>
            <w:vAlign w:val="center"/>
          </w:tcPr>
          <w:p w14:paraId="0005B6C8" w14:textId="0146AD5D"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0.214</w:t>
            </w:r>
          </w:p>
        </w:tc>
      </w:tr>
      <w:tr w:rsidR="00C666FA" w:rsidRPr="00C666FA" w14:paraId="2D9D2CF8" w14:textId="77777777" w:rsidTr="00220140">
        <w:tc>
          <w:tcPr>
            <w:tcW w:w="964" w:type="pct"/>
            <w:vAlign w:val="center"/>
          </w:tcPr>
          <w:p w14:paraId="4F122726" w14:textId="1EEA13C6" w:rsidR="00611473" w:rsidRPr="00C666FA" w:rsidRDefault="00611473"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2</w:t>
            </w:r>
          </w:p>
        </w:tc>
        <w:tc>
          <w:tcPr>
            <w:tcW w:w="673" w:type="pct"/>
            <w:vAlign w:val="center"/>
          </w:tcPr>
          <w:p w14:paraId="0674B5F9" w14:textId="2DF73172"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0.415</w:t>
            </w:r>
          </w:p>
        </w:tc>
        <w:tc>
          <w:tcPr>
            <w:tcW w:w="673" w:type="pct"/>
            <w:vAlign w:val="center"/>
          </w:tcPr>
          <w:p w14:paraId="4675CAC7" w14:textId="0B8A91D5"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0.225</w:t>
            </w:r>
          </w:p>
        </w:tc>
        <w:tc>
          <w:tcPr>
            <w:tcW w:w="673" w:type="pct"/>
            <w:vAlign w:val="center"/>
          </w:tcPr>
          <w:p w14:paraId="2FF10C69" w14:textId="1618FBB5"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0.290</w:t>
            </w:r>
          </w:p>
        </w:tc>
        <w:tc>
          <w:tcPr>
            <w:tcW w:w="673" w:type="pct"/>
            <w:vAlign w:val="center"/>
          </w:tcPr>
          <w:p w14:paraId="4D75E2FF" w14:textId="606F2045"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0.126</w:t>
            </w:r>
          </w:p>
        </w:tc>
        <w:tc>
          <w:tcPr>
            <w:tcW w:w="673" w:type="pct"/>
            <w:vAlign w:val="center"/>
          </w:tcPr>
          <w:p w14:paraId="3E923C16" w14:textId="1D56A620"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0.426</w:t>
            </w:r>
          </w:p>
        </w:tc>
        <w:tc>
          <w:tcPr>
            <w:tcW w:w="671" w:type="pct"/>
            <w:vAlign w:val="center"/>
          </w:tcPr>
          <w:p w14:paraId="0B17DD9B" w14:textId="050D1AD5"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0.295</w:t>
            </w:r>
          </w:p>
        </w:tc>
      </w:tr>
      <w:tr w:rsidR="00C666FA" w:rsidRPr="00C666FA" w14:paraId="1A406036" w14:textId="77777777" w:rsidTr="00220140">
        <w:tc>
          <w:tcPr>
            <w:tcW w:w="964" w:type="pct"/>
            <w:tcBorders>
              <w:bottom w:val="single" w:sz="8" w:space="0" w:color="auto"/>
            </w:tcBorders>
            <w:vAlign w:val="center"/>
          </w:tcPr>
          <w:p w14:paraId="25A9CFCE" w14:textId="15055E29" w:rsidR="00611473" w:rsidRPr="00C666FA" w:rsidRDefault="00611473"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3</w:t>
            </w:r>
          </w:p>
        </w:tc>
        <w:tc>
          <w:tcPr>
            <w:tcW w:w="673" w:type="pct"/>
            <w:tcBorders>
              <w:bottom w:val="single" w:sz="8" w:space="0" w:color="auto"/>
            </w:tcBorders>
            <w:vAlign w:val="center"/>
          </w:tcPr>
          <w:p w14:paraId="7E95DE2F" w14:textId="5E191117"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73" w:type="pct"/>
            <w:tcBorders>
              <w:bottom w:val="single" w:sz="8" w:space="0" w:color="auto"/>
            </w:tcBorders>
            <w:vAlign w:val="center"/>
          </w:tcPr>
          <w:p w14:paraId="5679B4CC" w14:textId="0599145A"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73" w:type="pct"/>
            <w:tcBorders>
              <w:bottom w:val="single" w:sz="8" w:space="0" w:color="auto"/>
            </w:tcBorders>
            <w:vAlign w:val="center"/>
          </w:tcPr>
          <w:p w14:paraId="1619DC64" w14:textId="32DDF820"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73" w:type="pct"/>
            <w:tcBorders>
              <w:bottom w:val="single" w:sz="8" w:space="0" w:color="auto"/>
            </w:tcBorders>
            <w:vAlign w:val="center"/>
          </w:tcPr>
          <w:p w14:paraId="7928997A" w14:textId="0189BABC"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73" w:type="pct"/>
            <w:tcBorders>
              <w:bottom w:val="single" w:sz="8" w:space="0" w:color="auto"/>
            </w:tcBorders>
            <w:vAlign w:val="center"/>
          </w:tcPr>
          <w:p w14:paraId="2594E385" w14:textId="7267B14F"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71" w:type="pct"/>
            <w:tcBorders>
              <w:bottom w:val="single" w:sz="8" w:space="0" w:color="auto"/>
            </w:tcBorders>
            <w:vAlign w:val="center"/>
          </w:tcPr>
          <w:p w14:paraId="5BE92514" w14:textId="72C2790C" w:rsidR="00611473" w:rsidRPr="00C666FA" w:rsidRDefault="00611473"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r>
      <w:tr w:rsidR="00C666FA" w:rsidRPr="00C666FA" w14:paraId="04557F48" w14:textId="77777777" w:rsidTr="00220140">
        <w:trPr>
          <w:trHeight w:val="277"/>
        </w:trPr>
        <w:tc>
          <w:tcPr>
            <w:tcW w:w="5000" w:type="pct"/>
            <w:gridSpan w:val="7"/>
            <w:tcBorders>
              <w:top w:val="single" w:sz="8" w:space="0" w:color="auto"/>
            </w:tcBorders>
            <w:vAlign w:val="center"/>
          </w:tcPr>
          <w:p w14:paraId="771BE60D" w14:textId="2AA1D21C" w:rsidR="00FA6AF6" w:rsidRPr="00C666FA" w:rsidRDefault="00FA6AF6" w:rsidP="00FA6AF6">
            <w:pPr>
              <w:spacing w:line="0" w:lineRule="atLeast"/>
              <w:jc w:val="both"/>
              <w:rPr>
                <w:rFonts w:ascii="Times New Roman" w:hAnsi="Times New Roman" w:cs="Times New Roman"/>
                <w:color w:val="000000" w:themeColor="text1"/>
                <w:sz w:val="18"/>
                <w:szCs w:val="18"/>
              </w:rPr>
            </w:pPr>
            <w:r w:rsidRPr="00C666FA">
              <w:rPr>
                <w:rFonts w:ascii="Times New Roman" w:hAnsi="Times New Roman" w:cs="Times New Roman"/>
                <w:iCs/>
                <w:color w:val="000000" w:themeColor="text1"/>
                <w:sz w:val="18"/>
                <w:szCs w:val="18"/>
              </w:rPr>
              <w:t>N</w:t>
            </w:r>
            <w:r w:rsidRPr="00C666FA">
              <w:rPr>
                <w:rFonts w:ascii="Times New Roman" w:eastAsia="宋体" w:hAnsi="Times New Roman" w:cs="Times New Roman"/>
                <w:color w:val="000000" w:themeColor="text1"/>
                <w:sz w:val="18"/>
                <w:szCs w:val="18"/>
              </w:rPr>
              <w:t xml:space="preserve">ote: The </w:t>
            </w:r>
            <w:r w:rsidRPr="00C666FA">
              <w:rPr>
                <w:rFonts w:ascii="Times New Roman" w:eastAsia="宋体" w:hAnsi="Times New Roman" w:cs="Times New Roman" w:hint="eastAsia"/>
                <w:color w:val="000000" w:themeColor="text1"/>
                <w:sz w:val="18"/>
                <w:szCs w:val="18"/>
              </w:rPr>
              <w:t xml:space="preserve">numbers </w:t>
            </w:r>
            <w:r w:rsidRPr="00C666FA">
              <w:rPr>
                <w:rFonts w:ascii="Times New Roman" w:eastAsia="宋体" w:hAnsi="Times New Roman" w:cs="Times New Roman"/>
                <w:color w:val="000000" w:themeColor="text1"/>
                <w:sz w:val="18"/>
                <w:szCs w:val="18"/>
              </w:rPr>
              <w:t xml:space="preserve">in the table </w:t>
            </w:r>
            <w:r w:rsidRPr="00C666FA">
              <w:rPr>
                <w:rFonts w:ascii="Times New Roman" w:eastAsia="宋体" w:hAnsi="Times New Roman" w:cs="Times New Roman" w:hint="eastAsia"/>
                <w:color w:val="000000" w:themeColor="text1"/>
                <w:sz w:val="18"/>
                <w:szCs w:val="18"/>
              </w:rPr>
              <w:t xml:space="preserve">are p-values. Numbers greater than </w:t>
            </w:r>
            <w:r w:rsidRPr="00C666FA">
              <w:rPr>
                <w:rFonts w:ascii="Times New Roman" w:eastAsia="宋体" w:hAnsi="Times New Roman" w:cs="Times New Roman"/>
                <w:color w:val="000000" w:themeColor="text1"/>
                <w:sz w:val="18"/>
                <w:szCs w:val="18"/>
              </w:rPr>
              <w:t xml:space="preserve">0.10 </w:t>
            </w:r>
            <w:r w:rsidRPr="00C666FA">
              <w:rPr>
                <w:rFonts w:ascii="Times New Roman" w:eastAsia="宋体" w:hAnsi="Times New Roman" w:cs="Times New Roman" w:hint="eastAsia"/>
                <w:color w:val="000000" w:themeColor="text1"/>
                <w:sz w:val="18"/>
                <w:szCs w:val="18"/>
              </w:rPr>
              <w:t xml:space="preserve">are in bold and underlined, indicating that the corresponding model performs significantly better in the model set. The time horizon is </w:t>
            </w:r>
            <w:r w:rsidRPr="00C666FA">
              <w:rPr>
                <w:rFonts w:ascii="Times New Roman" w:eastAsia="宋体" w:hAnsi="Times New Roman" w:cs="Times New Roman"/>
                <w:color w:val="000000" w:themeColor="text1"/>
                <w:sz w:val="18"/>
                <w:szCs w:val="18"/>
              </w:rPr>
              <w:t xml:space="preserve">1000 </w:t>
            </w:r>
            <w:r w:rsidRPr="00C666FA">
              <w:rPr>
                <w:rFonts w:ascii="Times New Roman" w:eastAsia="宋体" w:hAnsi="Times New Roman" w:cs="Times New Roman" w:hint="eastAsia"/>
                <w:color w:val="000000" w:themeColor="text1"/>
                <w:sz w:val="18"/>
                <w:szCs w:val="18"/>
              </w:rPr>
              <w:t>days.</w:t>
            </w:r>
          </w:p>
        </w:tc>
      </w:tr>
    </w:tbl>
    <w:p w14:paraId="5235BAEB" w14:textId="77454D2C" w:rsidR="006B24FD" w:rsidRPr="00C666FA" w:rsidRDefault="006B24FD" w:rsidP="00B36226">
      <w:pPr>
        <w:spacing w:before="120" w:after="120" w:line="240" w:lineRule="auto"/>
        <w:contextualSpacing/>
        <w:jc w:val="both"/>
        <w:rPr>
          <w:rFonts w:ascii="Times New Roman" w:eastAsia="仿宋" w:hAnsi="Times New Roman" w:cs="Times New Roman"/>
          <w:color w:val="000000" w:themeColor="text1"/>
          <w:sz w:val="18"/>
          <w:szCs w:val="18"/>
          <w14:ligatures w14:val="none"/>
        </w:rPr>
      </w:pPr>
      <w:bookmarkStart w:id="9" w:name="OLE_LINK101"/>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4"/>
        <w:gridCol w:w="1330"/>
        <w:gridCol w:w="1332"/>
        <w:gridCol w:w="1332"/>
        <w:gridCol w:w="1332"/>
        <w:gridCol w:w="1332"/>
        <w:gridCol w:w="1330"/>
      </w:tblGrid>
      <w:tr w:rsidR="00C666FA" w:rsidRPr="00C666FA" w14:paraId="16D897A0" w14:textId="77777777" w:rsidTr="00220140">
        <w:tc>
          <w:tcPr>
            <w:tcW w:w="5000" w:type="pct"/>
            <w:gridSpan w:val="7"/>
            <w:tcBorders>
              <w:bottom w:val="single" w:sz="8" w:space="0" w:color="auto"/>
            </w:tcBorders>
            <w:vAlign w:val="center"/>
          </w:tcPr>
          <w:bookmarkEnd w:id="9"/>
          <w:p w14:paraId="7FCA818A" w14:textId="22AF681D" w:rsidR="00FA6AF6" w:rsidRPr="00C666FA" w:rsidRDefault="00FA6AF6" w:rsidP="00DE31FA">
            <w:pPr>
              <w:spacing w:before="240" w:line="0" w:lineRule="atLeast"/>
              <w:rPr>
                <w:rFonts w:ascii="Times New Roman" w:eastAsia="DengXian" w:hAnsi="Times New Roman" w:cs="Times New Roman"/>
                <w:color w:val="000000" w:themeColor="text1"/>
                <w:sz w:val="18"/>
                <w:szCs w:val="18"/>
              </w:rPr>
            </w:pPr>
            <w:r w:rsidRPr="00C666FA">
              <w:rPr>
                <w:rFonts w:ascii="Times New Roman" w:hAnsi="Times New Roman" w:cs="Times New Roman"/>
                <w:b/>
                <w:bCs/>
                <w:color w:val="000000" w:themeColor="text1"/>
                <w:sz w:val="18"/>
                <w:szCs w:val="18"/>
              </w:rPr>
              <w:t xml:space="preserve">Table </w:t>
            </w:r>
            <w:r w:rsidR="00121E14">
              <w:rPr>
                <w:rFonts w:ascii="Times New Roman" w:hAnsi="Times New Roman" w:cs="Times New Roman" w:hint="eastAsia"/>
                <w:b/>
                <w:bCs/>
                <w:color w:val="000000" w:themeColor="text1"/>
                <w:sz w:val="18"/>
                <w:szCs w:val="18"/>
              </w:rPr>
              <w:t>3</w:t>
            </w:r>
            <w:r w:rsidRPr="00C666FA">
              <w:rPr>
                <w:rFonts w:ascii="Times New Roman" w:hAnsi="Times New Roman" w:cs="Times New Roman"/>
                <w:b/>
                <w:bCs/>
                <w:color w:val="000000" w:themeColor="text1"/>
                <w:sz w:val="18"/>
                <w:szCs w:val="18"/>
              </w:rPr>
              <w:t>.</w:t>
            </w:r>
            <w:r w:rsidRPr="00C666FA">
              <w:rPr>
                <w:rFonts w:ascii="Times New Roman" w:hAnsi="Times New Roman" w:cs="Times New Roman"/>
                <w:color w:val="000000" w:themeColor="text1"/>
                <w:sz w:val="18"/>
                <w:szCs w:val="18"/>
              </w:rPr>
              <w:t xml:space="preserve"> MCS test results</w:t>
            </w:r>
          </w:p>
        </w:tc>
      </w:tr>
      <w:tr w:rsidR="00C666FA" w:rsidRPr="00C666FA" w14:paraId="7B7C9AE9" w14:textId="77777777" w:rsidTr="00220140">
        <w:tc>
          <w:tcPr>
            <w:tcW w:w="904" w:type="pct"/>
            <w:vMerge w:val="restart"/>
            <w:tcBorders>
              <w:top w:val="single" w:sz="8" w:space="0" w:color="auto"/>
            </w:tcBorders>
            <w:vAlign w:val="center"/>
          </w:tcPr>
          <w:p w14:paraId="046BF607" w14:textId="2C5C5E99" w:rsidR="006D6C4B" w:rsidRPr="00C666FA" w:rsidRDefault="006D6C4B" w:rsidP="00616C0F">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500 days</w:t>
            </w:r>
          </w:p>
        </w:tc>
        <w:tc>
          <w:tcPr>
            <w:tcW w:w="1365" w:type="pct"/>
            <w:gridSpan w:val="2"/>
            <w:tcBorders>
              <w:top w:val="single" w:sz="8" w:space="0" w:color="auto"/>
              <w:bottom w:val="single" w:sz="8" w:space="0" w:color="auto"/>
            </w:tcBorders>
            <w:vAlign w:val="center"/>
          </w:tcPr>
          <w:p w14:paraId="3CCA1E78" w14:textId="77777777" w:rsidR="006D6C4B" w:rsidRPr="00C666FA" w:rsidRDefault="006D6C4B" w:rsidP="00616C0F">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MSE</m:t>
                </m:r>
              </m:oMath>
            </m:oMathPara>
          </w:p>
        </w:tc>
        <w:tc>
          <w:tcPr>
            <w:tcW w:w="1366" w:type="pct"/>
            <w:gridSpan w:val="2"/>
            <w:tcBorders>
              <w:top w:val="single" w:sz="8" w:space="0" w:color="auto"/>
              <w:bottom w:val="single" w:sz="8" w:space="0" w:color="auto"/>
            </w:tcBorders>
            <w:vAlign w:val="center"/>
          </w:tcPr>
          <w:p w14:paraId="30FFB6B7" w14:textId="77777777" w:rsidR="006D6C4B" w:rsidRPr="00C666FA" w:rsidRDefault="006D6C4B" w:rsidP="00616C0F">
            <w:pPr>
              <w:spacing w:line="0" w:lineRule="atLeast"/>
              <w:jc w:val="center"/>
              <w:rPr>
                <w:rFonts w:ascii="Times New Roman" w:hAnsi="Times New Roman" w:cs="Times New Roman"/>
                <w:color w:val="000000" w:themeColor="text1"/>
                <w:sz w:val="18"/>
                <w:szCs w:val="18"/>
              </w:rPr>
            </w:pPr>
            <m:oMathPara>
              <m:oMath>
                <m:r>
                  <w:rPr>
                    <w:rFonts w:ascii="Cambria Math" w:hAnsi="Cambria Math" w:cs="Times New Roman"/>
                    <w:color w:val="000000" w:themeColor="text1"/>
                    <w:sz w:val="18"/>
                    <w:szCs w:val="18"/>
                  </w:rPr>
                  <m:t>MAE</m:t>
                </m:r>
              </m:oMath>
            </m:oMathPara>
          </w:p>
        </w:tc>
        <w:tc>
          <w:tcPr>
            <w:tcW w:w="1366" w:type="pct"/>
            <w:gridSpan w:val="2"/>
            <w:tcBorders>
              <w:top w:val="single" w:sz="8" w:space="0" w:color="auto"/>
              <w:bottom w:val="single" w:sz="4" w:space="0" w:color="auto"/>
            </w:tcBorders>
            <w:vAlign w:val="center"/>
          </w:tcPr>
          <w:p w14:paraId="5D114B24" w14:textId="77777777" w:rsidR="006D6C4B" w:rsidRPr="00C666FA" w:rsidRDefault="00000000" w:rsidP="00616C0F">
            <w:pPr>
              <w:spacing w:line="0" w:lineRule="atLeast"/>
              <w:jc w:val="center"/>
              <w:rPr>
                <w:rFonts w:ascii="Times New Roman" w:hAnsi="Times New Roman" w:cs="Times New Roman"/>
                <w:color w:val="000000" w:themeColor="text1"/>
                <w:sz w:val="18"/>
                <w:szCs w:val="18"/>
              </w:rPr>
            </w:pPr>
            <m:oMathPara>
              <m:oMath>
                <m:sSup>
                  <m:sSupPr>
                    <m:ctrlPr>
                      <w:rPr>
                        <w:rFonts w:ascii="Cambria Math" w:hAnsi="Cambria Math" w:cs="Times New Roman"/>
                        <w:color w:val="000000" w:themeColor="text1"/>
                        <w:sz w:val="18"/>
                        <w:szCs w:val="18"/>
                      </w:rPr>
                    </m:ctrlPr>
                  </m:sSupPr>
                  <m:e>
                    <m:r>
                      <w:rPr>
                        <w:rFonts w:ascii="Cambria Math" w:hAnsi="Cambria Math" w:cs="Times New Roman"/>
                        <w:color w:val="000000" w:themeColor="text1"/>
                        <w:sz w:val="18"/>
                        <w:szCs w:val="18"/>
                      </w:rPr>
                      <m:t>R</m:t>
                    </m:r>
                  </m:e>
                  <m:sup>
                    <m:r>
                      <m:rPr>
                        <m:sty m:val="p"/>
                      </m:rPr>
                      <w:rPr>
                        <w:rFonts w:ascii="Cambria Math" w:hAnsi="Cambria Math" w:cs="Times New Roman"/>
                        <w:color w:val="000000" w:themeColor="text1"/>
                        <w:sz w:val="18"/>
                        <w:szCs w:val="18"/>
                      </w:rPr>
                      <m:t>2</m:t>
                    </m:r>
                  </m:sup>
                </m:sSup>
                <m:r>
                  <w:rPr>
                    <w:rFonts w:ascii="Cambria Math" w:hAnsi="Cambria Math" w:cs="Times New Roman"/>
                    <w:color w:val="000000" w:themeColor="text1"/>
                    <w:sz w:val="18"/>
                    <w:szCs w:val="18"/>
                  </w:rPr>
                  <m:t>LOG</m:t>
                </m:r>
              </m:oMath>
            </m:oMathPara>
          </w:p>
        </w:tc>
      </w:tr>
      <w:tr w:rsidR="00C666FA" w:rsidRPr="00C666FA" w14:paraId="7BD27B67" w14:textId="77777777" w:rsidTr="00220140">
        <w:tc>
          <w:tcPr>
            <w:tcW w:w="904" w:type="pct"/>
            <w:vMerge/>
            <w:tcBorders>
              <w:bottom w:val="single" w:sz="8" w:space="0" w:color="auto"/>
            </w:tcBorders>
            <w:vAlign w:val="center"/>
          </w:tcPr>
          <w:p w14:paraId="764FDFFE" w14:textId="77777777" w:rsidR="006D6C4B" w:rsidRPr="00C666FA" w:rsidRDefault="006D6C4B" w:rsidP="00616C0F">
            <w:pPr>
              <w:spacing w:line="0" w:lineRule="atLeast"/>
              <w:jc w:val="center"/>
              <w:rPr>
                <w:rFonts w:ascii="Times New Roman" w:hAnsi="Times New Roman" w:cs="Times New Roman"/>
                <w:color w:val="000000" w:themeColor="text1"/>
                <w:sz w:val="18"/>
                <w:szCs w:val="18"/>
              </w:rPr>
            </w:pPr>
          </w:p>
        </w:tc>
        <w:tc>
          <w:tcPr>
            <w:tcW w:w="682" w:type="pct"/>
            <w:tcBorders>
              <w:top w:val="single" w:sz="8" w:space="0" w:color="auto"/>
              <w:bottom w:val="single" w:sz="8" w:space="0" w:color="auto"/>
            </w:tcBorders>
            <w:vAlign w:val="center"/>
          </w:tcPr>
          <w:p w14:paraId="7150FD25" w14:textId="77777777" w:rsidR="006D6C4B" w:rsidRPr="00C666FA" w:rsidRDefault="00000000" w:rsidP="00616C0F">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T</m:t>
                    </m:r>
                  </m:e>
                  <m:sub>
                    <m:r>
                      <w:rPr>
                        <w:rFonts w:ascii="Cambria Math" w:hAnsi="Cambria Math" w:cs="Times New Roman"/>
                        <w:color w:val="000000" w:themeColor="text1"/>
                        <w:sz w:val="18"/>
                        <w:szCs w:val="18"/>
                      </w:rPr>
                      <m:t>R</m:t>
                    </m:r>
                  </m:sub>
                </m:sSub>
              </m:oMath>
            </m:oMathPara>
          </w:p>
        </w:tc>
        <w:tc>
          <w:tcPr>
            <w:tcW w:w="683" w:type="pct"/>
            <w:tcBorders>
              <w:top w:val="single" w:sz="8" w:space="0" w:color="auto"/>
              <w:bottom w:val="single" w:sz="8" w:space="0" w:color="auto"/>
            </w:tcBorders>
            <w:vAlign w:val="center"/>
          </w:tcPr>
          <w:p w14:paraId="4B0C679B" w14:textId="77777777" w:rsidR="006D6C4B" w:rsidRPr="00C666FA" w:rsidRDefault="00000000" w:rsidP="00616C0F">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T</m:t>
                    </m:r>
                  </m:e>
                  <m:sub>
                    <m:r>
                      <w:rPr>
                        <w:rFonts w:ascii="Cambria Math" w:hAnsi="Cambria Math" w:cs="Times New Roman"/>
                        <w:color w:val="000000" w:themeColor="text1"/>
                        <w:sz w:val="18"/>
                        <w:szCs w:val="18"/>
                      </w:rPr>
                      <m:t>max</m:t>
                    </m:r>
                  </m:sub>
                </m:sSub>
              </m:oMath>
            </m:oMathPara>
          </w:p>
        </w:tc>
        <w:tc>
          <w:tcPr>
            <w:tcW w:w="683" w:type="pct"/>
            <w:tcBorders>
              <w:top w:val="single" w:sz="8" w:space="0" w:color="auto"/>
              <w:bottom w:val="single" w:sz="8" w:space="0" w:color="auto"/>
            </w:tcBorders>
            <w:vAlign w:val="center"/>
          </w:tcPr>
          <w:p w14:paraId="35EF8631" w14:textId="77777777" w:rsidR="006D6C4B" w:rsidRPr="00C666FA" w:rsidRDefault="00000000" w:rsidP="00616C0F">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T</m:t>
                    </m:r>
                  </m:e>
                  <m:sub>
                    <m:r>
                      <w:rPr>
                        <w:rFonts w:ascii="Cambria Math" w:hAnsi="Cambria Math" w:cs="Times New Roman"/>
                        <w:color w:val="000000" w:themeColor="text1"/>
                        <w:sz w:val="18"/>
                        <w:szCs w:val="18"/>
                      </w:rPr>
                      <m:t>R</m:t>
                    </m:r>
                  </m:sub>
                </m:sSub>
              </m:oMath>
            </m:oMathPara>
          </w:p>
        </w:tc>
        <w:tc>
          <w:tcPr>
            <w:tcW w:w="683" w:type="pct"/>
            <w:tcBorders>
              <w:top w:val="single" w:sz="8" w:space="0" w:color="auto"/>
              <w:bottom w:val="single" w:sz="8" w:space="0" w:color="auto"/>
            </w:tcBorders>
            <w:vAlign w:val="center"/>
          </w:tcPr>
          <w:p w14:paraId="40FBDA52" w14:textId="77777777" w:rsidR="006D6C4B" w:rsidRPr="00C666FA" w:rsidRDefault="00000000" w:rsidP="00616C0F">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T</m:t>
                    </m:r>
                  </m:e>
                  <m:sub>
                    <m:r>
                      <w:rPr>
                        <w:rFonts w:ascii="Cambria Math" w:hAnsi="Cambria Math" w:cs="Times New Roman"/>
                        <w:color w:val="000000" w:themeColor="text1"/>
                        <w:sz w:val="18"/>
                        <w:szCs w:val="18"/>
                      </w:rPr>
                      <m:t>max</m:t>
                    </m:r>
                  </m:sub>
                </m:sSub>
              </m:oMath>
            </m:oMathPara>
          </w:p>
        </w:tc>
        <w:tc>
          <w:tcPr>
            <w:tcW w:w="683" w:type="pct"/>
            <w:tcBorders>
              <w:top w:val="single" w:sz="8" w:space="0" w:color="auto"/>
              <w:bottom w:val="single" w:sz="8" w:space="0" w:color="auto"/>
            </w:tcBorders>
            <w:vAlign w:val="center"/>
          </w:tcPr>
          <w:p w14:paraId="18F3516F" w14:textId="77777777" w:rsidR="006D6C4B" w:rsidRPr="00C666FA" w:rsidRDefault="00000000" w:rsidP="00616C0F">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T</m:t>
                    </m:r>
                  </m:e>
                  <m:sub>
                    <m:r>
                      <w:rPr>
                        <w:rFonts w:ascii="Cambria Math" w:hAnsi="Cambria Math" w:cs="Times New Roman"/>
                        <w:color w:val="000000" w:themeColor="text1"/>
                        <w:sz w:val="18"/>
                        <w:szCs w:val="18"/>
                      </w:rPr>
                      <m:t>R</m:t>
                    </m:r>
                  </m:sub>
                </m:sSub>
              </m:oMath>
            </m:oMathPara>
          </w:p>
        </w:tc>
        <w:tc>
          <w:tcPr>
            <w:tcW w:w="683" w:type="pct"/>
            <w:tcBorders>
              <w:top w:val="single" w:sz="8" w:space="0" w:color="auto"/>
              <w:bottom w:val="single" w:sz="8" w:space="0" w:color="auto"/>
            </w:tcBorders>
            <w:vAlign w:val="center"/>
          </w:tcPr>
          <w:p w14:paraId="4987DA67" w14:textId="77777777" w:rsidR="006D6C4B" w:rsidRPr="00C666FA" w:rsidRDefault="00000000" w:rsidP="00616C0F">
            <w:pPr>
              <w:spacing w:line="0" w:lineRule="atLeast"/>
              <w:jc w:val="center"/>
              <w:rPr>
                <w:rFonts w:ascii="Times New Roman" w:hAnsi="Times New Roman" w:cs="Times New Roman"/>
                <w:color w:val="000000" w:themeColor="text1"/>
                <w:sz w:val="18"/>
                <w:szCs w:val="18"/>
              </w:rPr>
            </w:pPr>
            <m:oMathPara>
              <m:oMath>
                <m:sSub>
                  <m:sSubPr>
                    <m:ctrlPr>
                      <w:rPr>
                        <w:rFonts w:ascii="Cambria Math" w:hAnsi="Cambria Math" w:cs="Times New Roman"/>
                        <w:color w:val="000000" w:themeColor="text1"/>
                        <w:sz w:val="18"/>
                        <w:szCs w:val="18"/>
                      </w:rPr>
                    </m:ctrlPr>
                  </m:sSubPr>
                  <m:e>
                    <m:r>
                      <w:rPr>
                        <w:rFonts w:ascii="Cambria Math" w:hAnsi="Cambria Math" w:cs="Times New Roman"/>
                        <w:color w:val="000000" w:themeColor="text1"/>
                        <w:sz w:val="18"/>
                        <w:szCs w:val="18"/>
                      </w:rPr>
                      <m:t>T</m:t>
                    </m:r>
                  </m:e>
                  <m:sub>
                    <m:r>
                      <w:rPr>
                        <w:rFonts w:ascii="Cambria Math" w:hAnsi="Cambria Math" w:cs="Times New Roman"/>
                        <w:color w:val="000000" w:themeColor="text1"/>
                        <w:sz w:val="18"/>
                        <w:szCs w:val="18"/>
                      </w:rPr>
                      <m:t>max</m:t>
                    </m:r>
                  </m:sub>
                </m:sSub>
              </m:oMath>
            </m:oMathPara>
          </w:p>
        </w:tc>
      </w:tr>
      <w:tr w:rsidR="00C666FA" w:rsidRPr="00C666FA" w14:paraId="0FE1E17B" w14:textId="77777777" w:rsidTr="00220140">
        <w:tc>
          <w:tcPr>
            <w:tcW w:w="5000" w:type="pct"/>
            <w:gridSpan w:val="7"/>
            <w:tcBorders>
              <w:top w:val="single" w:sz="8" w:space="0" w:color="auto"/>
            </w:tcBorders>
            <w:vAlign w:val="center"/>
          </w:tcPr>
          <w:p w14:paraId="54D52464" w14:textId="77777777" w:rsidR="006D6C4B" w:rsidRPr="00C666FA" w:rsidRDefault="006D6C4B" w:rsidP="00616C0F">
            <w:pPr>
              <w:spacing w:line="0" w:lineRule="atLeast"/>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SPX</w:t>
            </w:r>
          </w:p>
        </w:tc>
      </w:tr>
      <w:tr w:rsidR="00C666FA" w:rsidRPr="00C666FA" w14:paraId="1C8E30EC" w14:textId="77777777" w:rsidTr="00220140">
        <w:tc>
          <w:tcPr>
            <w:tcW w:w="904" w:type="pct"/>
            <w:vAlign w:val="center"/>
          </w:tcPr>
          <w:p w14:paraId="6793D44B" w14:textId="77777777"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1</w:t>
            </w:r>
          </w:p>
        </w:tc>
        <w:tc>
          <w:tcPr>
            <w:tcW w:w="682" w:type="pct"/>
            <w:vAlign w:val="center"/>
          </w:tcPr>
          <w:p w14:paraId="2D442C52" w14:textId="63A6C335"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0.486</w:t>
            </w:r>
          </w:p>
        </w:tc>
        <w:tc>
          <w:tcPr>
            <w:tcW w:w="683" w:type="pct"/>
            <w:vAlign w:val="center"/>
          </w:tcPr>
          <w:p w14:paraId="2B650EEC" w14:textId="6446BA9E"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0.240</w:t>
            </w:r>
          </w:p>
        </w:tc>
        <w:tc>
          <w:tcPr>
            <w:tcW w:w="683" w:type="pct"/>
            <w:vAlign w:val="center"/>
          </w:tcPr>
          <w:p w14:paraId="5EFA3200" w14:textId="1DEB5791"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0.055</w:t>
            </w:r>
          </w:p>
        </w:tc>
        <w:tc>
          <w:tcPr>
            <w:tcW w:w="683" w:type="pct"/>
            <w:vAlign w:val="center"/>
          </w:tcPr>
          <w:p w14:paraId="3F5D01AB" w14:textId="38D11001"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0.027</w:t>
            </w:r>
          </w:p>
        </w:tc>
        <w:tc>
          <w:tcPr>
            <w:tcW w:w="683" w:type="pct"/>
            <w:vAlign w:val="center"/>
          </w:tcPr>
          <w:p w14:paraId="6E15C486" w14:textId="41810F8A"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0.000</w:t>
            </w:r>
          </w:p>
        </w:tc>
        <w:tc>
          <w:tcPr>
            <w:tcW w:w="683" w:type="pct"/>
            <w:vAlign w:val="center"/>
          </w:tcPr>
          <w:p w14:paraId="54214CDA" w14:textId="54B5B7F4"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0.000</w:t>
            </w:r>
          </w:p>
        </w:tc>
      </w:tr>
      <w:tr w:rsidR="00C666FA" w:rsidRPr="00C666FA" w14:paraId="0F5C703A" w14:textId="77777777" w:rsidTr="00220140">
        <w:tc>
          <w:tcPr>
            <w:tcW w:w="904" w:type="pct"/>
            <w:vAlign w:val="center"/>
          </w:tcPr>
          <w:p w14:paraId="15F78C87" w14:textId="77777777"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2</w:t>
            </w:r>
          </w:p>
        </w:tc>
        <w:tc>
          <w:tcPr>
            <w:tcW w:w="682" w:type="pct"/>
            <w:vAlign w:val="center"/>
          </w:tcPr>
          <w:p w14:paraId="54D6D2C3" w14:textId="041DE24D"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0.654</w:t>
            </w:r>
          </w:p>
        </w:tc>
        <w:tc>
          <w:tcPr>
            <w:tcW w:w="683" w:type="pct"/>
            <w:vAlign w:val="center"/>
          </w:tcPr>
          <w:p w14:paraId="506053C3" w14:textId="75A3C470"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0.654</w:t>
            </w:r>
          </w:p>
        </w:tc>
        <w:tc>
          <w:tcPr>
            <w:tcW w:w="683" w:type="pct"/>
            <w:vAlign w:val="center"/>
          </w:tcPr>
          <w:p w14:paraId="1A7A4046" w14:textId="60027F21"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0.055</w:t>
            </w:r>
          </w:p>
        </w:tc>
        <w:tc>
          <w:tcPr>
            <w:tcW w:w="683" w:type="pct"/>
            <w:vAlign w:val="center"/>
          </w:tcPr>
          <w:p w14:paraId="5F008E80" w14:textId="14047892"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0.051</w:t>
            </w:r>
          </w:p>
        </w:tc>
        <w:tc>
          <w:tcPr>
            <w:tcW w:w="683" w:type="pct"/>
            <w:vAlign w:val="center"/>
          </w:tcPr>
          <w:p w14:paraId="3367B2DF" w14:textId="28C4C775"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0.001</w:t>
            </w:r>
          </w:p>
        </w:tc>
        <w:tc>
          <w:tcPr>
            <w:tcW w:w="683" w:type="pct"/>
            <w:vAlign w:val="center"/>
          </w:tcPr>
          <w:p w14:paraId="2C45DDD8" w14:textId="38071291"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0.001</w:t>
            </w:r>
          </w:p>
        </w:tc>
      </w:tr>
      <w:tr w:rsidR="00C666FA" w:rsidRPr="00C666FA" w14:paraId="770FF512" w14:textId="77777777" w:rsidTr="00220140">
        <w:tc>
          <w:tcPr>
            <w:tcW w:w="904" w:type="pct"/>
            <w:vAlign w:val="center"/>
          </w:tcPr>
          <w:p w14:paraId="684A22DB" w14:textId="77777777"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3</w:t>
            </w:r>
          </w:p>
        </w:tc>
        <w:tc>
          <w:tcPr>
            <w:tcW w:w="682" w:type="pct"/>
            <w:vAlign w:val="center"/>
          </w:tcPr>
          <w:p w14:paraId="7F2817D4" w14:textId="3BB368CF"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83" w:type="pct"/>
            <w:vAlign w:val="center"/>
          </w:tcPr>
          <w:p w14:paraId="40270BEA" w14:textId="6686CCC8"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83" w:type="pct"/>
            <w:vAlign w:val="center"/>
          </w:tcPr>
          <w:p w14:paraId="3500D910" w14:textId="128D934A"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83" w:type="pct"/>
            <w:vAlign w:val="center"/>
          </w:tcPr>
          <w:p w14:paraId="7C941878" w14:textId="3CC6BAFA"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83" w:type="pct"/>
            <w:vAlign w:val="center"/>
          </w:tcPr>
          <w:p w14:paraId="587BB5BE" w14:textId="27C454CB"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83" w:type="pct"/>
            <w:vAlign w:val="center"/>
          </w:tcPr>
          <w:p w14:paraId="1CF8277F" w14:textId="3D770ED6"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r>
      <w:tr w:rsidR="00C666FA" w:rsidRPr="00C666FA" w14:paraId="51CB5C1E" w14:textId="77777777" w:rsidTr="00220140">
        <w:tc>
          <w:tcPr>
            <w:tcW w:w="5000" w:type="pct"/>
            <w:gridSpan w:val="7"/>
            <w:vAlign w:val="center"/>
          </w:tcPr>
          <w:p w14:paraId="3A39ADBF" w14:textId="77777777" w:rsidR="006D6C4B" w:rsidRPr="00C666FA" w:rsidRDefault="006D6C4B" w:rsidP="00616C0F">
            <w:pPr>
              <w:spacing w:line="0" w:lineRule="atLeast"/>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IXIC</w:t>
            </w:r>
          </w:p>
        </w:tc>
      </w:tr>
      <w:tr w:rsidR="00C666FA" w:rsidRPr="00C666FA" w14:paraId="4D346F19" w14:textId="77777777" w:rsidTr="00220140">
        <w:tc>
          <w:tcPr>
            <w:tcW w:w="904" w:type="pct"/>
            <w:vAlign w:val="center"/>
          </w:tcPr>
          <w:p w14:paraId="0199BBAD" w14:textId="77777777"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1</w:t>
            </w:r>
          </w:p>
        </w:tc>
        <w:tc>
          <w:tcPr>
            <w:tcW w:w="682" w:type="pct"/>
            <w:vAlign w:val="center"/>
          </w:tcPr>
          <w:p w14:paraId="01C187FC" w14:textId="653F32E3"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0.199</w:t>
            </w:r>
          </w:p>
        </w:tc>
        <w:tc>
          <w:tcPr>
            <w:tcW w:w="683" w:type="pct"/>
            <w:vAlign w:val="center"/>
          </w:tcPr>
          <w:p w14:paraId="788A817F" w14:textId="64BB0895"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0.403</w:t>
            </w:r>
          </w:p>
        </w:tc>
        <w:tc>
          <w:tcPr>
            <w:tcW w:w="683" w:type="pct"/>
            <w:vAlign w:val="center"/>
          </w:tcPr>
          <w:p w14:paraId="7496DE41" w14:textId="580BC75A"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0.001</w:t>
            </w:r>
          </w:p>
        </w:tc>
        <w:tc>
          <w:tcPr>
            <w:tcW w:w="683" w:type="pct"/>
            <w:vAlign w:val="center"/>
          </w:tcPr>
          <w:p w14:paraId="5AD95188" w14:textId="2C38AD0F"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0.000</w:t>
            </w:r>
          </w:p>
        </w:tc>
        <w:tc>
          <w:tcPr>
            <w:tcW w:w="683" w:type="pct"/>
            <w:vAlign w:val="center"/>
          </w:tcPr>
          <w:p w14:paraId="5E19BA3A" w14:textId="4E49AC29"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0.000</w:t>
            </w:r>
          </w:p>
        </w:tc>
        <w:tc>
          <w:tcPr>
            <w:tcW w:w="683" w:type="pct"/>
            <w:vAlign w:val="center"/>
          </w:tcPr>
          <w:p w14:paraId="1C0A2B86" w14:textId="7412BEE5"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0.000</w:t>
            </w:r>
          </w:p>
        </w:tc>
      </w:tr>
      <w:tr w:rsidR="00C666FA" w:rsidRPr="00C666FA" w14:paraId="46CED985" w14:textId="77777777" w:rsidTr="00220140">
        <w:tc>
          <w:tcPr>
            <w:tcW w:w="904" w:type="pct"/>
            <w:vAlign w:val="center"/>
          </w:tcPr>
          <w:p w14:paraId="6F96ED7E" w14:textId="77777777"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2</w:t>
            </w:r>
          </w:p>
        </w:tc>
        <w:tc>
          <w:tcPr>
            <w:tcW w:w="682" w:type="pct"/>
            <w:vAlign w:val="center"/>
          </w:tcPr>
          <w:p w14:paraId="0C21EBB2" w14:textId="3B35DC1D"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0.895</w:t>
            </w:r>
          </w:p>
        </w:tc>
        <w:tc>
          <w:tcPr>
            <w:tcW w:w="683" w:type="pct"/>
            <w:vAlign w:val="center"/>
          </w:tcPr>
          <w:p w14:paraId="0C5BB4F4" w14:textId="60BE8E97"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0.865</w:t>
            </w:r>
          </w:p>
        </w:tc>
        <w:tc>
          <w:tcPr>
            <w:tcW w:w="683" w:type="pct"/>
            <w:vAlign w:val="center"/>
          </w:tcPr>
          <w:p w14:paraId="3539AB57" w14:textId="5546440C"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0.001</w:t>
            </w:r>
          </w:p>
        </w:tc>
        <w:tc>
          <w:tcPr>
            <w:tcW w:w="683" w:type="pct"/>
            <w:vAlign w:val="center"/>
          </w:tcPr>
          <w:p w14:paraId="006EF303" w14:textId="2B9E1162"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0.000</w:t>
            </w:r>
          </w:p>
        </w:tc>
        <w:tc>
          <w:tcPr>
            <w:tcW w:w="683" w:type="pct"/>
            <w:vAlign w:val="center"/>
          </w:tcPr>
          <w:p w14:paraId="3B6D7BBA" w14:textId="28E69834"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0.000</w:t>
            </w:r>
          </w:p>
        </w:tc>
        <w:tc>
          <w:tcPr>
            <w:tcW w:w="683" w:type="pct"/>
            <w:vAlign w:val="center"/>
          </w:tcPr>
          <w:p w14:paraId="72306CE7" w14:textId="40635BDD"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0.000</w:t>
            </w:r>
          </w:p>
        </w:tc>
      </w:tr>
      <w:tr w:rsidR="00C666FA" w:rsidRPr="00C666FA" w14:paraId="1C1B9877" w14:textId="77777777" w:rsidTr="00220140">
        <w:tc>
          <w:tcPr>
            <w:tcW w:w="904" w:type="pct"/>
            <w:tcBorders>
              <w:bottom w:val="single" w:sz="8" w:space="0" w:color="auto"/>
            </w:tcBorders>
            <w:vAlign w:val="center"/>
          </w:tcPr>
          <w:p w14:paraId="087BAA0C" w14:textId="77777777" w:rsidR="006D6C4B" w:rsidRPr="00C666FA" w:rsidRDefault="006D6C4B" w:rsidP="006D6C4B">
            <w:pPr>
              <w:spacing w:line="0" w:lineRule="atLeast"/>
              <w:jc w:val="center"/>
              <w:rPr>
                <w:rFonts w:ascii="Times New Roman" w:hAnsi="Times New Roman" w:cs="Times New Roman"/>
                <w:color w:val="000000" w:themeColor="text1"/>
                <w:sz w:val="18"/>
                <w:szCs w:val="18"/>
              </w:rPr>
            </w:pPr>
            <w:r w:rsidRPr="00C666FA">
              <w:rPr>
                <w:rFonts w:ascii="Times New Roman" w:hAnsi="Times New Roman" w:cs="Times New Roman"/>
                <w:color w:val="000000" w:themeColor="text1"/>
                <w:sz w:val="18"/>
                <w:szCs w:val="18"/>
              </w:rPr>
              <w:t>Model 3</w:t>
            </w:r>
          </w:p>
        </w:tc>
        <w:tc>
          <w:tcPr>
            <w:tcW w:w="682" w:type="pct"/>
            <w:tcBorders>
              <w:bottom w:val="single" w:sz="8" w:space="0" w:color="auto"/>
            </w:tcBorders>
            <w:vAlign w:val="center"/>
          </w:tcPr>
          <w:p w14:paraId="0B3742F6" w14:textId="19255B0D"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83" w:type="pct"/>
            <w:tcBorders>
              <w:bottom w:val="single" w:sz="8" w:space="0" w:color="auto"/>
            </w:tcBorders>
            <w:vAlign w:val="center"/>
          </w:tcPr>
          <w:p w14:paraId="62109E79" w14:textId="56CCF1D3"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83" w:type="pct"/>
            <w:tcBorders>
              <w:bottom w:val="single" w:sz="8" w:space="0" w:color="auto"/>
            </w:tcBorders>
            <w:vAlign w:val="center"/>
          </w:tcPr>
          <w:p w14:paraId="329C7042" w14:textId="579A2832"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83" w:type="pct"/>
            <w:tcBorders>
              <w:bottom w:val="single" w:sz="8" w:space="0" w:color="auto"/>
            </w:tcBorders>
            <w:vAlign w:val="center"/>
          </w:tcPr>
          <w:p w14:paraId="368B67D2" w14:textId="66AAB12E"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83" w:type="pct"/>
            <w:tcBorders>
              <w:bottom w:val="single" w:sz="8" w:space="0" w:color="auto"/>
            </w:tcBorders>
            <w:vAlign w:val="center"/>
          </w:tcPr>
          <w:p w14:paraId="1D1AC6F2" w14:textId="10E5FE5F"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c>
          <w:tcPr>
            <w:tcW w:w="683" w:type="pct"/>
            <w:tcBorders>
              <w:bottom w:val="single" w:sz="8" w:space="0" w:color="auto"/>
            </w:tcBorders>
            <w:vAlign w:val="center"/>
          </w:tcPr>
          <w:p w14:paraId="274EFBB8" w14:textId="0539EBFA" w:rsidR="006D6C4B" w:rsidRPr="00C666FA" w:rsidRDefault="006D6C4B" w:rsidP="006D6C4B">
            <w:pPr>
              <w:spacing w:line="0" w:lineRule="atLeast"/>
              <w:jc w:val="center"/>
              <w:rPr>
                <w:rFonts w:ascii="Times New Roman" w:hAnsi="Times New Roman" w:cs="Times New Roman"/>
                <w:b/>
                <w:bCs/>
                <w:color w:val="000000" w:themeColor="text1"/>
                <w:sz w:val="18"/>
                <w:szCs w:val="18"/>
                <w:u w:val="single"/>
              </w:rPr>
            </w:pPr>
            <w:r w:rsidRPr="00C666FA">
              <w:rPr>
                <w:rFonts w:ascii="Times New Roman" w:hAnsi="Times New Roman" w:cs="Times New Roman"/>
                <w:b/>
                <w:bCs/>
                <w:color w:val="000000" w:themeColor="text1"/>
                <w:sz w:val="18"/>
                <w:szCs w:val="18"/>
                <w:u w:val="single"/>
              </w:rPr>
              <w:t>1.000</w:t>
            </w:r>
          </w:p>
        </w:tc>
      </w:tr>
      <w:tr w:rsidR="00C666FA" w:rsidRPr="00C666FA" w14:paraId="525B171A" w14:textId="77777777" w:rsidTr="00220140">
        <w:tc>
          <w:tcPr>
            <w:tcW w:w="5000" w:type="pct"/>
            <w:gridSpan w:val="7"/>
            <w:tcBorders>
              <w:top w:val="single" w:sz="8" w:space="0" w:color="auto"/>
            </w:tcBorders>
            <w:vAlign w:val="center"/>
          </w:tcPr>
          <w:p w14:paraId="4D2CFFB8" w14:textId="7BC77A00" w:rsidR="00FA6AF6" w:rsidRPr="00C666FA" w:rsidRDefault="00FA6AF6" w:rsidP="00670F35">
            <w:pPr>
              <w:spacing w:line="0" w:lineRule="atLeast"/>
              <w:jc w:val="both"/>
              <w:rPr>
                <w:rFonts w:ascii="Times New Roman" w:hAnsi="Times New Roman" w:cs="Times New Roman"/>
                <w:color w:val="000000" w:themeColor="text1"/>
                <w:sz w:val="18"/>
                <w:szCs w:val="18"/>
              </w:rPr>
            </w:pPr>
            <w:r w:rsidRPr="00C666FA">
              <w:rPr>
                <w:rFonts w:ascii="Times New Roman" w:hAnsi="Times New Roman" w:cs="Times New Roman"/>
                <w:iCs/>
                <w:color w:val="000000" w:themeColor="text1"/>
                <w:sz w:val="18"/>
                <w:szCs w:val="18"/>
              </w:rPr>
              <w:t>N</w:t>
            </w:r>
            <w:r w:rsidRPr="00C666FA">
              <w:rPr>
                <w:rFonts w:ascii="Times New Roman" w:eastAsia="宋体" w:hAnsi="Times New Roman" w:cs="Times New Roman"/>
                <w:color w:val="000000" w:themeColor="text1"/>
                <w:sz w:val="18"/>
                <w:szCs w:val="18"/>
              </w:rPr>
              <w:t xml:space="preserve">ote: The </w:t>
            </w:r>
            <w:r w:rsidRPr="00C666FA">
              <w:rPr>
                <w:rFonts w:ascii="Times New Roman" w:eastAsia="宋体" w:hAnsi="Times New Roman" w:cs="Times New Roman" w:hint="eastAsia"/>
                <w:color w:val="000000" w:themeColor="text1"/>
                <w:sz w:val="18"/>
                <w:szCs w:val="18"/>
              </w:rPr>
              <w:t xml:space="preserve">numbers </w:t>
            </w:r>
            <w:r w:rsidRPr="00C666FA">
              <w:rPr>
                <w:rFonts w:ascii="Times New Roman" w:eastAsia="宋体" w:hAnsi="Times New Roman" w:cs="Times New Roman"/>
                <w:color w:val="000000" w:themeColor="text1"/>
                <w:sz w:val="18"/>
                <w:szCs w:val="18"/>
              </w:rPr>
              <w:t xml:space="preserve">in the table </w:t>
            </w:r>
            <w:r w:rsidRPr="00C666FA">
              <w:rPr>
                <w:rFonts w:ascii="Times New Roman" w:eastAsia="宋体" w:hAnsi="Times New Roman" w:cs="Times New Roman" w:hint="eastAsia"/>
                <w:color w:val="000000" w:themeColor="text1"/>
                <w:sz w:val="18"/>
                <w:szCs w:val="18"/>
              </w:rPr>
              <w:t xml:space="preserve">are p-values. Numbers greater than </w:t>
            </w:r>
            <w:r w:rsidRPr="00C666FA">
              <w:rPr>
                <w:rFonts w:ascii="Times New Roman" w:eastAsia="宋体" w:hAnsi="Times New Roman" w:cs="Times New Roman"/>
                <w:color w:val="000000" w:themeColor="text1"/>
                <w:sz w:val="18"/>
                <w:szCs w:val="18"/>
              </w:rPr>
              <w:t xml:space="preserve">0.10 </w:t>
            </w:r>
            <w:r w:rsidRPr="00C666FA">
              <w:rPr>
                <w:rFonts w:ascii="Times New Roman" w:eastAsia="宋体" w:hAnsi="Times New Roman" w:cs="Times New Roman" w:hint="eastAsia"/>
                <w:color w:val="000000" w:themeColor="text1"/>
                <w:sz w:val="18"/>
                <w:szCs w:val="18"/>
              </w:rPr>
              <w:t xml:space="preserve">are in bold and underlined, indicating that the corresponding model performs significantly better in the model set. The time horizon is </w:t>
            </w:r>
            <w:r w:rsidRPr="00C666FA">
              <w:rPr>
                <w:rFonts w:ascii="Times New Roman" w:eastAsia="宋体" w:hAnsi="Times New Roman" w:cs="Times New Roman"/>
                <w:color w:val="000000" w:themeColor="text1"/>
                <w:sz w:val="18"/>
                <w:szCs w:val="18"/>
              </w:rPr>
              <w:t xml:space="preserve">500 </w:t>
            </w:r>
            <w:r w:rsidRPr="00C666FA">
              <w:rPr>
                <w:rFonts w:ascii="Times New Roman" w:eastAsia="宋体" w:hAnsi="Times New Roman" w:cs="Times New Roman" w:hint="eastAsia"/>
                <w:color w:val="000000" w:themeColor="text1"/>
                <w:sz w:val="18"/>
                <w:szCs w:val="18"/>
              </w:rPr>
              <w:t>days.</w:t>
            </w:r>
          </w:p>
        </w:tc>
      </w:tr>
    </w:tbl>
    <w:p w14:paraId="6BEEC895" w14:textId="77777777" w:rsidR="00AA05BE" w:rsidRPr="00C666FA" w:rsidRDefault="00AA05BE" w:rsidP="00AA05BE">
      <w:pPr>
        <w:pStyle w:val="4"/>
        <w:keepNext w:val="0"/>
        <w:keepLines w:val="0"/>
        <w:widowControl/>
        <w:spacing w:before="240" w:after="0" w:line="360" w:lineRule="auto"/>
        <w:rPr>
          <w:rFonts w:ascii="Palatino Linotype" w:hAnsi="Palatino Linotype"/>
          <w:b/>
          <w:bCs/>
          <w:snapToGrid w:val="0"/>
          <w:color w:val="000000" w:themeColor="text1"/>
          <w:kern w:val="0"/>
          <w:sz w:val="22"/>
          <w:szCs w:val="22"/>
          <w:lang w:bidi="en-US"/>
        </w:rPr>
      </w:pPr>
      <w:r w:rsidRPr="00C666FA">
        <w:rPr>
          <w:rFonts w:ascii="Palatino Linotype" w:hAnsi="Palatino Linotype" w:hint="eastAsia"/>
          <w:b/>
          <w:snapToGrid w:val="0"/>
          <w:color w:val="000000" w:themeColor="text1"/>
          <w:kern w:val="0"/>
          <w:sz w:val="22"/>
          <w:szCs w:val="22"/>
          <w:lang w:bidi="en-US"/>
        </w:rPr>
        <w:t>References</w:t>
      </w:r>
    </w:p>
    <w:p w14:paraId="154414AD" w14:textId="59D2CA8F" w:rsidR="00E578CE" w:rsidRPr="00C666FA" w:rsidRDefault="00C93625"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color w:val="000000" w:themeColor="text1"/>
          <w:sz w:val="18"/>
          <w:szCs w:val="18"/>
          <w14:ligatures w14:val="none"/>
        </w:rPr>
        <w:fldChar w:fldCharType="begin"/>
      </w:r>
      <w:r w:rsidRPr="00C666FA">
        <w:rPr>
          <w:rFonts w:ascii="Times New Roman" w:eastAsia="宋体" w:hAnsi="Times New Roman" w:cs="Times New Roman"/>
          <w:color w:val="000000" w:themeColor="text1"/>
          <w:sz w:val="18"/>
          <w:szCs w:val="18"/>
          <w14:ligatures w14:val="none"/>
        </w:rPr>
        <w:instrText xml:space="preserve"> ADDIN EN.REFLIST </w:instrText>
      </w:r>
      <w:r w:rsidRPr="00C666FA">
        <w:rPr>
          <w:rFonts w:ascii="Times New Roman" w:eastAsia="宋体" w:hAnsi="Times New Roman" w:cs="Times New Roman"/>
          <w:color w:val="000000" w:themeColor="text1"/>
          <w:sz w:val="18"/>
          <w:szCs w:val="18"/>
          <w14:ligatures w14:val="none"/>
        </w:rPr>
        <w:fldChar w:fldCharType="separate"/>
      </w:r>
      <w:r w:rsidR="00E578CE" w:rsidRPr="00C666FA">
        <w:rPr>
          <w:rFonts w:ascii="Times New Roman" w:eastAsia="宋体" w:hAnsi="Times New Roman" w:cs="Times New Roman"/>
          <w:noProof/>
          <w:color w:val="000000" w:themeColor="text1"/>
        </w:rPr>
        <w:t xml:space="preserve">Baker, S. R., Bloom, N., &amp; Davis, S. J. (2016). Measuring Economic Policy Uncertainty*. </w:t>
      </w:r>
      <w:r w:rsidR="00E578CE" w:rsidRPr="00C666FA">
        <w:rPr>
          <w:rFonts w:ascii="Times New Roman" w:eastAsia="宋体" w:hAnsi="Times New Roman" w:cs="Times New Roman"/>
          <w:i/>
          <w:noProof/>
          <w:color w:val="000000" w:themeColor="text1"/>
        </w:rPr>
        <w:t>The Quarterly Journal of Economics</w:t>
      </w:r>
      <w:r w:rsidR="00E578CE" w:rsidRPr="00C666FA">
        <w:rPr>
          <w:rFonts w:ascii="Times New Roman" w:eastAsia="宋体" w:hAnsi="Times New Roman" w:cs="Times New Roman"/>
          <w:noProof/>
          <w:color w:val="000000" w:themeColor="text1"/>
        </w:rPr>
        <w:t>,</w:t>
      </w:r>
      <w:r w:rsidR="00E578CE" w:rsidRPr="00C666FA">
        <w:rPr>
          <w:rFonts w:ascii="Times New Roman" w:eastAsia="宋体" w:hAnsi="Times New Roman" w:cs="Times New Roman"/>
          <w:i/>
          <w:noProof/>
          <w:color w:val="000000" w:themeColor="text1"/>
        </w:rPr>
        <w:t xml:space="preserve"> 131</w:t>
      </w:r>
      <w:r w:rsidR="00E578CE" w:rsidRPr="00C666FA">
        <w:rPr>
          <w:rFonts w:ascii="Times New Roman" w:eastAsia="宋体" w:hAnsi="Times New Roman" w:cs="Times New Roman"/>
          <w:noProof/>
          <w:color w:val="000000" w:themeColor="text1"/>
        </w:rPr>
        <w:t xml:space="preserve">(4), 1593-1636. </w:t>
      </w:r>
      <w:hyperlink r:id="rId13" w:history="1">
        <w:r w:rsidR="00E578CE" w:rsidRPr="00C666FA">
          <w:rPr>
            <w:rStyle w:val="af4"/>
            <w:rFonts w:ascii="Times New Roman" w:eastAsia="宋体" w:hAnsi="Times New Roman" w:cs="Times New Roman"/>
            <w:noProof/>
            <w:color w:val="000000" w:themeColor="text1"/>
          </w:rPr>
          <w:t>https://doi.org/10.1093/qje/qjw024</w:t>
        </w:r>
      </w:hyperlink>
      <w:r w:rsidR="00E578CE" w:rsidRPr="00C666FA">
        <w:rPr>
          <w:rFonts w:ascii="Times New Roman" w:eastAsia="宋体" w:hAnsi="Times New Roman" w:cs="Times New Roman"/>
          <w:noProof/>
          <w:color w:val="000000" w:themeColor="text1"/>
        </w:rPr>
        <w:t xml:space="preserve"> </w:t>
      </w:r>
    </w:p>
    <w:p w14:paraId="042B53D4" w14:textId="5C72376A"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Bianconi, M., Esposito, F., &amp; Sammon, M. (2021). Trade policy uncertainty and stock returns. </w:t>
      </w:r>
      <w:r w:rsidRPr="00C666FA">
        <w:rPr>
          <w:rFonts w:ascii="Times New Roman" w:eastAsia="宋体" w:hAnsi="Times New Roman" w:cs="Times New Roman"/>
          <w:i/>
          <w:noProof/>
          <w:color w:val="000000" w:themeColor="text1"/>
        </w:rPr>
        <w:t>Journal of International Money and Finance</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119</w:t>
      </w:r>
      <w:r w:rsidRPr="00C666FA">
        <w:rPr>
          <w:rFonts w:ascii="Times New Roman" w:eastAsia="宋体" w:hAnsi="Times New Roman" w:cs="Times New Roman"/>
          <w:noProof/>
          <w:color w:val="000000" w:themeColor="text1"/>
        </w:rPr>
        <w:t xml:space="preserve">, 102492. </w:t>
      </w:r>
      <w:hyperlink r:id="rId14" w:history="1">
        <w:r w:rsidRPr="00C666FA">
          <w:rPr>
            <w:rStyle w:val="af4"/>
            <w:rFonts w:ascii="Times New Roman" w:eastAsia="宋体" w:hAnsi="Times New Roman" w:cs="Times New Roman"/>
            <w:noProof/>
            <w:color w:val="000000" w:themeColor="text1"/>
          </w:rPr>
          <w:t>https://doi.org/https://doi.org/10.1016/j.jimonfin.2021.102492</w:t>
        </w:r>
      </w:hyperlink>
      <w:r w:rsidRPr="00C666FA">
        <w:rPr>
          <w:rFonts w:ascii="Times New Roman" w:eastAsia="宋体" w:hAnsi="Times New Roman" w:cs="Times New Roman"/>
          <w:noProof/>
          <w:color w:val="000000" w:themeColor="text1"/>
        </w:rPr>
        <w:t xml:space="preserve"> </w:t>
      </w:r>
    </w:p>
    <w:p w14:paraId="4CFA2D62" w14:textId="4C47D086"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Bouras, C., Christina, C., Rangan, G., &amp; and Suleman, T. (2019). Geopolitical Risks, Returns, and Volatility in Emerging Stock Markets: Evidence from a Panel GARCH Model. </w:t>
      </w:r>
      <w:r w:rsidRPr="00C666FA">
        <w:rPr>
          <w:rFonts w:ascii="Times New Roman" w:eastAsia="宋体" w:hAnsi="Times New Roman" w:cs="Times New Roman"/>
          <w:i/>
          <w:noProof/>
          <w:color w:val="000000" w:themeColor="text1"/>
        </w:rPr>
        <w:t>Emerging Markets Finance and Trade</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55</w:t>
      </w:r>
      <w:r w:rsidRPr="00C666FA">
        <w:rPr>
          <w:rFonts w:ascii="Times New Roman" w:eastAsia="宋体" w:hAnsi="Times New Roman" w:cs="Times New Roman"/>
          <w:noProof/>
          <w:color w:val="000000" w:themeColor="text1"/>
        </w:rPr>
        <w:t xml:space="preserve">(8), 1841-1856. </w:t>
      </w:r>
      <w:hyperlink r:id="rId15" w:history="1">
        <w:r w:rsidRPr="00C666FA">
          <w:rPr>
            <w:rStyle w:val="af4"/>
            <w:rFonts w:ascii="Times New Roman" w:eastAsia="宋体" w:hAnsi="Times New Roman" w:cs="Times New Roman"/>
            <w:noProof/>
            <w:color w:val="000000" w:themeColor="text1"/>
          </w:rPr>
          <w:t>https://doi.org/10.1080/1540496X.2018.1507906</w:t>
        </w:r>
      </w:hyperlink>
      <w:r w:rsidRPr="00C666FA">
        <w:rPr>
          <w:rFonts w:ascii="Times New Roman" w:eastAsia="宋体" w:hAnsi="Times New Roman" w:cs="Times New Roman"/>
          <w:noProof/>
          <w:color w:val="000000" w:themeColor="text1"/>
        </w:rPr>
        <w:t xml:space="preserve"> </w:t>
      </w:r>
    </w:p>
    <w:p w14:paraId="79848A6F" w14:textId="109569FF"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Caldara, D., &amp; Iacoviello, M. (2022). Measuring Geopolitical Risk. </w:t>
      </w:r>
      <w:r w:rsidRPr="00C666FA">
        <w:rPr>
          <w:rFonts w:ascii="Times New Roman" w:eastAsia="宋体" w:hAnsi="Times New Roman" w:cs="Times New Roman"/>
          <w:i/>
          <w:noProof/>
          <w:color w:val="000000" w:themeColor="text1"/>
        </w:rPr>
        <w:t>American Economic Review</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112</w:t>
      </w:r>
      <w:r w:rsidRPr="00C666FA">
        <w:rPr>
          <w:rFonts w:ascii="Times New Roman" w:eastAsia="宋体" w:hAnsi="Times New Roman" w:cs="Times New Roman"/>
          <w:noProof/>
          <w:color w:val="000000" w:themeColor="text1"/>
        </w:rPr>
        <w:t xml:space="preserve">(4), 1194-1225. </w:t>
      </w:r>
      <w:hyperlink r:id="rId16" w:history="1">
        <w:r w:rsidRPr="00C666FA">
          <w:rPr>
            <w:rStyle w:val="af4"/>
            <w:rFonts w:ascii="Times New Roman" w:eastAsia="宋体" w:hAnsi="Times New Roman" w:cs="Times New Roman"/>
            <w:noProof/>
            <w:color w:val="000000" w:themeColor="text1"/>
          </w:rPr>
          <w:t>https://doi.org/10.1257/aer.20191823</w:t>
        </w:r>
      </w:hyperlink>
      <w:r w:rsidRPr="00C666FA">
        <w:rPr>
          <w:rFonts w:ascii="Times New Roman" w:eastAsia="宋体" w:hAnsi="Times New Roman" w:cs="Times New Roman"/>
          <w:noProof/>
          <w:color w:val="000000" w:themeColor="text1"/>
        </w:rPr>
        <w:t xml:space="preserve"> </w:t>
      </w:r>
    </w:p>
    <w:p w14:paraId="00A20E1E" w14:textId="3AE57294"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Chiang, T. C. (2022). The effects of economic uncertainty, geopolitical risk and pandemic upheaval on gold prices. </w:t>
      </w:r>
      <w:r w:rsidRPr="00C666FA">
        <w:rPr>
          <w:rFonts w:ascii="Times New Roman" w:eastAsia="宋体" w:hAnsi="Times New Roman" w:cs="Times New Roman"/>
          <w:i/>
          <w:noProof/>
          <w:color w:val="000000" w:themeColor="text1"/>
        </w:rPr>
        <w:t>Resources Policy</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76</w:t>
      </w:r>
      <w:r w:rsidRPr="00C666FA">
        <w:rPr>
          <w:rFonts w:ascii="Times New Roman" w:eastAsia="宋体" w:hAnsi="Times New Roman" w:cs="Times New Roman"/>
          <w:noProof/>
          <w:color w:val="000000" w:themeColor="text1"/>
        </w:rPr>
        <w:t xml:space="preserve">, 102546. </w:t>
      </w:r>
      <w:hyperlink r:id="rId17" w:history="1">
        <w:r w:rsidRPr="00C666FA">
          <w:rPr>
            <w:rStyle w:val="af4"/>
            <w:rFonts w:ascii="Times New Roman" w:eastAsia="宋体" w:hAnsi="Times New Roman" w:cs="Times New Roman"/>
            <w:noProof/>
            <w:color w:val="000000" w:themeColor="text1"/>
          </w:rPr>
          <w:t>https://doi.org/https://doi.org/10.1016/j.resourpol.2021.102546</w:t>
        </w:r>
      </w:hyperlink>
      <w:r w:rsidRPr="00C666FA">
        <w:rPr>
          <w:rFonts w:ascii="Times New Roman" w:eastAsia="宋体" w:hAnsi="Times New Roman" w:cs="Times New Roman"/>
          <w:noProof/>
          <w:color w:val="000000" w:themeColor="text1"/>
        </w:rPr>
        <w:t xml:space="preserve"> </w:t>
      </w:r>
    </w:p>
    <w:p w14:paraId="132E3E7E" w14:textId="2CD687E9"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Conrad, C., &amp; Kleen, O. (2020). Two are better than one: Volatility forecasting using multiplicative component GARCH-MIDAS models. </w:t>
      </w:r>
      <w:r w:rsidRPr="00C666FA">
        <w:rPr>
          <w:rFonts w:ascii="Times New Roman" w:eastAsia="宋体" w:hAnsi="Times New Roman" w:cs="Times New Roman"/>
          <w:i/>
          <w:noProof/>
          <w:color w:val="000000" w:themeColor="text1"/>
        </w:rPr>
        <w:t>Journal of Applied Econometrics</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35</w:t>
      </w:r>
      <w:r w:rsidRPr="00C666FA">
        <w:rPr>
          <w:rFonts w:ascii="Times New Roman" w:eastAsia="宋体" w:hAnsi="Times New Roman" w:cs="Times New Roman"/>
          <w:noProof/>
          <w:color w:val="000000" w:themeColor="text1"/>
        </w:rPr>
        <w:t xml:space="preserve">(1), 19-45. </w:t>
      </w:r>
      <w:hyperlink r:id="rId18" w:history="1">
        <w:r w:rsidRPr="00C666FA">
          <w:rPr>
            <w:rStyle w:val="af4"/>
            <w:rFonts w:ascii="Times New Roman" w:eastAsia="宋体" w:hAnsi="Times New Roman" w:cs="Times New Roman"/>
            <w:noProof/>
            <w:color w:val="000000" w:themeColor="text1"/>
          </w:rPr>
          <w:t>https://doi.org/https://doi.org/10.1002/jae.2742</w:t>
        </w:r>
      </w:hyperlink>
      <w:r w:rsidRPr="00C666FA">
        <w:rPr>
          <w:rFonts w:ascii="Times New Roman" w:eastAsia="宋体" w:hAnsi="Times New Roman" w:cs="Times New Roman"/>
          <w:noProof/>
          <w:color w:val="000000" w:themeColor="text1"/>
        </w:rPr>
        <w:t xml:space="preserve"> </w:t>
      </w:r>
    </w:p>
    <w:p w14:paraId="419AAFCF" w14:textId="315C8BA7"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Engle, R. F., Ghysels, E., &amp; Sohn, B. (2013). STOCK MARKET VOLATILITY AND MACROECONOMIC FUNDAMENTALS. </w:t>
      </w:r>
      <w:r w:rsidRPr="00C666FA">
        <w:rPr>
          <w:rFonts w:ascii="Times New Roman" w:eastAsia="宋体" w:hAnsi="Times New Roman" w:cs="Times New Roman"/>
          <w:i/>
          <w:noProof/>
          <w:color w:val="000000" w:themeColor="text1"/>
        </w:rPr>
        <w:t>The Review of Economics and Statistics</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95</w:t>
      </w:r>
      <w:r w:rsidRPr="00C666FA">
        <w:rPr>
          <w:rFonts w:ascii="Times New Roman" w:eastAsia="宋体" w:hAnsi="Times New Roman" w:cs="Times New Roman"/>
          <w:noProof/>
          <w:color w:val="000000" w:themeColor="text1"/>
        </w:rPr>
        <w:t xml:space="preserve">(3), 776-797. </w:t>
      </w:r>
      <w:hyperlink r:id="rId19" w:history="1">
        <w:r w:rsidRPr="00C666FA">
          <w:rPr>
            <w:rStyle w:val="af4"/>
            <w:rFonts w:ascii="Times New Roman" w:eastAsia="宋体" w:hAnsi="Times New Roman" w:cs="Times New Roman"/>
            <w:noProof/>
            <w:color w:val="000000" w:themeColor="text1"/>
          </w:rPr>
          <w:t>http://www.jstor.org/stable/43554794</w:t>
        </w:r>
      </w:hyperlink>
      <w:r w:rsidRPr="00C666FA">
        <w:rPr>
          <w:rFonts w:ascii="Times New Roman" w:eastAsia="宋体" w:hAnsi="Times New Roman" w:cs="Times New Roman"/>
          <w:noProof/>
          <w:color w:val="000000" w:themeColor="text1"/>
        </w:rPr>
        <w:t xml:space="preserve"> </w:t>
      </w:r>
    </w:p>
    <w:p w14:paraId="4FD2981E" w14:textId="5D30BD11"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Feder-Sempach, E., Szczepocki, P., &amp; Bogołębska, J. (2024). Global uncertainty and potential shelters: gold, </w:t>
      </w:r>
      <w:r w:rsidRPr="00C666FA">
        <w:rPr>
          <w:rFonts w:ascii="Times New Roman" w:eastAsia="宋体" w:hAnsi="Times New Roman" w:cs="Times New Roman"/>
          <w:noProof/>
          <w:color w:val="000000" w:themeColor="text1"/>
        </w:rPr>
        <w:lastRenderedPageBreak/>
        <w:t xml:space="preserve">bitcoin, and currencies as weak and strong safe havens for main world stock markets. </w:t>
      </w:r>
      <w:r w:rsidRPr="00C666FA">
        <w:rPr>
          <w:rFonts w:ascii="Times New Roman" w:eastAsia="宋体" w:hAnsi="Times New Roman" w:cs="Times New Roman"/>
          <w:i/>
          <w:noProof/>
          <w:color w:val="000000" w:themeColor="text1"/>
        </w:rPr>
        <w:t>Financial Innovation</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10</w:t>
      </w:r>
      <w:r w:rsidRPr="00C666FA">
        <w:rPr>
          <w:rFonts w:ascii="Times New Roman" w:eastAsia="宋体" w:hAnsi="Times New Roman" w:cs="Times New Roman"/>
          <w:noProof/>
          <w:color w:val="000000" w:themeColor="text1"/>
        </w:rPr>
        <w:t xml:space="preserve">(1), 67. </w:t>
      </w:r>
      <w:hyperlink r:id="rId20" w:history="1">
        <w:r w:rsidRPr="00C666FA">
          <w:rPr>
            <w:rStyle w:val="af4"/>
            <w:rFonts w:ascii="Times New Roman" w:eastAsia="宋体" w:hAnsi="Times New Roman" w:cs="Times New Roman"/>
            <w:noProof/>
            <w:color w:val="000000" w:themeColor="text1"/>
          </w:rPr>
          <w:t>https://doi.org/10.1186/s40854-023-00589-w</w:t>
        </w:r>
      </w:hyperlink>
      <w:r w:rsidRPr="00C666FA">
        <w:rPr>
          <w:rFonts w:ascii="Times New Roman" w:eastAsia="宋体" w:hAnsi="Times New Roman" w:cs="Times New Roman"/>
          <w:noProof/>
          <w:color w:val="000000" w:themeColor="text1"/>
        </w:rPr>
        <w:t xml:space="preserve"> </w:t>
      </w:r>
    </w:p>
    <w:p w14:paraId="4F9B3A30" w14:textId="7F7312B1"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Glaser, C. L. (2015). A U.S.-China Grand Bargain? The Hard Choice between Military Competition and Accommodation. </w:t>
      </w:r>
      <w:r w:rsidRPr="00C666FA">
        <w:rPr>
          <w:rFonts w:ascii="Times New Roman" w:eastAsia="宋体" w:hAnsi="Times New Roman" w:cs="Times New Roman"/>
          <w:i/>
          <w:noProof/>
          <w:color w:val="000000" w:themeColor="text1"/>
        </w:rPr>
        <w:t>International Security</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39</w:t>
      </w:r>
      <w:r w:rsidRPr="00C666FA">
        <w:rPr>
          <w:rFonts w:ascii="Times New Roman" w:eastAsia="宋体" w:hAnsi="Times New Roman" w:cs="Times New Roman"/>
          <w:noProof/>
          <w:color w:val="000000" w:themeColor="text1"/>
        </w:rPr>
        <w:t xml:space="preserve">(4), 49-90. </w:t>
      </w:r>
      <w:hyperlink r:id="rId21" w:history="1">
        <w:r w:rsidRPr="00C666FA">
          <w:rPr>
            <w:rStyle w:val="af4"/>
            <w:rFonts w:ascii="Times New Roman" w:eastAsia="宋体" w:hAnsi="Times New Roman" w:cs="Times New Roman"/>
            <w:noProof/>
            <w:color w:val="000000" w:themeColor="text1"/>
          </w:rPr>
          <w:t>http://www.jstor.org/stable/24480607</w:t>
        </w:r>
      </w:hyperlink>
      <w:r w:rsidRPr="00C666FA">
        <w:rPr>
          <w:rFonts w:ascii="Times New Roman" w:eastAsia="宋体" w:hAnsi="Times New Roman" w:cs="Times New Roman"/>
          <w:noProof/>
          <w:color w:val="000000" w:themeColor="text1"/>
        </w:rPr>
        <w:t xml:space="preserve"> </w:t>
      </w:r>
    </w:p>
    <w:p w14:paraId="29EEFF1B" w14:textId="591BF897"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Hao, X., Ma, Y., &amp; Pan, D. (2024). Geopolitical risk and the predictability of spillovers between exchange, commodity and stock markets. </w:t>
      </w:r>
      <w:r w:rsidRPr="00C666FA">
        <w:rPr>
          <w:rFonts w:ascii="Times New Roman" w:eastAsia="宋体" w:hAnsi="Times New Roman" w:cs="Times New Roman"/>
          <w:i/>
          <w:noProof/>
          <w:color w:val="000000" w:themeColor="text1"/>
        </w:rPr>
        <w:t>Journal of Multinational Financial Management</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73</w:t>
      </w:r>
      <w:r w:rsidRPr="00C666FA">
        <w:rPr>
          <w:rFonts w:ascii="Times New Roman" w:eastAsia="宋体" w:hAnsi="Times New Roman" w:cs="Times New Roman"/>
          <w:noProof/>
          <w:color w:val="000000" w:themeColor="text1"/>
        </w:rPr>
        <w:t xml:space="preserve">, 100843. </w:t>
      </w:r>
      <w:hyperlink r:id="rId22" w:history="1">
        <w:r w:rsidRPr="00C666FA">
          <w:rPr>
            <w:rStyle w:val="af4"/>
            <w:rFonts w:ascii="Times New Roman" w:eastAsia="宋体" w:hAnsi="Times New Roman" w:cs="Times New Roman"/>
            <w:noProof/>
            <w:color w:val="000000" w:themeColor="text1"/>
          </w:rPr>
          <w:t>https://doi.org/https://doi.org/10.1016/j.mulfin.2024.100843</w:t>
        </w:r>
      </w:hyperlink>
      <w:r w:rsidRPr="00C666FA">
        <w:rPr>
          <w:rFonts w:ascii="Times New Roman" w:eastAsia="宋体" w:hAnsi="Times New Roman" w:cs="Times New Roman"/>
          <w:noProof/>
          <w:color w:val="000000" w:themeColor="text1"/>
        </w:rPr>
        <w:t xml:space="preserve"> </w:t>
      </w:r>
    </w:p>
    <w:p w14:paraId="475C7C92" w14:textId="4BC29F44"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He, Z. (2023). Geopolitical risks and investor sentiment: Causality and TVP-VAR analysis. </w:t>
      </w:r>
      <w:r w:rsidRPr="00C666FA">
        <w:rPr>
          <w:rFonts w:ascii="Times New Roman" w:eastAsia="宋体" w:hAnsi="Times New Roman" w:cs="Times New Roman"/>
          <w:i/>
          <w:noProof/>
          <w:color w:val="000000" w:themeColor="text1"/>
        </w:rPr>
        <w:t>The North American Journal of Economics and Finance</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67</w:t>
      </w:r>
      <w:r w:rsidRPr="00C666FA">
        <w:rPr>
          <w:rFonts w:ascii="Times New Roman" w:eastAsia="宋体" w:hAnsi="Times New Roman" w:cs="Times New Roman"/>
          <w:noProof/>
          <w:color w:val="000000" w:themeColor="text1"/>
        </w:rPr>
        <w:t xml:space="preserve">, 101947. </w:t>
      </w:r>
      <w:hyperlink r:id="rId23" w:history="1">
        <w:r w:rsidRPr="00C666FA">
          <w:rPr>
            <w:rStyle w:val="af4"/>
            <w:rFonts w:ascii="Times New Roman" w:eastAsia="宋体" w:hAnsi="Times New Roman" w:cs="Times New Roman"/>
            <w:noProof/>
            <w:color w:val="000000" w:themeColor="text1"/>
          </w:rPr>
          <w:t>https://doi.org/https://doi.org/10.1016/j.najef.2023.101947</w:t>
        </w:r>
      </w:hyperlink>
      <w:r w:rsidRPr="00C666FA">
        <w:rPr>
          <w:rFonts w:ascii="Times New Roman" w:eastAsia="宋体" w:hAnsi="Times New Roman" w:cs="Times New Roman"/>
          <w:noProof/>
          <w:color w:val="000000" w:themeColor="text1"/>
        </w:rPr>
        <w:t xml:space="preserve"> </w:t>
      </w:r>
    </w:p>
    <w:p w14:paraId="0433485F" w14:textId="7B48F261"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Li, S., Chen, H., &amp; Chen, G. (2025). The US-China tension and fossil fuel energy price volatility relationship. </w:t>
      </w:r>
      <w:r w:rsidRPr="00C666FA">
        <w:rPr>
          <w:rFonts w:ascii="Times New Roman" w:eastAsia="宋体" w:hAnsi="Times New Roman" w:cs="Times New Roman"/>
          <w:i/>
          <w:noProof/>
          <w:color w:val="000000" w:themeColor="text1"/>
        </w:rPr>
        <w:t>Finance Research Letters</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74</w:t>
      </w:r>
      <w:r w:rsidRPr="00C666FA">
        <w:rPr>
          <w:rFonts w:ascii="Times New Roman" w:eastAsia="宋体" w:hAnsi="Times New Roman" w:cs="Times New Roman"/>
          <w:noProof/>
          <w:color w:val="000000" w:themeColor="text1"/>
        </w:rPr>
        <w:t xml:space="preserve">, 106707. </w:t>
      </w:r>
      <w:hyperlink r:id="rId24" w:history="1">
        <w:r w:rsidRPr="00C666FA">
          <w:rPr>
            <w:rStyle w:val="af4"/>
            <w:rFonts w:ascii="Times New Roman" w:eastAsia="宋体" w:hAnsi="Times New Roman" w:cs="Times New Roman"/>
            <w:noProof/>
            <w:color w:val="000000" w:themeColor="text1"/>
          </w:rPr>
          <w:t>https://doi.org/https://doi.org/10.1016/j.frl.2024.106707</w:t>
        </w:r>
      </w:hyperlink>
      <w:r w:rsidRPr="00C666FA">
        <w:rPr>
          <w:rFonts w:ascii="Times New Roman" w:eastAsia="宋体" w:hAnsi="Times New Roman" w:cs="Times New Roman"/>
          <w:noProof/>
          <w:color w:val="000000" w:themeColor="text1"/>
        </w:rPr>
        <w:t xml:space="preserve"> </w:t>
      </w:r>
    </w:p>
    <w:p w14:paraId="799C9D9A" w14:textId="668FEC5D"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Lu, C., Yu, F., Li, J., &amp; Li, S. (2024). Research on safe-haven currencies under global uncertainty —A new perception based on the East Asian market. </w:t>
      </w:r>
      <w:r w:rsidRPr="00C666FA">
        <w:rPr>
          <w:rFonts w:ascii="Times New Roman" w:eastAsia="宋体" w:hAnsi="Times New Roman" w:cs="Times New Roman"/>
          <w:i/>
          <w:noProof/>
          <w:color w:val="000000" w:themeColor="text1"/>
        </w:rPr>
        <w:t>Global Finance Journal</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62</w:t>
      </w:r>
      <w:r w:rsidRPr="00C666FA">
        <w:rPr>
          <w:rFonts w:ascii="Times New Roman" w:eastAsia="宋体" w:hAnsi="Times New Roman" w:cs="Times New Roman"/>
          <w:noProof/>
          <w:color w:val="000000" w:themeColor="text1"/>
        </w:rPr>
        <w:t xml:space="preserve">, 101013. </w:t>
      </w:r>
      <w:hyperlink r:id="rId25" w:history="1">
        <w:r w:rsidRPr="00C666FA">
          <w:rPr>
            <w:rStyle w:val="af4"/>
            <w:rFonts w:ascii="Times New Roman" w:eastAsia="宋体" w:hAnsi="Times New Roman" w:cs="Times New Roman"/>
            <w:noProof/>
            <w:color w:val="000000" w:themeColor="text1"/>
          </w:rPr>
          <w:t>https://doi.org/https://doi.org/10.1016/j.gfj.2024.101013</w:t>
        </w:r>
      </w:hyperlink>
      <w:r w:rsidRPr="00C666FA">
        <w:rPr>
          <w:rFonts w:ascii="Times New Roman" w:eastAsia="宋体" w:hAnsi="Times New Roman" w:cs="Times New Roman"/>
          <w:noProof/>
          <w:color w:val="000000" w:themeColor="text1"/>
        </w:rPr>
        <w:t xml:space="preserve"> </w:t>
      </w:r>
    </w:p>
    <w:p w14:paraId="0F70BEB7" w14:textId="77777777"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Rogers, J. H., Sun, B., &amp; Sun, T. (2024). US-China tension. </w:t>
      </w:r>
      <w:r w:rsidRPr="00C666FA">
        <w:rPr>
          <w:rFonts w:ascii="Times New Roman" w:eastAsia="宋体" w:hAnsi="Times New Roman" w:cs="Times New Roman"/>
          <w:i/>
          <w:noProof/>
          <w:color w:val="000000" w:themeColor="text1"/>
        </w:rPr>
        <w:t>Available at SSRN 4815838</w:t>
      </w:r>
      <w:r w:rsidRPr="00C666FA">
        <w:rPr>
          <w:rFonts w:ascii="Times New Roman" w:eastAsia="宋体" w:hAnsi="Times New Roman" w:cs="Times New Roman"/>
          <w:noProof/>
          <w:color w:val="000000" w:themeColor="text1"/>
        </w:rPr>
        <w:t xml:space="preserve">. </w:t>
      </w:r>
    </w:p>
    <w:p w14:paraId="1D56C5C5" w14:textId="76CD093D"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Salachas, E., Kouretas, G. P., Laopodis, N. T., &amp; Vlamis, P. (2024). Stock market spillovers of global risks and hedging opportunities. </w:t>
      </w:r>
      <w:r w:rsidRPr="00C666FA">
        <w:rPr>
          <w:rFonts w:ascii="Times New Roman" w:eastAsia="宋体" w:hAnsi="Times New Roman" w:cs="Times New Roman"/>
          <w:i/>
          <w:noProof/>
          <w:color w:val="000000" w:themeColor="text1"/>
        </w:rPr>
        <w:t>European Journal of Political Economy</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83</w:t>
      </w:r>
      <w:r w:rsidRPr="00C666FA">
        <w:rPr>
          <w:rFonts w:ascii="Times New Roman" w:eastAsia="宋体" w:hAnsi="Times New Roman" w:cs="Times New Roman"/>
          <w:noProof/>
          <w:color w:val="000000" w:themeColor="text1"/>
        </w:rPr>
        <w:t xml:space="preserve">, 102533. </w:t>
      </w:r>
      <w:hyperlink r:id="rId26" w:history="1">
        <w:r w:rsidRPr="00C666FA">
          <w:rPr>
            <w:rStyle w:val="af4"/>
            <w:rFonts w:ascii="Times New Roman" w:eastAsia="宋体" w:hAnsi="Times New Roman" w:cs="Times New Roman"/>
            <w:noProof/>
            <w:color w:val="000000" w:themeColor="text1"/>
          </w:rPr>
          <w:t>https://doi.org/https://doi.org/10.1016/j.ejpoleco.2024.102533</w:t>
        </w:r>
      </w:hyperlink>
      <w:r w:rsidRPr="00C666FA">
        <w:rPr>
          <w:rFonts w:ascii="Times New Roman" w:eastAsia="宋体" w:hAnsi="Times New Roman" w:cs="Times New Roman"/>
          <w:noProof/>
          <w:color w:val="000000" w:themeColor="text1"/>
        </w:rPr>
        <w:t xml:space="preserve"> </w:t>
      </w:r>
    </w:p>
    <w:p w14:paraId="3FBE5D92" w14:textId="48FA1D2C"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Triki, M. B., &amp; Ben Maatoug, A. (2021). The GOLD market as a safe haven against the stock market uncertainty: Evidence from geopolitical risk. </w:t>
      </w:r>
      <w:r w:rsidRPr="00C666FA">
        <w:rPr>
          <w:rFonts w:ascii="Times New Roman" w:eastAsia="宋体" w:hAnsi="Times New Roman" w:cs="Times New Roman"/>
          <w:i/>
          <w:noProof/>
          <w:color w:val="000000" w:themeColor="text1"/>
        </w:rPr>
        <w:t>Resources Policy</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70</w:t>
      </w:r>
      <w:r w:rsidRPr="00C666FA">
        <w:rPr>
          <w:rFonts w:ascii="Times New Roman" w:eastAsia="宋体" w:hAnsi="Times New Roman" w:cs="Times New Roman"/>
          <w:noProof/>
          <w:color w:val="000000" w:themeColor="text1"/>
        </w:rPr>
        <w:t xml:space="preserve">, 101872. </w:t>
      </w:r>
      <w:hyperlink r:id="rId27" w:history="1">
        <w:r w:rsidRPr="00C666FA">
          <w:rPr>
            <w:rStyle w:val="af4"/>
            <w:rFonts w:ascii="Times New Roman" w:eastAsia="宋体" w:hAnsi="Times New Roman" w:cs="Times New Roman"/>
            <w:noProof/>
            <w:color w:val="000000" w:themeColor="text1"/>
          </w:rPr>
          <w:t>https://doi.org/https://doi.org/10.1016/j.resourpol.2020.101872</w:t>
        </w:r>
      </w:hyperlink>
      <w:r w:rsidRPr="00C666FA">
        <w:rPr>
          <w:rFonts w:ascii="Times New Roman" w:eastAsia="宋体" w:hAnsi="Times New Roman" w:cs="Times New Roman"/>
          <w:noProof/>
          <w:color w:val="000000" w:themeColor="text1"/>
        </w:rPr>
        <w:t xml:space="preserve"> </w:t>
      </w:r>
    </w:p>
    <w:p w14:paraId="55660BB6" w14:textId="02EA14F2"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Wang, K.-M., &amp; Lee, Y.-M. (2022). Is gold a safe haven for exchange rate risks? An empirical study of major currency countries. </w:t>
      </w:r>
      <w:r w:rsidRPr="00C666FA">
        <w:rPr>
          <w:rFonts w:ascii="Times New Roman" w:eastAsia="宋体" w:hAnsi="Times New Roman" w:cs="Times New Roman"/>
          <w:i/>
          <w:noProof/>
          <w:color w:val="000000" w:themeColor="text1"/>
        </w:rPr>
        <w:t>Journal of Multinational Financial Management</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63</w:t>
      </w:r>
      <w:r w:rsidRPr="00C666FA">
        <w:rPr>
          <w:rFonts w:ascii="Times New Roman" w:eastAsia="宋体" w:hAnsi="Times New Roman" w:cs="Times New Roman"/>
          <w:noProof/>
          <w:color w:val="000000" w:themeColor="text1"/>
        </w:rPr>
        <w:t xml:space="preserve">, 100705. </w:t>
      </w:r>
      <w:hyperlink r:id="rId28" w:history="1">
        <w:r w:rsidRPr="00C666FA">
          <w:rPr>
            <w:rStyle w:val="af4"/>
            <w:rFonts w:ascii="Times New Roman" w:eastAsia="宋体" w:hAnsi="Times New Roman" w:cs="Times New Roman"/>
            <w:noProof/>
            <w:color w:val="000000" w:themeColor="text1"/>
          </w:rPr>
          <w:t>https://doi.org/https://doi.org/10.1016/j.mulfin.2021.100705</w:t>
        </w:r>
      </w:hyperlink>
      <w:r w:rsidRPr="00C666FA">
        <w:rPr>
          <w:rFonts w:ascii="Times New Roman" w:eastAsia="宋体" w:hAnsi="Times New Roman" w:cs="Times New Roman"/>
          <w:noProof/>
          <w:color w:val="000000" w:themeColor="text1"/>
        </w:rPr>
        <w:t xml:space="preserve"> </w:t>
      </w:r>
    </w:p>
    <w:p w14:paraId="059F4E8D" w14:textId="194EB123"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Yilmazkuday, H. (2025). U.S. tariffs and stock prices. </w:t>
      </w:r>
      <w:r w:rsidRPr="00C666FA">
        <w:rPr>
          <w:rFonts w:ascii="Times New Roman" w:eastAsia="宋体" w:hAnsi="Times New Roman" w:cs="Times New Roman"/>
          <w:i/>
          <w:noProof/>
          <w:color w:val="000000" w:themeColor="text1"/>
        </w:rPr>
        <w:t>Finance Research Letters</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83</w:t>
      </w:r>
      <w:r w:rsidRPr="00C666FA">
        <w:rPr>
          <w:rFonts w:ascii="Times New Roman" w:eastAsia="宋体" w:hAnsi="Times New Roman" w:cs="Times New Roman"/>
          <w:noProof/>
          <w:color w:val="000000" w:themeColor="text1"/>
        </w:rPr>
        <w:t xml:space="preserve">, 107708. </w:t>
      </w:r>
      <w:hyperlink r:id="rId29" w:history="1">
        <w:r w:rsidRPr="00C666FA">
          <w:rPr>
            <w:rStyle w:val="af4"/>
            <w:rFonts w:ascii="Times New Roman" w:eastAsia="宋体" w:hAnsi="Times New Roman" w:cs="Times New Roman"/>
            <w:noProof/>
            <w:color w:val="000000" w:themeColor="text1"/>
          </w:rPr>
          <w:t>https://doi.org/https://doi.org/10.1016/j.frl.2025.107708</w:t>
        </w:r>
      </w:hyperlink>
      <w:r w:rsidRPr="00C666FA">
        <w:rPr>
          <w:rFonts w:ascii="Times New Roman" w:eastAsia="宋体" w:hAnsi="Times New Roman" w:cs="Times New Roman"/>
          <w:noProof/>
          <w:color w:val="000000" w:themeColor="text1"/>
        </w:rPr>
        <w:t xml:space="preserve"> </w:t>
      </w:r>
    </w:p>
    <w:p w14:paraId="623EFF16" w14:textId="717C552D"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Zaremba, A., Cakici, N., Demir, E., &amp; Long, H. (2022). When bad news is good news: Geopolitical risk and the cross-section of emerging market stock returns. </w:t>
      </w:r>
      <w:r w:rsidRPr="00C666FA">
        <w:rPr>
          <w:rFonts w:ascii="Times New Roman" w:eastAsia="宋体" w:hAnsi="Times New Roman" w:cs="Times New Roman"/>
          <w:i/>
          <w:noProof/>
          <w:color w:val="000000" w:themeColor="text1"/>
        </w:rPr>
        <w:t>Journal of Financial Stability</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58</w:t>
      </w:r>
      <w:r w:rsidRPr="00C666FA">
        <w:rPr>
          <w:rFonts w:ascii="Times New Roman" w:eastAsia="宋体" w:hAnsi="Times New Roman" w:cs="Times New Roman"/>
          <w:noProof/>
          <w:color w:val="000000" w:themeColor="text1"/>
        </w:rPr>
        <w:t xml:space="preserve">, 100964. </w:t>
      </w:r>
      <w:hyperlink r:id="rId30" w:history="1">
        <w:r w:rsidRPr="00C666FA">
          <w:rPr>
            <w:rStyle w:val="af4"/>
            <w:rFonts w:ascii="Times New Roman" w:eastAsia="宋体" w:hAnsi="Times New Roman" w:cs="Times New Roman"/>
            <w:noProof/>
            <w:color w:val="000000" w:themeColor="text1"/>
          </w:rPr>
          <w:t>https://doi.org/https://doi.org/10.1016/j.jfs.2021.100964</w:t>
        </w:r>
      </w:hyperlink>
      <w:r w:rsidRPr="00C666FA">
        <w:rPr>
          <w:rFonts w:ascii="Times New Roman" w:eastAsia="宋体" w:hAnsi="Times New Roman" w:cs="Times New Roman"/>
          <w:noProof/>
          <w:color w:val="000000" w:themeColor="text1"/>
        </w:rPr>
        <w:t xml:space="preserve"> </w:t>
      </w:r>
    </w:p>
    <w:p w14:paraId="1A1BFF6E" w14:textId="0DAAE6DE"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Zhang, K. H. (2024). Geoeconomics of US-China tech rivalry and industrial policy. </w:t>
      </w:r>
      <w:r w:rsidRPr="00C666FA">
        <w:rPr>
          <w:rFonts w:ascii="Times New Roman" w:eastAsia="宋体" w:hAnsi="Times New Roman" w:cs="Times New Roman"/>
          <w:i/>
          <w:noProof/>
          <w:color w:val="000000" w:themeColor="text1"/>
        </w:rPr>
        <w:t>Asia and the Global Economy</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4</w:t>
      </w:r>
      <w:r w:rsidRPr="00C666FA">
        <w:rPr>
          <w:rFonts w:ascii="Times New Roman" w:eastAsia="宋体" w:hAnsi="Times New Roman" w:cs="Times New Roman"/>
          <w:noProof/>
          <w:color w:val="000000" w:themeColor="text1"/>
        </w:rPr>
        <w:t xml:space="preserve">(2), 100098. </w:t>
      </w:r>
      <w:hyperlink r:id="rId31" w:history="1">
        <w:r w:rsidRPr="00C666FA">
          <w:rPr>
            <w:rStyle w:val="af4"/>
            <w:rFonts w:ascii="Times New Roman" w:eastAsia="宋体" w:hAnsi="Times New Roman" w:cs="Times New Roman"/>
            <w:noProof/>
            <w:color w:val="000000" w:themeColor="text1"/>
          </w:rPr>
          <w:t>https://doi.org/https://doi.org/10.1016/j.aglobe.2024.100098</w:t>
        </w:r>
      </w:hyperlink>
      <w:r w:rsidRPr="00C666FA">
        <w:rPr>
          <w:rFonts w:ascii="Times New Roman" w:eastAsia="宋体" w:hAnsi="Times New Roman" w:cs="Times New Roman"/>
          <w:noProof/>
          <w:color w:val="000000" w:themeColor="text1"/>
        </w:rPr>
        <w:t xml:space="preserve"> </w:t>
      </w:r>
    </w:p>
    <w:p w14:paraId="09F9E556" w14:textId="62F8C193" w:rsidR="00E578CE" w:rsidRPr="00C666FA" w:rsidRDefault="00E578CE" w:rsidP="006A0BB4">
      <w:pPr>
        <w:pStyle w:val="EndNoteBibliography"/>
        <w:spacing w:after="0"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Zhang, Y., He, J., He, M., &amp; Li, S. (2023). Geopolitical risk and stock market volatility: A global perspective. </w:t>
      </w:r>
      <w:r w:rsidRPr="00C666FA">
        <w:rPr>
          <w:rFonts w:ascii="Times New Roman" w:eastAsia="宋体" w:hAnsi="Times New Roman" w:cs="Times New Roman"/>
          <w:i/>
          <w:noProof/>
          <w:color w:val="000000" w:themeColor="text1"/>
        </w:rPr>
        <w:t>Finance Research Letters</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53</w:t>
      </w:r>
      <w:r w:rsidRPr="00C666FA">
        <w:rPr>
          <w:rFonts w:ascii="Times New Roman" w:eastAsia="宋体" w:hAnsi="Times New Roman" w:cs="Times New Roman"/>
          <w:noProof/>
          <w:color w:val="000000" w:themeColor="text1"/>
        </w:rPr>
        <w:t xml:space="preserve">, 103620. </w:t>
      </w:r>
      <w:hyperlink r:id="rId32" w:history="1">
        <w:r w:rsidRPr="00C666FA">
          <w:rPr>
            <w:rStyle w:val="af4"/>
            <w:rFonts w:ascii="Times New Roman" w:eastAsia="宋体" w:hAnsi="Times New Roman" w:cs="Times New Roman"/>
            <w:noProof/>
            <w:color w:val="000000" w:themeColor="text1"/>
          </w:rPr>
          <w:t>https://doi.org/https://doi.org/10.1016/j.frl.2022.103620</w:t>
        </w:r>
      </w:hyperlink>
      <w:r w:rsidRPr="00C666FA">
        <w:rPr>
          <w:rFonts w:ascii="Times New Roman" w:eastAsia="宋体" w:hAnsi="Times New Roman" w:cs="Times New Roman"/>
          <w:noProof/>
          <w:color w:val="000000" w:themeColor="text1"/>
        </w:rPr>
        <w:t xml:space="preserve"> </w:t>
      </w:r>
    </w:p>
    <w:p w14:paraId="0D3477DF" w14:textId="46A27612" w:rsidR="00E578CE" w:rsidRPr="00C666FA" w:rsidRDefault="00E578CE" w:rsidP="006A0BB4">
      <w:pPr>
        <w:pStyle w:val="EndNoteBibliography"/>
        <w:spacing w:line="276" w:lineRule="auto"/>
        <w:ind w:left="720" w:hanging="720"/>
        <w:rPr>
          <w:rFonts w:ascii="Times New Roman" w:eastAsia="宋体" w:hAnsi="Times New Roman" w:cs="Times New Roman"/>
          <w:noProof/>
          <w:color w:val="000000" w:themeColor="text1"/>
        </w:rPr>
      </w:pPr>
      <w:r w:rsidRPr="00C666FA">
        <w:rPr>
          <w:rFonts w:ascii="Times New Roman" w:eastAsia="宋体" w:hAnsi="Times New Roman" w:cs="Times New Roman"/>
          <w:noProof/>
          <w:color w:val="000000" w:themeColor="text1"/>
        </w:rPr>
        <w:t xml:space="preserve">Zheng, J., Wen, B., Jiang, Y., Wang, X., &amp; Shen, Y. (2023). Risk spillovers across geopolitical risk and global financial markets. </w:t>
      </w:r>
      <w:r w:rsidRPr="00C666FA">
        <w:rPr>
          <w:rFonts w:ascii="Times New Roman" w:eastAsia="宋体" w:hAnsi="Times New Roman" w:cs="Times New Roman"/>
          <w:i/>
          <w:noProof/>
          <w:color w:val="000000" w:themeColor="text1"/>
        </w:rPr>
        <w:t>Energy Economics</w:t>
      </w:r>
      <w:r w:rsidRPr="00C666FA">
        <w:rPr>
          <w:rFonts w:ascii="Times New Roman" w:eastAsia="宋体" w:hAnsi="Times New Roman" w:cs="Times New Roman"/>
          <w:noProof/>
          <w:color w:val="000000" w:themeColor="text1"/>
        </w:rPr>
        <w:t>,</w:t>
      </w:r>
      <w:r w:rsidRPr="00C666FA">
        <w:rPr>
          <w:rFonts w:ascii="Times New Roman" w:eastAsia="宋体" w:hAnsi="Times New Roman" w:cs="Times New Roman"/>
          <w:i/>
          <w:noProof/>
          <w:color w:val="000000" w:themeColor="text1"/>
        </w:rPr>
        <w:t xml:space="preserve"> 127</w:t>
      </w:r>
      <w:r w:rsidRPr="00C666FA">
        <w:rPr>
          <w:rFonts w:ascii="Times New Roman" w:eastAsia="宋体" w:hAnsi="Times New Roman" w:cs="Times New Roman"/>
          <w:noProof/>
          <w:color w:val="000000" w:themeColor="text1"/>
        </w:rPr>
        <w:t xml:space="preserve">, 107051. </w:t>
      </w:r>
      <w:hyperlink r:id="rId33" w:history="1">
        <w:r w:rsidRPr="00C666FA">
          <w:rPr>
            <w:rStyle w:val="af4"/>
            <w:rFonts w:ascii="Times New Roman" w:eastAsia="宋体" w:hAnsi="Times New Roman" w:cs="Times New Roman"/>
            <w:noProof/>
            <w:color w:val="000000" w:themeColor="text1"/>
          </w:rPr>
          <w:t>https://doi.org/https://doi.org/10.1016/j.eneco.2023.107051</w:t>
        </w:r>
      </w:hyperlink>
      <w:r w:rsidRPr="00C666FA">
        <w:rPr>
          <w:rFonts w:ascii="Times New Roman" w:eastAsia="宋体" w:hAnsi="Times New Roman" w:cs="Times New Roman"/>
          <w:noProof/>
          <w:color w:val="000000" w:themeColor="text1"/>
        </w:rPr>
        <w:t xml:space="preserve"> </w:t>
      </w:r>
    </w:p>
    <w:p w14:paraId="1D29E97B" w14:textId="6C6581E1" w:rsidR="00AA05BE" w:rsidRPr="00C666FA" w:rsidRDefault="00C93625" w:rsidP="006A0BB4">
      <w:pPr>
        <w:pStyle w:val="af6"/>
        <w:spacing w:line="276" w:lineRule="auto"/>
        <w:rPr>
          <w:rFonts w:ascii="Times New Roman" w:eastAsia="宋体" w:hAnsi="Times New Roman" w:cs="Times New Roman"/>
          <w:color w:val="000000" w:themeColor="text1"/>
          <w:sz w:val="18"/>
          <w:szCs w:val="18"/>
          <w14:ligatures w14:val="none"/>
        </w:rPr>
      </w:pPr>
      <w:r w:rsidRPr="00C666FA">
        <w:rPr>
          <w:rFonts w:ascii="Times New Roman" w:eastAsia="宋体" w:hAnsi="Times New Roman" w:cs="Times New Roman"/>
          <w:color w:val="000000" w:themeColor="text1"/>
          <w:sz w:val="18"/>
          <w:szCs w:val="18"/>
          <w14:ligatures w14:val="none"/>
        </w:rPr>
        <w:fldChar w:fldCharType="end"/>
      </w:r>
    </w:p>
    <w:sectPr w:rsidR="00AA05BE" w:rsidRPr="00C666FA" w:rsidSect="006A0BB4">
      <w:pgSz w:w="11906" w:h="16838"/>
      <w:pgMar w:top="1191" w:right="1077" w:bottom="1191"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30D25" w14:textId="77777777" w:rsidR="00413F35" w:rsidRDefault="00413F35" w:rsidP="00E62F6C">
      <w:pPr>
        <w:spacing w:after="0" w:line="240" w:lineRule="auto"/>
      </w:pPr>
      <w:r>
        <w:separator/>
      </w:r>
    </w:p>
  </w:endnote>
  <w:endnote w:type="continuationSeparator" w:id="0">
    <w:p w14:paraId="66569685" w14:textId="77777777" w:rsidR="00413F35" w:rsidRDefault="00413F35" w:rsidP="00E62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仿宋">
    <w:altName w:val="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e"/>
      </w:rPr>
      <w:id w:val="-780959493"/>
      <w:docPartObj>
        <w:docPartGallery w:val="Page Numbers (Bottom of Page)"/>
        <w:docPartUnique/>
      </w:docPartObj>
    </w:sdtPr>
    <w:sdtContent>
      <w:p w14:paraId="6EACE0E2" w14:textId="177F8477" w:rsidR="000F418B" w:rsidRDefault="000F418B" w:rsidP="00020548">
        <w:pPr>
          <w:pStyle w:val="afc"/>
          <w:framePr w:wrap="none" w:vAnchor="text" w:hAnchor="margin" w:xAlign="center" w:y="1"/>
          <w:rPr>
            <w:rStyle w:val="afe"/>
          </w:rPr>
        </w:pPr>
        <w:r>
          <w:rPr>
            <w:rStyle w:val="afe"/>
          </w:rPr>
          <w:fldChar w:fldCharType="begin"/>
        </w:r>
        <w:r>
          <w:rPr>
            <w:rStyle w:val="afe"/>
          </w:rPr>
          <w:instrText xml:space="preserve"> PAGE </w:instrText>
        </w:r>
        <w:r>
          <w:rPr>
            <w:rStyle w:val="afe"/>
          </w:rPr>
          <w:fldChar w:fldCharType="end"/>
        </w:r>
      </w:p>
    </w:sdtContent>
  </w:sdt>
  <w:p w14:paraId="72101970" w14:textId="77777777" w:rsidR="000F418B" w:rsidRDefault="000F418B">
    <w:pPr>
      <w:pStyle w:val="a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e"/>
      </w:rPr>
      <w:id w:val="-180126456"/>
      <w:docPartObj>
        <w:docPartGallery w:val="Page Numbers (Bottom of Page)"/>
        <w:docPartUnique/>
      </w:docPartObj>
    </w:sdtPr>
    <w:sdtContent>
      <w:p w14:paraId="55BD72DF" w14:textId="7D9720B0" w:rsidR="000F418B" w:rsidRDefault="000F418B" w:rsidP="00020548">
        <w:pPr>
          <w:pStyle w:val="afc"/>
          <w:framePr w:wrap="none" w:vAnchor="text" w:hAnchor="margin" w:xAlign="center" w:y="1"/>
          <w:rPr>
            <w:rStyle w:val="afe"/>
          </w:rPr>
        </w:pPr>
        <w:r>
          <w:rPr>
            <w:rStyle w:val="afe"/>
          </w:rPr>
          <w:fldChar w:fldCharType="begin"/>
        </w:r>
        <w:r>
          <w:rPr>
            <w:rStyle w:val="afe"/>
          </w:rPr>
          <w:instrText xml:space="preserve"> PAGE </w:instrText>
        </w:r>
        <w:r>
          <w:rPr>
            <w:rStyle w:val="afe"/>
          </w:rPr>
          <w:fldChar w:fldCharType="separate"/>
        </w:r>
        <w:r>
          <w:rPr>
            <w:rStyle w:val="afe"/>
            <w:noProof/>
          </w:rPr>
          <w:t>1</w:t>
        </w:r>
        <w:r>
          <w:rPr>
            <w:rStyle w:val="afe"/>
          </w:rPr>
          <w:fldChar w:fldCharType="end"/>
        </w:r>
      </w:p>
    </w:sdtContent>
  </w:sdt>
  <w:p w14:paraId="47C7C42B" w14:textId="77777777" w:rsidR="000F418B" w:rsidRDefault="000F418B">
    <w:pPr>
      <w:pStyle w:val="a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72F49" w14:textId="77777777" w:rsidR="00413F35" w:rsidRDefault="00413F35" w:rsidP="00E62F6C">
      <w:pPr>
        <w:spacing w:after="0" w:line="240" w:lineRule="auto"/>
      </w:pPr>
      <w:r>
        <w:separator/>
      </w:r>
    </w:p>
  </w:footnote>
  <w:footnote w:type="continuationSeparator" w:id="0">
    <w:p w14:paraId="56AA794D" w14:textId="77777777" w:rsidR="00413F35" w:rsidRDefault="00413F35" w:rsidP="00E62F6C">
      <w:pPr>
        <w:spacing w:after="0" w:line="240" w:lineRule="auto"/>
      </w:pPr>
      <w:r>
        <w:continuationSeparator/>
      </w:r>
    </w:p>
  </w:footnote>
  <w:footnote w:id="1">
    <w:p w14:paraId="24719E85" w14:textId="77777777" w:rsidR="00342CF1" w:rsidRPr="00191C6E" w:rsidRDefault="00342CF1" w:rsidP="00342CF1">
      <w:pPr>
        <w:pStyle w:val="af1"/>
        <w:wordWrap w:val="0"/>
        <w:rPr>
          <w:rFonts w:ascii="Times New Roman" w:hAnsi="Times New Roman" w:cs="Times New Roman"/>
        </w:rPr>
      </w:pPr>
      <w:r>
        <w:rPr>
          <w:rStyle w:val="af3"/>
        </w:rPr>
        <w:footnoteRef/>
      </w:r>
      <w:r w:rsidRPr="002E31C4">
        <w:rPr>
          <w:rFonts w:ascii="Times New Roman" w:hAnsi="Times New Roman" w:cs="Times New Roman"/>
        </w:rPr>
        <w:t>Investing.com platform</w:t>
      </w:r>
      <w:r>
        <w:rPr>
          <w:rFonts w:ascii="Times New Roman" w:hAnsi="Times New Roman" w:cs="Times New Roman"/>
        </w:rPr>
        <w:t xml:space="preserve">: </w:t>
      </w:r>
      <w:r w:rsidRPr="008C0C2E">
        <w:rPr>
          <w:rFonts w:ascii="Times New Roman" w:hAnsi="Times New Roman" w:cs="Times New Roman"/>
        </w:rPr>
        <w:t>https://www.investing.com/indices/us-spx-500-historical-data</w:t>
      </w:r>
      <w:r>
        <w:rPr>
          <w:rFonts w:ascii="Times New Roman" w:hAnsi="Times New Roman" w:cs="Times New Roman"/>
          <w:kern w:val="0"/>
          <w14:ligatures w14:val="none"/>
        </w:rPr>
        <w:t xml:space="preserve"> (SPX)</w:t>
      </w:r>
      <w:r>
        <w:rPr>
          <w:rFonts w:ascii="Times New Roman" w:hAnsi="Times New Roman" w:cs="Times New Roman"/>
        </w:rPr>
        <w:t xml:space="preserve">; </w:t>
      </w:r>
      <w:r w:rsidRPr="008C0C2E">
        <w:rPr>
          <w:rFonts w:ascii="Times New Roman" w:hAnsi="Times New Roman" w:cs="Times New Roman"/>
        </w:rPr>
        <w:t>https://www.investing.com/indices/nasdaq-composite-historical-data</w:t>
      </w:r>
      <w:r>
        <w:rPr>
          <w:rFonts w:ascii="Times New Roman" w:hAnsi="Times New Roman" w:cs="Times New Roman"/>
        </w:rPr>
        <w:t xml:space="preserve"> (</w:t>
      </w:r>
      <w:r w:rsidRPr="002E31C4">
        <w:rPr>
          <w:rFonts w:ascii="Times New Roman" w:hAnsi="Times New Roman" w:cs="Times New Roman"/>
        </w:rPr>
        <w:t>IXIC</w:t>
      </w:r>
      <w:r>
        <w:rPr>
          <w:rFonts w:ascii="Times New Roman" w:hAnsi="Times New Roman" w:cs="Times New Roman"/>
        </w:rPr>
        <w:t>)</w:t>
      </w:r>
    </w:p>
  </w:footnote>
  <w:footnote w:id="2">
    <w:p w14:paraId="35DB1222" w14:textId="77777777" w:rsidR="00342CF1" w:rsidRPr="00E62F6C" w:rsidRDefault="00342CF1" w:rsidP="00342CF1">
      <w:pPr>
        <w:pStyle w:val="af1"/>
        <w:rPr>
          <w:rFonts w:ascii="Times New Roman" w:hAnsi="Times New Roman" w:cs="Times New Roman"/>
        </w:rPr>
      </w:pPr>
      <w:r>
        <w:rPr>
          <w:rStyle w:val="af3"/>
        </w:rPr>
        <w:footnoteRef/>
      </w:r>
      <w:r w:rsidRPr="008873FD">
        <w:rPr>
          <w:rFonts w:ascii="Times New Roman" w:hAnsi="Times New Roman" w:cs="Times New Roman"/>
        </w:rPr>
        <w:t>Economic Policy Uncertainty Index website:</w:t>
      </w:r>
      <w:r>
        <w:rPr>
          <w:rFonts w:ascii="Times New Roman" w:hAnsi="Times New Roman" w:cs="Times New Roman" w:hint="eastAsia"/>
        </w:rPr>
        <w:t xml:space="preserve"> </w:t>
      </w:r>
      <w:r w:rsidRPr="00E62F6C">
        <w:rPr>
          <w:rFonts w:ascii="Times New Roman" w:hAnsi="Times New Roman" w:cs="Times New Roman"/>
        </w:rPr>
        <w:t>https://policyuncertainty.com/US_China_Tension.html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bordersDoNotSurroundHeader/>
  <w:bordersDoNotSurroundFooter/>
  <w:hideSpellingErrors/>
  <w:hideGrammaticalErrors/>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DengXi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vsp2e2z3a9fzpezr9n5pp2lw9tf5rvzrx9x&quot;&gt;My EndNote Library&lt;record-ids&gt;&lt;item&gt;565&lt;/item&gt;&lt;item&gt;567&lt;/item&gt;&lt;item&gt;568&lt;/item&gt;&lt;item&gt;569&lt;/item&gt;&lt;item&gt;570&lt;/item&gt;&lt;item&gt;571&lt;/item&gt;&lt;item&gt;573&lt;/item&gt;&lt;item&gt;574&lt;/item&gt;&lt;item&gt;575&lt;/item&gt;&lt;item&gt;581&lt;/item&gt;&lt;item&gt;588&lt;/item&gt;&lt;item&gt;589&lt;/item&gt;&lt;item&gt;591&lt;/item&gt;&lt;item&gt;595&lt;/item&gt;&lt;item&gt;602&lt;/item&gt;&lt;item&gt;603&lt;/item&gt;&lt;item&gt;605&lt;/item&gt;&lt;item&gt;606&lt;/item&gt;&lt;item&gt;607&lt;/item&gt;&lt;item&gt;608&lt;/item&gt;&lt;item&gt;609&lt;/item&gt;&lt;item&gt;610&lt;/item&gt;&lt;/record-ids&gt;&lt;/item&gt;&lt;/Libraries&gt;"/>
  </w:docVars>
  <w:rsids>
    <w:rsidRoot w:val="00565139"/>
    <w:rsid w:val="00001249"/>
    <w:rsid w:val="00005732"/>
    <w:rsid w:val="0000588A"/>
    <w:rsid w:val="00007B21"/>
    <w:rsid w:val="000332ED"/>
    <w:rsid w:val="00040C89"/>
    <w:rsid w:val="00046CDB"/>
    <w:rsid w:val="000558DB"/>
    <w:rsid w:val="00062183"/>
    <w:rsid w:val="00065392"/>
    <w:rsid w:val="000778BF"/>
    <w:rsid w:val="000A149E"/>
    <w:rsid w:val="000B42EB"/>
    <w:rsid w:val="000C6E1E"/>
    <w:rsid w:val="000C7F1D"/>
    <w:rsid w:val="000D0C9D"/>
    <w:rsid w:val="000D590C"/>
    <w:rsid w:val="000D6939"/>
    <w:rsid w:val="000F418B"/>
    <w:rsid w:val="00101A14"/>
    <w:rsid w:val="00121E14"/>
    <w:rsid w:val="0013027C"/>
    <w:rsid w:val="00147B3D"/>
    <w:rsid w:val="0015163E"/>
    <w:rsid w:val="00153316"/>
    <w:rsid w:val="0015476F"/>
    <w:rsid w:val="00154A9F"/>
    <w:rsid w:val="001715B5"/>
    <w:rsid w:val="001717B3"/>
    <w:rsid w:val="00191C6E"/>
    <w:rsid w:val="001A23F5"/>
    <w:rsid w:val="001B214C"/>
    <w:rsid w:val="001D001E"/>
    <w:rsid w:val="001D0DC3"/>
    <w:rsid w:val="001D0F4E"/>
    <w:rsid w:val="001D784C"/>
    <w:rsid w:val="001F4108"/>
    <w:rsid w:val="001F7EEB"/>
    <w:rsid w:val="002004B8"/>
    <w:rsid w:val="00215CBF"/>
    <w:rsid w:val="00216425"/>
    <w:rsid w:val="00220140"/>
    <w:rsid w:val="002205E7"/>
    <w:rsid w:val="00231CF3"/>
    <w:rsid w:val="00233327"/>
    <w:rsid w:val="00243CA9"/>
    <w:rsid w:val="00252855"/>
    <w:rsid w:val="002746D0"/>
    <w:rsid w:val="002944E2"/>
    <w:rsid w:val="002953BC"/>
    <w:rsid w:val="002A69F7"/>
    <w:rsid w:val="002A6BCB"/>
    <w:rsid w:val="002B0625"/>
    <w:rsid w:val="002C1FED"/>
    <w:rsid w:val="002C362B"/>
    <w:rsid w:val="002D1B3C"/>
    <w:rsid w:val="002F39B3"/>
    <w:rsid w:val="00301EF5"/>
    <w:rsid w:val="00302597"/>
    <w:rsid w:val="003108D9"/>
    <w:rsid w:val="0031518B"/>
    <w:rsid w:val="00322E33"/>
    <w:rsid w:val="00323C87"/>
    <w:rsid w:val="00324822"/>
    <w:rsid w:val="00342CF1"/>
    <w:rsid w:val="003513D4"/>
    <w:rsid w:val="00377025"/>
    <w:rsid w:val="00377ECD"/>
    <w:rsid w:val="00383B00"/>
    <w:rsid w:val="00397565"/>
    <w:rsid w:val="003A2CE7"/>
    <w:rsid w:val="003C7CC7"/>
    <w:rsid w:val="003D2401"/>
    <w:rsid w:val="003F0D8A"/>
    <w:rsid w:val="003F50E0"/>
    <w:rsid w:val="003F57A4"/>
    <w:rsid w:val="00403862"/>
    <w:rsid w:val="00411B0E"/>
    <w:rsid w:val="00413F35"/>
    <w:rsid w:val="00421D64"/>
    <w:rsid w:val="0042783D"/>
    <w:rsid w:val="00433E3D"/>
    <w:rsid w:val="0043407E"/>
    <w:rsid w:val="00450B23"/>
    <w:rsid w:val="00451E26"/>
    <w:rsid w:val="00473614"/>
    <w:rsid w:val="004778A7"/>
    <w:rsid w:val="0049111C"/>
    <w:rsid w:val="00492646"/>
    <w:rsid w:val="00493CC5"/>
    <w:rsid w:val="004A68BE"/>
    <w:rsid w:val="004C4A99"/>
    <w:rsid w:val="004D1B04"/>
    <w:rsid w:val="004D20D6"/>
    <w:rsid w:val="004D2EC0"/>
    <w:rsid w:val="004E03CD"/>
    <w:rsid w:val="004E4238"/>
    <w:rsid w:val="004E5B7A"/>
    <w:rsid w:val="004F1294"/>
    <w:rsid w:val="004F6F18"/>
    <w:rsid w:val="00500F88"/>
    <w:rsid w:val="0050589F"/>
    <w:rsid w:val="00520343"/>
    <w:rsid w:val="00533EE1"/>
    <w:rsid w:val="00546DB1"/>
    <w:rsid w:val="005540DF"/>
    <w:rsid w:val="00557197"/>
    <w:rsid w:val="00564B74"/>
    <w:rsid w:val="00565139"/>
    <w:rsid w:val="00577532"/>
    <w:rsid w:val="00584471"/>
    <w:rsid w:val="0058460D"/>
    <w:rsid w:val="00594009"/>
    <w:rsid w:val="005A6E3E"/>
    <w:rsid w:val="005B168A"/>
    <w:rsid w:val="005B3620"/>
    <w:rsid w:val="005B582E"/>
    <w:rsid w:val="005C3EA9"/>
    <w:rsid w:val="005C410A"/>
    <w:rsid w:val="00601EFE"/>
    <w:rsid w:val="00603627"/>
    <w:rsid w:val="00611473"/>
    <w:rsid w:val="00616413"/>
    <w:rsid w:val="00620678"/>
    <w:rsid w:val="006216D8"/>
    <w:rsid w:val="0063417C"/>
    <w:rsid w:val="006362D5"/>
    <w:rsid w:val="00643AF7"/>
    <w:rsid w:val="0064517A"/>
    <w:rsid w:val="006470D2"/>
    <w:rsid w:val="00652FB0"/>
    <w:rsid w:val="00670F35"/>
    <w:rsid w:val="0068066C"/>
    <w:rsid w:val="00681185"/>
    <w:rsid w:val="00691F84"/>
    <w:rsid w:val="006A0BB4"/>
    <w:rsid w:val="006A7CED"/>
    <w:rsid w:val="006B24FD"/>
    <w:rsid w:val="006B37BC"/>
    <w:rsid w:val="006B437F"/>
    <w:rsid w:val="006C2BBD"/>
    <w:rsid w:val="006C6849"/>
    <w:rsid w:val="006D1BBD"/>
    <w:rsid w:val="006D6C4B"/>
    <w:rsid w:val="006F4DBE"/>
    <w:rsid w:val="006F7BE0"/>
    <w:rsid w:val="006F7E0F"/>
    <w:rsid w:val="00701707"/>
    <w:rsid w:val="0071332F"/>
    <w:rsid w:val="00720C9A"/>
    <w:rsid w:val="007267AF"/>
    <w:rsid w:val="00727C8D"/>
    <w:rsid w:val="00751E47"/>
    <w:rsid w:val="00763EDC"/>
    <w:rsid w:val="00771EED"/>
    <w:rsid w:val="0079307A"/>
    <w:rsid w:val="007979A7"/>
    <w:rsid w:val="007A1077"/>
    <w:rsid w:val="007C28E2"/>
    <w:rsid w:val="007D123D"/>
    <w:rsid w:val="0080151D"/>
    <w:rsid w:val="00801FD8"/>
    <w:rsid w:val="00817E34"/>
    <w:rsid w:val="00825CE8"/>
    <w:rsid w:val="00827C22"/>
    <w:rsid w:val="00831F58"/>
    <w:rsid w:val="00835001"/>
    <w:rsid w:val="00836F12"/>
    <w:rsid w:val="008446E0"/>
    <w:rsid w:val="008A6B3F"/>
    <w:rsid w:val="008B44C9"/>
    <w:rsid w:val="008B72BB"/>
    <w:rsid w:val="008C0C2E"/>
    <w:rsid w:val="008C509A"/>
    <w:rsid w:val="008C6AE2"/>
    <w:rsid w:val="008D54F2"/>
    <w:rsid w:val="008F6352"/>
    <w:rsid w:val="009007B2"/>
    <w:rsid w:val="00907697"/>
    <w:rsid w:val="00927797"/>
    <w:rsid w:val="009277DA"/>
    <w:rsid w:val="00932CB3"/>
    <w:rsid w:val="0093738D"/>
    <w:rsid w:val="0094262B"/>
    <w:rsid w:val="009453C4"/>
    <w:rsid w:val="0096092A"/>
    <w:rsid w:val="00963E0A"/>
    <w:rsid w:val="00982C38"/>
    <w:rsid w:val="00993F32"/>
    <w:rsid w:val="009A1303"/>
    <w:rsid w:val="009A37FF"/>
    <w:rsid w:val="009C269A"/>
    <w:rsid w:val="009C4638"/>
    <w:rsid w:val="009D141C"/>
    <w:rsid w:val="009D717F"/>
    <w:rsid w:val="00A158BD"/>
    <w:rsid w:val="00A25479"/>
    <w:rsid w:val="00A2663A"/>
    <w:rsid w:val="00A349D4"/>
    <w:rsid w:val="00A406C5"/>
    <w:rsid w:val="00A42DB2"/>
    <w:rsid w:val="00A621F9"/>
    <w:rsid w:val="00A62CC8"/>
    <w:rsid w:val="00A95874"/>
    <w:rsid w:val="00AA059D"/>
    <w:rsid w:val="00AA05BE"/>
    <w:rsid w:val="00AA2AD6"/>
    <w:rsid w:val="00AB27D6"/>
    <w:rsid w:val="00AC2119"/>
    <w:rsid w:val="00AC49AB"/>
    <w:rsid w:val="00AD1A9D"/>
    <w:rsid w:val="00AE0467"/>
    <w:rsid w:val="00AE249A"/>
    <w:rsid w:val="00AE6306"/>
    <w:rsid w:val="00AF7FCF"/>
    <w:rsid w:val="00B023AF"/>
    <w:rsid w:val="00B032F1"/>
    <w:rsid w:val="00B14BC6"/>
    <w:rsid w:val="00B2130A"/>
    <w:rsid w:val="00B36226"/>
    <w:rsid w:val="00B62269"/>
    <w:rsid w:val="00B63B41"/>
    <w:rsid w:val="00B67D3A"/>
    <w:rsid w:val="00B904AE"/>
    <w:rsid w:val="00B971E1"/>
    <w:rsid w:val="00BA25D4"/>
    <w:rsid w:val="00BA2606"/>
    <w:rsid w:val="00BA3FF8"/>
    <w:rsid w:val="00BB0925"/>
    <w:rsid w:val="00BE25FC"/>
    <w:rsid w:val="00BF1790"/>
    <w:rsid w:val="00C02966"/>
    <w:rsid w:val="00C0679F"/>
    <w:rsid w:val="00C13700"/>
    <w:rsid w:val="00C1680E"/>
    <w:rsid w:val="00C5340E"/>
    <w:rsid w:val="00C6450F"/>
    <w:rsid w:val="00C666FA"/>
    <w:rsid w:val="00C734F1"/>
    <w:rsid w:val="00C90E1A"/>
    <w:rsid w:val="00C93625"/>
    <w:rsid w:val="00CA5C63"/>
    <w:rsid w:val="00CB518E"/>
    <w:rsid w:val="00CB70F5"/>
    <w:rsid w:val="00CB7DEC"/>
    <w:rsid w:val="00CC3986"/>
    <w:rsid w:val="00CC798D"/>
    <w:rsid w:val="00CE2BF0"/>
    <w:rsid w:val="00CF4DDB"/>
    <w:rsid w:val="00CF4E4E"/>
    <w:rsid w:val="00D20A08"/>
    <w:rsid w:val="00D22CC0"/>
    <w:rsid w:val="00D44C72"/>
    <w:rsid w:val="00D44F8D"/>
    <w:rsid w:val="00D529E2"/>
    <w:rsid w:val="00D53B95"/>
    <w:rsid w:val="00D5478D"/>
    <w:rsid w:val="00D802DE"/>
    <w:rsid w:val="00D82186"/>
    <w:rsid w:val="00D829D9"/>
    <w:rsid w:val="00D85306"/>
    <w:rsid w:val="00D87233"/>
    <w:rsid w:val="00D922AC"/>
    <w:rsid w:val="00DB2155"/>
    <w:rsid w:val="00DB7A01"/>
    <w:rsid w:val="00DD1936"/>
    <w:rsid w:val="00DD7FDB"/>
    <w:rsid w:val="00DE31FA"/>
    <w:rsid w:val="00DE7072"/>
    <w:rsid w:val="00E05FAC"/>
    <w:rsid w:val="00E310EC"/>
    <w:rsid w:val="00E54D71"/>
    <w:rsid w:val="00E578CE"/>
    <w:rsid w:val="00E61A13"/>
    <w:rsid w:val="00E62F6C"/>
    <w:rsid w:val="00E7450C"/>
    <w:rsid w:val="00E755E5"/>
    <w:rsid w:val="00E75C95"/>
    <w:rsid w:val="00E7623F"/>
    <w:rsid w:val="00E772A4"/>
    <w:rsid w:val="00E90212"/>
    <w:rsid w:val="00E9354B"/>
    <w:rsid w:val="00E9792B"/>
    <w:rsid w:val="00EA602A"/>
    <w:rsid w:val="00EE77D2"/>
    <w:rsid w:val="00EE789F"/>
    <w:rsid w:val="00F024C6"/>
    <w:rsid w:val="00F141E9"/>
    <w:rsid w:val="00F21725"/>
    <w:rsid w:val="00F4230A"/>
    <w:rsid w:val="00F679E4"/>
    <w:rsid w:val="00F7038B"/>
    <w:rsid w:val="00F81117"/>
    <w:rsid w:val="00F90A6C"/>
    <w:rsid w:val="00F913D7"/>
    <w:rsid w:val="00FA3D73"/>
    <w:rsid w:val="00FA6AF6"/>
    <w:rsid w:val="00FB6095"/>
    <w:rsid w:val="00FC007D"/>
    <w:rsid w:val="00FC6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20FB1"/>
  <w15:chartTrackingRefBased/>
  <w15:docId w15:val="{F6F3A21A-C8B4-F242-8A98-C7CEE726F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6513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6513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6513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56513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6513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6513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6513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513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6513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513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6513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6513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565139"/>
    <w:rPr>
      <w:rFonts w:cstheme="majorBidi"/>
      <w:color w:val="2F5496" w:themeColor="accent1" w:themeShade="BF"/>
      <w:sz w:val="28"/>
      <w:szCs w:val="28"/>
    </w:rPr>
  </w:style>
  <w:style w:type="character" w:customStyle="1" w:styleId="50">
    <w:name w:val="标题 5 字符"/>
    <w:basedOn w:val="a0"/>
    <w:link w:val="5"/>
    <w:uiPriority w:val="9"/>
    <w:semiHidden/>
    <w:rsid w:val="00565139"/>
    <w:rPr>
      <w:rFonts w:cstheme="majorBidi"/>
      <w:color w:val="2F5496" w:themeColor="accent1" w:themeShade="BF"/>
      <w:sz w:val="24"/>
    </w:rPr>
  </w:style>
  <w:style w:type="character" w:customStyle="1" w:styleId="60">
    <w:name w:val="标题 6 字符"/>
    <w:basedOn w:val="a0"/>
    <w:link w:val="6"/>
    <w:uiPriority w:val="9"/>
    <w:semiHidden/>
    <w:rsid w:val="00565139"/>
    <w:rPr>
      <w:rFonts w:cstheme="majorBidi"/>
      <w:b/>
      <w:bCs/>
      <w:color w:val="2F5496" w:themeColor="accent1" w:themeShade="BF"/>
    </w:rPr>
  </w:style>
  <w:style w:type="character" w:customStyle="1" w:styleId="70">
    <w:name w:val="标题 7 字符"/>
    <w:basedOn w:val="a0"/>
    <w:link w:val="7"/>
    <w:uiPriority w:val="9"/>
    <w:semiHidden/>
    <w:rsid w:val="00565139"/>
    <w:rPr>
      <w:rFonts w:cstheme="majorBidi"/>
      <w:b/>
      <w:bCs/>
      <w:color w:val="595959" w:themeColor="text1" w:themeTint="A6"/>
    </w:rPr>
  </w:style>
  <w:style w:type="character" w:customStyle="1" w:styleId="80">
    <w:name w:val="标题 8 字符"/>
    <w:basedOn w:val="a0"/>
    <w:link w:val="8"/>
    <w:uiPriority w:val="9"/>
    <w:semiHidden/>
    <w:rsid w:val="00565139"/>
    <w:rPr>
      <w:rFonts w:cstheme="majorBidi"/>
      <w:color w:val="595959" w:themeColor="text1" w:themeTint="A6"/>
    </w:rPr>
  </w:style>
  <w:style w:type="character" w:customStyle="1" w:styleId="90">
    <w:name w:val="标题 9 字符"/>
    <w:basedOn w:val="a0"/>
    <w:link w:val="9"/>
    <w:uiPriority w:val="9"/>
    <w:semiHidden/>
    <w:rsid w:val="00565139"/>
    <w:rPr>
      <w:rFonts w:eastAsiaTheme="majorEastAsia" w:cstheme="majorBidi"/>
      <w:color w:val="595959" w:themeColor="text1" w:themeTint="A6"/>
    </w:rPr>
  </w:style>
  <w:style w:type="paragraph" w:styleId="a3">
    <w:name w:val="Title"/>
    <w:basedOn w:val="a"/>
    <w:next w:val="a"/>
    <w:link w:val="a4"/>
    <w:uiPriority w:val="10"/>
    <w:qFormat/>
    <w:rsid w:val="005651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51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51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651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5139"/>
    <w:pPr>
      <w:spacing w:before="160"/>
      <w:jc w:val="center"/>
    </w:pPr>
    <w:rPr>
      <w:i/>
      <w:iCs/>
      <w:color w:val="404040" w:themeColor="text1" w:themeTint="BF"/>
    </w:rPr>
  </w:style>
  <w:style w:type="character" w:customStyle="1" w:styleId="a8">
    <w:name w:val="引用 字符"/>
    <w:basedOn w:val="a0"/>
    <w:link w:val="a7"/>
    <w:uiPriority w:val="29"/>
    <w:rsid w:val="00565139"/>
    <w:rPr>
      <w:i/>
      <w:iCs/>
      <w:color w:val="404040" w:themeColor="text1" w:themeTint="BF"/>
    </w:rPr>
  </w:style>
  <w:style w:type="paragraph" w:styleId="a9">
    <w:name w:val="List Paragraph"/>
    <w:basedOn w:val="a"/>
    <w:uiPriority w:val="34"/>
    <w:qFormat/>
    <w:rsid w:val="00565139"/>
    <w:pPr>
      <w:ind w:left="720"/>
      <w:contextualSpacing/>
    </w:pPr>
  </w:style>
  <w:style w:type="character" w:styleId="aa">
    <w:name w:val="Intense Emphasis"/>
    <w:basedOn w:val="a0"/>
    <w:uiPriority w:val="21"/>
    <w:qFormat/>
    <w:rsid w:val="00565139"/>
    <w:rPr>
      <w:i/>
      <w:iCs/>
      <w:color w:val="2F5496" w:themeColor="accent1" w:themeShade="BF"/>
    </w:rPr>
  </w:style>
  <w:style w:type="paragraph" w:styleId="ab">
    <w:name w:val="Intense Quote"/>
    <w:basedOn w:val="a"/>
    <w:next w:val="a"/>
    <w:link w:val="ac"/>
    <w:uiPriority w:val="30"/>
    <w:qFormat/>
    <w:rsid w:val="00565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65139"/>
    <w:rPr>
      <w:i/>
      <w:iCs/>
      <w:color w:val="2F5496" w:themeColor="accent1" w:themeShade="BF"/>
    </w:rPr>
  </w:style>
  <w:style w:type="character" w:styleId="ad">
    <w:name w:val="Intense Reference"/>
    <w:basedOn w:val="a0"/>
    <w:uiPriority w:val="32"/>
    <w:qFormat/>
    <w:rsid w:val="00565139"/>
    <w:rPr>
      <w:b/>
      <w:bCs/>
      <w:smallCaps/>
      <w:color w:val="2F5496" w:themeColor="accent1" w:themeShade="BF"/>
      <w:spacing w:val="5"/>
    </w:rPr>
  </w:style>
  <w:style w:type="character" w:styleId="ae">
    <w:name w:val="Strong"/>
    <w:basedOn w:val="a0"/>
    <w:uiPriority w:val="22"/>
    <w:qFormat/>
    <w:rsid w:val="00932CB3"/>
    <w:rPr>
      <w:b/>
      <w:bCs/>
    </w:rPr>
  </w:style>
  <w:style w:type="character" w:customStyle="1" w:styleId="fadein4f9by7">
    <w:name w:val="_fadein_4f9by_7"/>
    <w:basedOn w:val="a0"/>
    <w:rsid w:val="00932CB3"/>
  </w:style>
  <w:style w:type="character" w:styleId="af">
    <w:name w:val="Placeholder Text"/>
    <w:basedOn w:val="a0"/>
    <w:uiPriority w:val="99"/>
    <w:semiHidden/>
    <w:rsid w:val="003A2CE7"/>
    <w:rPr>
      <w:color w:val="666666"/>
    </w:rPr>
  </w:style>
  <w:style w:type="character" w:customStyle="1" w:styleId="katex-mathml">
    <w:name w:val="katex-mathml"/>
    <w:basedOn w:val="a0"/>
    <w:rsid w:val="00E7623F"/>
  </w:style>
  <w:style w:type="character" w:customStyle="1" w:styleId="mord">
    <w:name w:val="mord"/>
    <w:basedOn w:val="a0"/>
    <w:rsid w:val="00E7623F"/>
  </w:style>
  <w:style w:type="character" w:customStyle="1" w:styleId="mpunct">
    <w:name w:val="mpunct"/>
    <w:basedOn w:val="a0"/>
    <w:rsid w:val="00E7623F"/>
  </w:style>
  <w:style w:type="character" w:customStyle="1" w:styleId="vlist-s">
    <w:name w:val="vlist-s"/>
    <w:basedOn w:val="a0"/>
    <w:rsid w:val="00E7623F"/>
  </w:style>
  <w:style w:type="character" w:customStyle="1" w:styleId="mopen">
    <w:name w:val="mopen"/>
    <w:basedOn w:val="a0"/>
    <w:rsid w:val="00E7623F"/>
  </w:style>
  <w:style w:type="character" w:customStyle="1" w:styleId="mclose">
    <w:name w:val="mclose"/>
    <w:basedOn w:val="a0"/>
    <w:rsid w:val="00E7623F"/>
  </w:style>
  <w:style w:type="table" w:styleId="af0">
    <w:name w:val="Table Grid"/>
    <w:basedOn w:val="a1"/>
    <w:uiPriority w:val="39"/>
    <w:rsid w:val="00B971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sid w:val="00AA059D"/>
    <w:pPr>
      <w:widowControl/>
      <w:spacing w:after="0" w:line="240" w:lineRule="auto"/>
    </w:pPr>
    <w:rPr>
      <w:rFonts w:ascii="Helvetica" w:eastAsia="宋体" w:hAnsi="Helvetica" w:cs="宋体"/>
      <w:color w:val="000000"/>
      <w:kern w:val="0"/>
      <w:sz w:val="17"/>
      <w:szCs w:val="17"/>
      <w14:ligatures w14:val="none"/>
    </w:rPr>
  </w:style>
  <w:style w:type="character" w:customStyle="1" w:styleId="s1">
    <w:name w:val="s1"/>
    <w:basedOn w:val="a0"/>
    <w:rsid w:val="00AA059D"/>
    <w:rPr>
      <w:rFonts w:ascii="Times New Roman" w:hAnsi="Times New Roman" w:cs="Times New Roman" w:hint="default"/>
      <w:sz w:val="17"/>
      <w:szCs w:val="17"/>
    </w:rPr>
  </w:style>
  <w:style w:type="paragraph" w:customStyle="1" w:styleId="MDPI12title">
    <w:name w:val="MDPI_1.2_title"/>
    <w:next w:val="a"/>
    <w:qFormat/>
    <w:rsid w:val="001B214C"/>
    <w:pPr>
      <w:adjustRightInd w:val="0"/>
      <w:snapToGrid w:val="0"/>
      <w:spacing w:after="240" w:line="240" w:lineRule="atLeast"/>
    </w:pPr>
    <w:rPr>
      <w:rFonts w:ascii="Palatino Linotype" w:eastAsia="Times New Roman" w:hAnsi="Palatino Linotype" w:cs="Times New Roman"/>
      <w:b/>
      <w:snapToGrid w:val="0"/>
      <w:color w:val="000000"/>
      <w:kern w:val="0"/>
      <w:sz w:val="36"/>
      <w:szCs w:val="20"/>
      <w:lang w:eastAsia="de-DE" w:bidi="en-US"/>
      <w14:ligatures w14:val="none"/>
    </w:rPr>
  </w:style>
  <w:style w:type="paragraph" w:customStyle="1" w:styleId="MDPI13authornames">
    <w:name w:val="MDPI_1.3_authornames"/>
    <w:next w:val="a"/>
    <w:qFormat/>
    <w:rsid w:val="001B214C"/>
    <w:pPr>
      <w:adjustRightInd w:val="0"/>
      <w:snapToGrid w:val="0"/>
      <w:spacing w:after="360" w:line="260" w:lineRule="atLeast"/>
    </w:pPr>
    <w:rPr>
      <w:rFonts w:ascii="Palatino Linotype" w:eastAsia="Times New Roman" w:hAnsi="Palatino Linotype" w:cs="Times New Roman"/>
      <w:b/>
      <w:color w:val="000000"/>
      <w:kern w:val="0"/>
      <w:sz w:val="20"/>
      <w:szCs w:val="22"/>
      <w:lang w:eastAsia="de-DE" w:bidi="en-US"/>
      <w14:ligatures w14:val="none"/>
    </w:rPr>
  </w:style>
  <w:style w:type="paragraph" w:customStyle="1" w:styleId="MDPI16affiliation">
    <w:name w:val="MDPI_1.6_affiliation"/>
    <w:qFormat/>
    <w:rsid w:val="001B214C"/>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eastAsia="de-DE" w:bidi="en-US"/>
      <w14:ligatures w14:val="none"/>
    </w:rPr>
  </w:style>
  <w:style w:type="paragraph" w:customStyle="1" w:styleId="MDPI18keywords">
    <w:name w:val="MDPI_1.8_keywords"/>
    <w:next w:val="a"/>
    <w:qFormat/>
    <w:rsid w:val="00E75C95"/>
    <w:pPr>
      <w:adjustRightInd w:val="0"/>
      <w:snapToGrid w:val="0"/>
      <w:spacing w:before="240" w:after="0" w:line="260" w:lineRule="atLeast"/>
      <w:ind w:left="2608"/>
      <w:jc w:val="both"/>
    </w:pPr>
    <w:rPr>
      <w:rFonts w:ascii="Palatino Linotype" w:eastAsia="Times New Roman" w:hAnsi="Palatino Linotype" w:cs="Times New Roman"/>
      <w:snapToGrid w:val="0"/>
      <w:color w:val="000000"/>
      <w:kern w:val="0"/>
      <w:sz w:val="18"/>
      <w:szCs w:val="22"/>
      <w:lang w:eastAsia="de-DE" w:bidi="en-US"/>
      <w14:ligatures w14:val="none"/>
    </w:rPr>
  </w:style>
  <w:style w:type="table" w:styleId="11">
    <w:name w:val="Grid Table 1 Light"/>
    <w:basedOn w:val="a1"/>
    <w:uiPriority w:val="46"/>
    <w:rsid w:val="0000573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DPI22heading2">
    <w:name w:val="MDPI_2.2_heading2"/>
    <w:qFormat/>
    <w:rsid w:val="0058460D"/>
    <w:pPr>
      <w:adjustRightInd w:val="0"/>
      <w:snapToGrid w:val="0"/>
      <w:spacing w:before="60" w:after="60" w:line="228" w:lineRule="auto"/>
      <w:ind w:left="2608"/>
      <w:outlineLvl w:val="1"/>
    </w:pPr>
    <w:rPr>
      <w:rFonts w:ascii="Palatino Linotype" w:eastAsia="Times New Roman" w:hAnsi="Palatino Linotype" w:cs="Times New Roman"/>
      <w:i/>
      <w:noProof/>
      <w:snapToGrid w:val="0"/>
      <w:color w:val="000000"/>
      <w:kern w:val="0"/>
      <w:sz w:val="20"/>
      <w:szCs w:val="22"/>
      <w:lang w:eastAsia="de-DE" w:bidi="en-US"/>
      <w14:ligatures w14:val="none"/>
    </w:rPr>
  </w:style>
  <w:style w:type="paragraph" w:styleId="af1">
    <w:name w:val="footnote text"/>
    <w:basedOn w:val="a"/>
    <w:link w:val="af2"/>
    <w:uiPriority w:val="99"/>
    <w:semiHidden/>
    <w:unhideWhenUsed/>
    <w:rsid w:val="00E62F6C"/>
    <w:pPr>
      <w:snapToGrid w:val="0"/>
    </w:pPr>
    <w:rPr>
      <w:sz w:val="18"/>
      <w:szCs w:val="18"/>
    </w:rPr>
  </w:style>
  <w:style w:type="character" w:customStyle="1" w:styleId="af2">
    <w:name w:val="脚注文本 字符"/>
    <w:basedOn w:val="a0"/>
    <w:link w:val="af1"/>
    <w:uiPriority w:val="99"/>
    <w:semiHidden/>
    <w:rsid w:val="00E62F6C"/>
    <w:rPr>
      <w:sz w:val="18"/>
      <w:szCs w:val="18"/>
    </w:rPr>
  </w:style>
  <w:style w:type="character" w:styleId="af3">
    <w:name w:val="footnote reference"/>
    <w:basedOn w:val="a0"/>
    <w:uiPriority w:val="99"/>
    <w:semiHidden/>
    <w:unhideWhenUsed/>
    <w:rsid w:val="00E62F6C"/>
    <w:rPr>
      <w:vertAlign w:val="superscript"/>
    </w:rPr>
  </w:style>
  <w:style w:type="character" w:styleId="af4">
    <w:name w:val="Hyperlink"/>
    <w:basedOn w:val="a0"/>
    <w:uiPriority w:val="99"/>
    <w:unhideWhenUsed/>
    <w:rsid w:val="008C0C2E"/>
    <w:rPr>
      <w:color w:val="0563C1" w:themeColor="hyperlink"/>
      <w:u w:val="single"/>
    </w:rPr>
  </w:style>
  <w:style w:type="character" w:styleId="af5">
    <w:name w:val="Unresolved Mention"/>
    <w:basedOn w:val="a0"/>
    <w:uiPriority w:val="99"/>
    <w:semiHidden/>
    <w:unhideWhenUsed/>
    <w:rsid w:val="008C0C2E"/>
    <w:rPr>
      <w:color w:val="605E5C"/>
      <w:shd w:val="clear" w:color="auto" w:fill="E1DFDD"/>
    </w:rPr>
  </w:style>
  <w:style w:type="paragraph" w:styleId="af6">
    <w:name w:val="Bibliography"/>
    <w:basedOn w:val="a"/>
    <w:next w:val="a"/>
    <w:uiPriority w:val="37"/>
    <w:unhideWhenUsed/>
    <w:rsid w:val="003513D4"/>
    <w:pPr>
      <w:spacing w:after="0" w:line="240" w:lineRule="auto"/>
      <w:ind w:left="720" w:hanging="720"/>
    </w:pPr>
  </w:style>
  <w:style w:type="character" w:styleId="af7">
    <w:name w:val="annotation reference"/>
    <w:basedOn w:val="a0"/>
    <w:uiPriority w:val="99"/>
    <w:semiHidden/>
    <w:unhideWhenUsed/>
    <w:rsid w:val="00F81117"/>
    <w:rPr>
      <w:sz w:val="21"/>
      <w:szCs w:val="21"/>
    </w:rPr>
  </w:style>
  <w:style w:type="paragraph" w:styleId="af8">
    <w:name w:val="annotation text"/>
    <w:basedOn w:val="a"/>
    <w:link w:val="af9"/>
    <w:uiPriority w:val="99"/>
    <w:semiHidden/>
    <w:unhideWhenUsed/>
    <w:rsid w:val="00F81117"/>
  </w:style>
  <w:style w:type="character" w:customStyle="1" w:styleId="af9">
    <w:name w:val="批注文字 字符"/>
    <w:basedOn w:val="a0"/>
    <w:link w:val="af8"/>
    <w:uiPriority w:val="99"/>
    <w:semiHidden/>
    <w:rsid w:val="00F81117"/>
  </w:style>
  <w:style w:type="paragraph" w:styleId="afa">
    <w:name w:val="annotation subject"/>
    <w:basedOn w:val="af8"/>
    <w:next w:val="af8"/>
    <w:link w:val="afb"/>
    <w:uiPriority w:val="99"/>
    <w:semiHidden/>
    <w:unhideWhenUsed/>
    <w:rsid w:val="00F81117"/>
    <w:rPr>
      <w:b/>
      <w:bCs/>
    </w:rPr>
  </w:style>
  <w:style w:type="character" w:customStyle="1" w:styleId="afb">
    <w:name w:val="批注主题 字符"/>
    <w:basedOn w:val="af9"/>
    <w:link w:val="afa"/>
    <w:uiPriority w:val="99"/>
    <w:semiHidden/>
    <w:rsid w:val="00F81117"/>
    <w:rPr>
      <w:b/>
      <w:bCs/>
    </w:rPr>
  </w:style>
  <w:style w:type="paragraph" w:styleId="afc">
    <w:name w:val="footer"/>
    <w:basedOn w:val="a"/>
    <w:link w:val="afd"/>
    <w:uiPriority w:val="99"/>
    <w:unhideWhenUsed/>
    <w:rsid w:val="000F418B"/>
    <w:pPr>
      <w:tabs>
        <w:tab w:val="center" w:pos="4153"/>
        <w:tab w:val="right" w:pos="8306"/>
      </w:tabs>
      <w:snapToGrid w:val="0"/>
      <w:spacing w:line="240" w:lineRule="auto"/>
    </w:pPr>
    <w:rPr>
      <w:sz w:val="18"/>
      <w:szCs w:val="18"/>
    </w:rPr>
  </w:style>
  <w:style w:type="character" w:customStyle="1" w:styleId="afd">
    <w:name w:val="页脚 字符"/>
    <w:basedOn w:val="a0"/>
    <w:link w:val="afc"/>
    <w:uiPriority w:val="99"/>
    <w:rsid w:val="000F418B"/>
    <w:rPr>
      <w:sz w:val="18"/>
      <w:szCs w:val="18"/>
    </w:rPr>
  </w:style>
  <w:style w:type="character" w:styleId="afe">
    <w:name w:val="page number"/>
    <w:basedOn w:val="a0"/>
    <w:uiPriority w:val="99"/>
    <w:semiHidden/>
    <w:unhideWhenUsed/>
    <w:rsid w:val="000F418B"/>
  </w:style>
  <w:style w:type="paragraph" w:styleId="aff">
    <w:name w:val="Normal (Web)"/>
    <w:basedOn w:val="a"/>
    <w:uiPriority w:val="99"/>
    <w:semiHidden/>
    <w:unhideWhenUsed/>
    <w:rsid w:val="00564B74"/>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sr-only">
    <w:name w:val="sr-only"/>
    <w:basedOn w:val="a0"/>
    <w:rsid w:val="00564B74"/>
  </w:style>
  <w:style w:type="paragraph" w:customStyle="1" w:styleId="EndNoteBibliographyTitle">
    <w:name w:val="EndNote Bibliography Title"/>
    <w:basedOn w:val="a"/>
    <w:link w:val="EndNoteBibliographyTitle0"/>
    <w:rsid w:val="00C93625"/>
    <w:pPr>
      <w:spacing w:after="0"/>
      <w:jc w:val="center"/>
    </w:pPr>
    <w:rPr>
      <w:rFonts w:ascii="DengXian" w:eastAsia="DengXian" w:hAnsi="DengXian"/>
    </w:rPr>
  </w:style>
  <w:style w:type="character" w:customStyle="1" w:styleId="EndNoteBibliographyTitle0">
    <w:name w:val="EndNote Bibliography Title 字符"/>
    <w:basedOn w:val="a0"/>
    <w:link w:val="EndNoteBibliographyTitle"/>
    <w:rsid w:val="00C93625"/>
    <w:rPr>
      <w:rFonts w:ascii="DengXian" w:eastAsia="DengXian" w:hAnsi="DengXian"/>
    </w:rPr>
  </w:style>
  <w:style w:type="paragraph" w:customStyle="1" w:styleId="EndNoteBibliography">
    <w:name w:val="EndNote Bibliography"/>
    <w:basedOn w:val="a"/>
    <w:link w:val="EndNoteBibliography0"/>
    <w:rsid w:val="00C93625"/>
    <w:pPr>
      <w:spacing w:line="240" w:lineRule="auto"/>
    </w:pPr>
    <w:rPr>
      <w:rFonts w:ascii="DengXian" w:eastAsia="DengXian" w:hAnsi="DengXian"/>
    </w:rPr>
  </w:style>
  <w:style w:type="character" w:customStyle="1" w:styleId="EndNoteBibliography0">
    <w:name w:val="EndNote Bibliography 字符"/>
    <w:basedOn w:val="a0"/>
    <w:link w:val="EndNoteBibliography"/>
    <w:rsid w:val="00C93625"/>
    <w:rPr>
      <w:rFonts w:ascii="DengXian" w:eastAsia="DengXian" w:hAnsi="DengXi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3023">
      <w:bodyDiv w:val="1"/>
      <w:marLeft w:val="0"/>
      <w:marRight w:val="0"/>
      <w:marTop w:val="0"/>
      <w:marBottom w:val="0"/>
      <w:divBdr>
        <w:top w:val="none" w:sz="0" w:space="0" w:color="auto"/>
        <w:left w:val="none" w:sz="0" w:space="0" w:color="auto"/>
        <w:bottom w:val="none" w:sz="0" w:space="0" w:color="auto"/>
        <w:right w:val="none" w:sz="0" w:space="0" w:color="auto"/>
      </w:divBdr>
    </w:div>
    <w:div w:id="42411906">
      <w:bodyDiv w:val="1"/>
      <w:marLeft w:val="0"/>
      <w:marRight w:val="0"/>
      <w:marTop w:val="0"/>
      <w:marBottom w:val="0"/>
      <w:divBdr>
        <w:top w:val="none" w:sz="0" w:space="0" w:color="auto"/>
        <w:left w:val="none" w:sz="0" w:space="0" w:color="auto"/>
        <w:bottom w:val="none" w:sz="0" w:space="0" w:color="auto"/>
        <w:right w:val="none" w:sz="0" w:space="0" w:color="auto"/>
      </w:divBdr>
    </w:div>
    <w:div w:id="94207904">
      <w:bodyDiv w:val="1"/>
      <w:marLeft w:val="0"/>
      <w:marRight w:val="0"/>
      <w:marTop w:val="0"/>
      <w:marBottom w:val="0"/>
      <w:divBdr>
        <w:top w:val="none" w:sz="0" w:space="0" w:color="auto"/>
        <w:left w:val="none" w:sz="0" w:space="0" w:color="auto"/>
        <w:bottom w:val="none" w:sz="0" w:space="0" w:color="auto"/>
        <w:right w:val="none" w:sz="0" w:space="0" w:color="auto"/>
      </w:divBdr>
    </w:div>
    <w:div w:id="95558443">
      <w:bodyDiv w:val="1"/>
      <w:marLeft w:val="0"/>
      <w:marRight w:val="0"/>
      <w:marTop w:val="0"/>
      <w:marBottom w:val="0"/>
      <w:divBdr>
        <w:top w:val="none" w:sz="0" w:space="0" w:color="auto"/>
        <w:left w:val="none" w:sz="0" w:space="0" w:color="auto"/>
        <w:bottom w:val="none" w:sz="0" w:space="0" w:color="auto"/>
        <w:right w:val="none" w:sz="0" w:space="0" w:color="auto"/>
      </w:divBdr>
    </w:div>
    <w:div w:id="192576137">
      <w:bodyDiv w:val="1"/>
      <w:marLeft w:val="0"/>
      <w:marRight w:val="0"/>
      <w:marTop w:val="0"/>
      <w:marBottom w:val="0"/>
      <w:divBdr>
        <w:top w:val="none" w:sz="0" w:space="0" w:color="auto"/>
        <w:left w:val="none" w:sz="0" w:space="0" w:color="auto"/>
        <w:bottom w:val="none" w:sz="0" w:space="0" w:color="auto"/>
        <w:right w:val="none" w:sz="0" w:space="0" w:color="auto"/>
      </w:divBdr>
      <w:divsChild>
        <w:div w:id="1928297290">
          <w:marLeft w:val="0"/>
          <w:marRight w:val="0"/>
          <w:marTop w:val="0"/>
          <w:marBottom w:val="0"/>
          <w:divBdr>
            <w:top w:val="none" w:sz="0" w:space="0" w:color="auto"/>
            <w:left w:val="none" w:sz="0" w:space="0" w:color="auto"/>
            <w:bottom w:val="none" w:sz="0" w:space="0" w:color="auto"/>
            <w:right w:val="none" w:sz="0" w:space="0" w:color="auto"/>
          </w:divBdr>
          <w:divsChild>
            <w:div w:id="305821681">
              <w:marLeft w:val="0"/>
              <w:marRight w:val="0"/>
              <w:marTop w:val="0"/>
              <w:marBottom w:val="0"/>
              <w:divBdr>
                <w:top w:val="none" w:sz="0" w:space="0" w:color="auto"/>
                <w:left w:val="none" w:sz="0" w:space="0" w:color="auto"/>
                <w:bottom w:val="none" w:sz="0" w:space="0" w:color="auto"/>
                <w:right w:val="none" w:sz="0" w:space="0" w:color="auto"/>
              </w:divBdr>
              <w:divsChild>
                <w:div w:id="215437285">
                  <w:marLeft w:val="0"/>
                  <w:marRight w:val="0"/>
                  <w:marTop w:val="0"/>
                  <w:marBottom w:val="0"/>
                  <w:divBdr>
                    <w:top w:val="none" w:sz="0" w:space="0" w:color="auto"/>
                    <w:left w:val="none" w:sz="0" w:space="0" w:color="auto"/>
                    <w:bottom w:val="none" w:sz="0" w:space="0" w:color="auto"/>
                    <w:right w:val="none" w:sz="0" w:space="0" w:color="auto"/>
                  </w:divBdr>
                  <w:divsChild>
                    <w:div w:id="1748267243">
                      <w:marLeft w:val="0"/>
                      <w:marRight w:val="0"/>
                      <w:marTop w:val="0"/>
                      <w:marBottom w:val="0"/>
                      <w:divBdr>
                        <w:top w:val="none" w:sz="0" w:space="0" w:color="auto"/>
                        <w:left w:val="none" w:sz="0" w:space="0" w:color="auto"/>
                        <w:bottom w:val="none" w:sz="0" w:space="0" w:color="auto"/>
                        <w:right w:val="none" w:sz="0" w:space="0" w:color="auto"/>
                      </w:divBdr>
                      <w:divsChild>
                        <w:div w:id="42920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521350">
          <w:marLeft w:val="0"/>
          <w:marRight w:val="0"/>
          <w:marTop w:val="0"/>
          <w:marBottom w:val="0"/>
          <w:divBdr>
            <w:top w:val="none" w:sz="0" w:space="0" w:color="auto"/>
            <w:left w:val="none" w:sz="0" w:space="0" w:color="auto"/>
            <w:bottom w:val="none" w:sz="0" w:space="0" w:color="auto"/>
            <w:right w:val="none" w:sz="0" w:space="0" w:color="auto"/>
          </w:divBdr>
          <w:divsChild>
            <w:div w:id="207651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29697">
      <w:bodyDiv w:val="1"/>
      <w:marLeft w:val="0"/>
      <w:marRight w:val="0"/>
      <w:marTop w:val="0"/>
      <w:marBottom w:val="0"/>
      <w:divBdr>
        <w:top w:val="none" w:sz="0" w:space="0" w:color="auto"/>
        <w:left w:val="none" w:sz="0" w:space="0" w:color="auto"/>
        <w:bottom w:val="none" w:sz="0" w:space="0" w:color="auto"/>
        <w:right w:val="none" w:sz="0" w:space="0" w:color="auto"/>
      </w:divBdr>
    </w:div>
    <w:div w:id="370811308">
      <w:bodyDiv w:val="1"/>
      <w:marLeft w:val="0"/>
      <w:marRight w:val="0"/>
      <w:marTop w:val="0"/>
      <w:marBottom w:val="0"/>
      <w:divBdr>
        <w:top w:val="none" w:sz="0" w:space="0" w:color="auto"/>
        <w:left w:val="none" w:sz="0" w:space="0" w:color="auto"/>
        <w:bottom w:val="none" w:sz="0" w:space="0" w:color="auto"/>
        <w:right w:val="none" w:sz="0" w:space="0" w:color="auto"/>
      </w:divBdr>
    </w:div>
    <w:div w:id="836456190">
      <w:bodyDiv w:val="1"/>
      <w:marLeft w:val="0"/>
      <w:marRight w:val="0"/>
      <w:marTop w:val="0"/>
      <w:marBottom w:val="0"/>
      <w:divBdr>
        <w:top w:val="none" w:sz="0" w:space="0" w:color="auto"/>
        <w:left w:val="none" w:sz="0" w:space="0" w:color="auto"/>
        <w:bottom w:val="none" w:sz="0" w:space="0" w:color="auto"/>
        <w:right w:val="none" w:sz="0" w:space="0" w:color="auto"/>
      </w:divBdr>
    </w:div>
    <w:div w:id="965937341">
      <w:bodyDiv w:val="1"/>
      <w:marLeft w:val="0"/>
      <w:marRight w:val="0"/>
      <w:marTop w:val="0"/>
      <w:marBottom w:val="0"/>
      <w:divBdr>
        <w:top w:val="none" w:sz="0" w:space="0" w:color="auto"/>
        <w:left w:val="none" w:sz="0" w:space="0" w:color="auto"/>
        <w:bottom w:val="none" w:sz="0" w:space="0" w:color="auto"/>
        <w:right w:val="none" w:sz="0" w:space="0" w:color="auto"/>
      </w:divBdr>
    </w:div>
    <w:div w:id="1135483758">
      <w:bodyDiv w:val="1"/>
      <w:marLeft w:val="0"/>
      <w:marRight w:val="0"/>
      <w:marTop w:val="0"/>
      <w:marBottom w:val="0"/>
      <w:divBdr>
        <w:top w:val="none" w:sz="0" w:space="0" w:color="auto"/>
        <w:left w:val="none" w:sz="0" w:space="0" w:color="auto"/>
        <w:bottom w:val="none" w:sz="0" w:space="0" w:color="auto"/>
        <w:right w:val="none" w:sz="0" w:space="0" w:color="auto"/>
      </w:divBdr>
    </w:div>
    <w:div w:id="1334647824">
      <w:bodyDiv w:val="1"/>
      <w:marLeft w:val="0"/>
      <w:marRight w:val="0"/>
      <w:marTop w:val="0"/>
      <w:marBottom w:val="0"/>
      <w:divBdr>
        <w:top w:val="none" w:sz="0" w:space="0" w:color="auto"/>
        <w:left w:val="none" w:sz="0" w:space="0" w:color="auto"/>
        <w:bottom w:val="none" w:sz="0" w:space="0" w:color="auto"/>
        <w:right w:val="none" w:sz="0" w:space="0" w:color="auto"/>
      </w:divBdr>
    </w:div>
    <w:div w:id="1473329136">
      <w:bodyDiv w:val="1"/>
      <w:marLeft w:val="0"/>
      <w:marRight w:val="0"/>
      <w:marTop w:val="0"/>
      <w:marBottom w:val="0"/>
      <w:divBdr>
        <w:top w:val="none" w:sz="0" w:space="0" w:color="auto"/>
        <w:left w:val="none" w:sz="0" w:space="0" w:color="auto"/>
        <w:bottom w:val="none" w:sz="0" w:space="0" w:color="auto"/>
        <w:right w:val="none" w:sz="0" w:space="0" w:color="auto"/>
      </w:divBdr>
    </w:div>
    <w:div w:id="1844052198">
      <w:bodyDiv w:val="1"/>
      <w:marLeft w:val="0"/>
      <w:marRight w:val="0"/>
      <w:marTop w:val="0"/>
      <w:marBottom w:val="0"/>
      <w:divBdr>
        <w:top w:val="none" w:sz="0" w:space="0" w:color="auto"/>
        <w:left w:val="none" w:sz="0" w:space="0" w:color="auto"/>
        <w:bottom w:val="none" w:sz="0" w:space="0" w:color="auto"/>
        <w:right w:val="none" w:sz="0" w:space="0" w:color="auto"/>
      </w:divBdr>
    </w:div>
    <w:div w:id="1866821235">
      <w:bodyDiv w:val="1"/>
      <w:marLeft w:val="0"/>
      <w:marRight w:val="0"/>
      <w:marTop w:val="0"/>
      <w:marBottom w:val="0"/>
      <w:divBdr>
        <w:top w:val="none" w:sz="0" w:space="0" w:color="auto"/>
        <w:left w:val="none" w:sz="0" w:space="0" w:color="auto"/>
        <w:bottom w:val="none" w:sz="0" w:space="0" w:color="auto"/>
        <w:right w:val="none" w:sz="0" w:space="0" w:color="auto"/>
      </w:divBdr>
    </w:div>
    <w:div w:id="1915823083">
      <w:bodyDiv w:val="1"/>
      <w:marLeft w:val="0"/>
      <w:marRight w:val="0"/>
      <w:marTop w:val="0"/>
      <w:marBottom w:val="0"/>
      <w:divBdr>
        <w:top w:val="none" w:sz="0" w:space="0" w:color="auto"/>
        <w:left w:val="none" w:sz="0" w:space="0" w:color="auto"/>
        <w:bottom w:val="none" w:sz="0" w:space="0" w:color="auto"/>
        <w:right w:val="none" w:sz="0" w:space="0" w:color="auto"/>
      </w:divBdr>
    </w:div>
    <w:div w:id="2024210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qje/qjw024" TargetMode="External"/><Relationship Id="rId18" Type="http://schemas.openxmlformats.org/officeDocument/2006/relationships/hyperlink" Target="https://doi.org/https://doi.org/10.1002/jae.2742" TargetMode="External"/><Relationship Id="rId26" Type="http://schemas.openxmlformats.org/officeDocument/2006/relationships/hyperlink" Target="https://doi.org/https://doi.org/10.1016/j.ejpoleco.2024.102533" TargetMode="External"/><Relationship Id="rId3" Type="http://schemas.openxmlformats.org/officeDocument/2006/relationships/settings" Target="settings.xml"/><Relationship Id="rId21" Type="http://schemas.openxmlformats.org/officeDocument/2006/relationships/hyperlink" Target="http://www.jstor.org/stable/24480607"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yperlink" Target="https://doi.org/https://doi.org/10.1016/j.resourpol.2021.102546" TargetMode="External"/><Relationship Id="rId25" Type="http://schemas.openxmlformats.org/officeDocument/2006/relationships/hyperlink" Target="https://doi.org/https://doi.org/10.1016/j.gfj.2024.101013" TargetMode="External"/><Relationship Id="rId33" Type="http://schemas.openxmlformats.org/officeDocument/2006/relationships/hyperlink" Target="https://doi.org/https://doi.org/10.1016/j.eneco.2023.107051" TargetMode="External"/><Relationship Id="rId2" Type="http://schemas.openxmlformats.org/officeDocument/2006/relationships/styles" Target="styles.xml"/><Relationship Id="rId16" Type="http://schemas.openxmlformats.org/officeDocument/2006/relationships/hyperlink" Target="https://doi.org/10.1257/aer.20191823" TargetMode="External"/><Relationship Id="rId20" Type="http://schemas.openxmlformats.org/officeDocument/2006/relationships/hyperlink" Target="https://doi.org/10.1186/s40854-023-00589-w" TargetMode="External"/><Relationship Id="rId29" Type="http://schemas.openxmlformats.org/officeDocument/2006/relationships/hyperlink" Target="https://doi.org/https://doi.org/10.1016/j.frl.2025.107708"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doi.org/https://doi.org/10.1016/j.frl.2024.106707" TargetMode="External"/><Relationship Id="rId32" Type="http://schemas.openxmlformats.org/officeDocument/2006/relationships/hyperlink" Target="https://doi.org/https://doi.org/10.1016/j.frl.2022.103620" TargetMode="External"/><Relationship Id="rId5" Type="http://schemas.openxmlformats.org/officeDocument/2006/relationships/footnotes" Target="footnotes.xml"/><Relationship Id="rId15" Type="http://schemas.openxmlformats.org/officeDocument/2006/relationships/hyperlink" Target="https://doi.org/10.1080/1540496X.2018.1507906" TargetMode="External"/><Relationship Id="rId23" Type="http://schemas.openxmlformats.org/officeDocument/2006/relationships/hyperlink" Target="https://doi.org/https://doi.org/10.1016/j.najef.2023.101947" TargetMode="External"/><Relationship Id="rId28" Type="http://schemas.openxmlformats.org/officeDocument/2006/relationships/hyperlink" Target="https://doi.org/https://doi.org/10.1016/j.mulfin.2021.100705" TargetMode="External"/><Relationship Id="rId10" Type="http://schemas.openxmlformats.org/officeDocument/2006/relationships/image" Target="media/image4.png"/><Relationship Id="rId19" Type="http://schemas.openxmlformats.org/officeDocument/2006/relationships/hyperlink" Target="http://www.jstor.org/stable/43554794" TargetMode="External"/><Relationship Id="rId31" Type="http://schemas.openxmlformats.org/officeDocument/2006/relationships/hyperlink" Target="https://doi.org/https://doi.org/10.1016/j.aglobe.2024.10009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https://doi.org/10.1016/j.jimonfin.2021.102492" TargetMode="External"/><Relationship Id="rId22" Type="http://schemas.openxmlformats.org/officeDocument/2006/relationships/hyperlink" Target="https://doi.org/https://doi.org/10.1016/j.mulfin.2024.100843" TargetMode="External"/><Relationship Id="rId27" Type="http://schemas.openxmlformats.org/officeDocument/2006/relationships/hyperlink" Target="https://doi.org/https://doi.org/10.1016/j.resourpol.2020.101872" TargetMode="External"/><Relationship Id="rId30" Type="http://schemas.openxmlformats.org/officeDocument/2006/relationships/hyperlink" Target="https://doi.org/https://doi.org/10.1016/j.jfs.2021.100964"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EC9CB-6387-9644-AD5C-A9A2F2309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7324</Words>
  <Characters>41748</Characters>
  <Application>Microsoft Office Word</Application>
  <DocSecurity>0</DocSecurity>
  <Lines>347</Lines>
  <Paragraphs>97</Paragraphs>
  <ScaleCrop>false</ScaleCrop>
  <Company/>
  <LinksUpToDate>false</LinksUpToDate>
  <CharactersWithSpaces>48975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久顺 李</dc:creator>
  <cp:keywords/>
  <dc:description/>
  <cp:lastModifiedBy>Yang Liu</cp:lastModifiedBy>
  <cp:revision>5</cp:revision>
  <dcterms:created xsi:type="dcterms:W3CDTF">2025-07-01T01:53:00Z</dcterms:created>
  <dcterms:modified xsi:type="dcterms:W3CDTF">2025-07-01T05:12:00Z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zotero-version="7.0.18"&gt;&lt;session id="yV1gxHzl"/&gt;&lt;style id="http://www.zotero.org/styles/economics-letters" hasBibliography="1" bibliographyStyleHasBeenSet="1"/&gt;&lt;prefs&gt;&lt;pref name="fieldType" value="Field"/&gt;&lt;/prefs&gt;&lt;/data&gt;</vt:lpwstr>
  </property>
</Properties>
</file>