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B031" w14:textId="77777777" w:rsidR="005D502C" w:rsidRPr="0053126D" w:rsidRDefault="005D502C" w:rsidP="005D502C">
      <w:pPr>
        <w:pStyle w:val="MDPI13authornames"/>
        <w:spacing w:after="280"/>
        <w:jc w:val="center"/>
        <w:rPr>
          <w:rFonts w:ascii="Times New Roman" w:hAnsi="Times New Roman"/>
          <w:bCs/>
          <w:snapToGrid w:val="0"/>
          <w:color w:val="000000" w:themeColor="text1"/>
          <w:sz w:val="32"/>
          <w:szCs w:val="18"/>
        </w:rPr>
      </w:pPr>
      <w:bookmarkStart w:id="0" w:name="OLE_LINK198"/>
      <w:bookmarkStart w:id="1" w:name="OLE_LINK106"/>
      <w:bookmarkStart w:id="2" w:name="OLE_LINK87"/>
      <w:r w:rsidRPr="0053126D">
        <w:rPr>
          <w:rFonts w:ascii="Times New Roman" w:hAnsi="Times New Roman"/>
          <w:bCs/>
          <w:snapToGrid w:val="0"/>
          <w:color w:val="000000" w:themeColor="text1"/>
          <w:sz w:val="32"/>
          <w:szCs w:val="18"/>
        </w:rPr>
        <w:t>Geopolitical Risk</w:t>
      </w:r>
      <w:bookmarkEnd w:id="0"/>
      <w:r w:rsidRPr="0053126D">
        <w:rPr>
          <w:rFonts w:ascii="Times New Roman" w:hAnsi="Times New Roman"/>
          <w:bCs/>
          <w:snapToGrid w:val="0"/>
          <w:color w:val="000000" w:themeColor="text1"/>
          <w:sz w:val="32"/>
          <w:szCs w:val="18"/>
        </w:rPr>
        <w:t xml:space="preserve"> and Long-Term Stock Market Volatility: Evidence from the Korean Peninsula Using a GJR-GARCH-MIDAS Framework</w:t>
      </w:r>
    </w:p>
    <w:bookmarkEnd w:id="1"/>
    <w:p w14:paraId="44C6221F" w14:textId="4B89184F" w:rsidR="00342CF1" w:rsidRPr="0053126D" w:rsidRDefault="00342CF1" w:rsidP="00B36226">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 xml:space="preserve">Appendix A: </w:t>
      </w:r>
      <w:r w:rsidR="00564B74" w:rsidRPr="0053126D">
        <w:rPr>
          <w:rFonts w:ascii="Times New Roman" w:hAnsi="Times New Roman" w:cs="Times New Roman"/>
          <w:b/>
          <w:snapToGrid w:val="0"/>
          <w:color w:val="000000" w:themeColor="text1"/>
          <w:kern w:val="0"/>
          <w:sz w:val="22"/>
          <w:szCs w:val="22"/>
          <w:lang w:bidi="en-US"/>
        </w:rPr>
        <w:t>Background</w:t>
      </w:r>
    </w:p>
    <w:p w14:paraId="1F94FA94" w14:textId="1E04B9A1"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Since the 1950s, </w:t>
      </w:r>
      <w:bookmarkStart w:id="3" w:name="OLE_LINK197"/>
      <w:r w:rsidRPr="0053126D">
        <w:rPr>
          <w:rFonts w:ascii="Times New Roman" w:eastAsia="FangSong" w:hAnsi="Times New Roman" w:cs="Times New Roman"/>
          <w:color w:val="000000" w:themeColor="text1"/>
          <w:szCs w:val="22"/>
          <w14:ligatures w14:val="none"/>
        </w:rPr>
        <w:t>geopolitical risk</w:t>
      </w:r>
      <w:bookmarkEnd w:id="3"/>
      <w:r w:rsidR="008944D4" w:rsidRPr="0053126D">
        <w:rPr>
          <w:rFonts w:ascii="Times New Roman" w:eastAsia="FangSong" w:hAnsi="Times New Roman" w:cs="Times New Roman"/>
          <w:color w:val="000000" w:themeColor="text1"/>
          <w:szCs w:val="22"/>
          <w14:ligatures w14:val="none"/>
        </w:rPr>
        <w:t xml:space="preserve"> (GPR)</w:t>
      </w:r>
      <w:r w:rsidRPr="0053126D">
        <w:rPr>
          <w:rFonts w:ascii="Times New Roman" w:eastAsia="FangSong" w:hAnsi="Times New Roman" w:cs="Times New Roman"/>
          <w:color w:val="000000" w:themeColor="text1"/>
          <w:szCs w:val="22"/>
          <w14:ligatures w14:val="none"/>
        </w:rPr>
        <w:t xml:space="preserve"> has been widely recognized as a non-economic exogenous shock that significantly influences financial market stability and asset pricing</w:t>
      </w:r>
      <w:r w:rsidR="003C7A05" w:rsidRPr="0053126D">
        <w:rPr>
          <w:rFonts w:ascii="Times New Roman" w:eastAsia="FangSong" w:hAnsi="Times New Roman" w:cs="Times New Roman"/>
          <w:color w:val="000000" w:themeColor="text1"/>
          <w:szCs w:val="22"/>
          <w14:ligatures w14:val="none"/>
        </w:rPr>
        <w:t xml:space="preserve"> </w:t>
      </w:r>
      <w:r w:rsidR="0034145E"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&lt;EndNote&gt;&lt;Cite&gt;&lt;Author&gt;Salisu&lt;/Author&gt;&lt;Year&gt;2022&lt;/Year&gt;&lt;RecNum&gt;24&lt;/RecNum&gt;&lt;DisplayText&gt;(Salisu et al., 2022)&lt;/DisplayText&gt;&lt;record&gt;&lt;rec-number&gt;24&lt;/rec-number&gt;&lt;foreign-keys&gt;&lt;key app="EN" db-id="v0ffzw0attzvegext9k5ed51e5az2zvssta9" timestamp="1754291269"&gt;24&lt;/key&gt;&lt;/foreign-keys&gt;&lt;ref-type name="Journal Article"&gt;17&lt;/ref-type&gt;&lt;contributors&gt;&lt;authors&gt;&lt;author&gt;Salisu, Afees A.&lt;/author&gt;&lt;author&gt;Ogbonna, Ahamuefula E.&lt;/author&gt;&lt;author&gt;Lasisi, Lukman&lt;/author&gt;&lt;author&gt;Olaniran, Abeeb&lt;/author&gt;&lt;/authors&gt;&lt;/contributors&gt;&lt;titles&gt;&lt;title&gt;Geopolitical risk and stock market volatility in emerging markets: A GARCH – MIDAS approach&lt;/title&gt;&lt;secondary-title&gt;The North American Journal of Economics and Finance&lt;/secondary-title&gt;&lt;/titles&gt;&lt;periodical&gt;&lt;full-title&gt;The North American Journal of Economics and Finance&lt;/full-title&gt;&lt;/periodical&gt;&lt;pages&gt;101755&lt;/pages&gt;&lt;volume&gt;62&lt;/volume&gt;&lt;keywords&gt;&lt;keyword&gt;Geopolitical risk&lt;/keyword&gt;&lt;keyword&gt;Stock market volatility&lt;/keyword&gt;&lt;keyword&gt;Emerging markets&lt;/keyword&gt;&lt;keyword&gt;GARCH-MIDAS&lt;/keyword&gt;&lt;/keywords&gt;&lt;dates&gt;&lt;year&gt;2022&lt;/year&gt;&lt;pub-dates&gt;&lt;date&gt;2022/11/01/&lt;/date&gt;&lt;/pub-dates&gt;&lt;/dates&gt;&lt;isbn&gt;1062-9408&lt;/isbn&gt;&lt;urls&gt;&lt;related-urls&gt;&lt;url&gt;https://www.sciencedirect.com/science/article/pii/S1062940822001024&lt;/url&gt;&lt;/related-urls&gt;&lt;/urls&gt;&lt;electronic-resource-num&gt;https://doi.org/10.1016/j.najef.2022.101755&lt;/electronic-resource-num&gt;&lt;/record&gt;&lt;/Cite&gt;&lt;/EndNote&gt;</w:instrText>
      </w:r>
      <w:r w:rsidR="0034145E" w:rsidRPr="0053126D">
        <w:rPr>
          <w:rFonts w:ascii="Times New Roman" w:eastAsia="FangSong" w:hAnsi="Times New Roman" w:cs="Times New Roman"/>
          <w:color w:val="000000" w:themeColor="text1"/>
          <w:szCs w:val="22"/>
          <w14:ligatures w14:val="none"/>
        </w:rPr>
        <w:fldChar w:fldCharType="separate"/>
      </w:r>
      <w:r w:rsidR="0034145E" w:rsidRPr="0053126D">
        <w:rPr>
          <w:rFonts w:ascii="Times New Roman" w:eastAsia="FangSong" w:hAnsi="Times New Roman" w:cs="Times New Roman"/>
          <w:noProof/>
          <w:color w:val="000000" w:themeColor="text1"/>
          <w:szCs w:val="22"/>
          <w14:ligatures w14:val="none"/>
        </w:rPr>
        <w:t>(Salisu et al., 2022)</w:t>
      </w:r>
      <w:r w:rsidR="0034145E"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w:t>
      </w:r>
      <w:bookmarkStart w:id="4" w:name="OLE_LINK192"/>
      <w:r w:rsidRPr="0053126D">
        <w:rPr>
          <w:rFonts w:ascii="Times New Roman" w:eastAsia="FangSong" w:hAnsi="Times New Roman" w:cs="Times New Roman"/>
          <w:color w:val="000000" w:themeColor="text1"/>
          <w:szCs w:val="22"/>
          <w14:ligatures w14:val="none"/>
        </w:rPr>
        <w:t>GPR</w:t>
      </w:r>
      <w:bookmarkEnd w:id="4"/>
      <w:r w:rsidRPr="0053126D">
        <w:rPr>
          <w:rFonts w:ascii="Times New Roman" w:eastAsia="FangSong" w:hAnsi="Times New Roman" w:cs="Times New Roman"/>
          <w:color w:val="000000" w:themeColor="text1"/>
          <w:szCs w:val="22"/>
          <w14:ligatures w14:val="none"/>
        </w:rPr>
        <w:t xml:space="preserve"> encompasses broad political uncertainties</w:t>
      </w:r>
      <w:r w:rsidR="008944D4" w:rsidRPr="0053126D">
        <w:rPr>
          <w:rFonts w:ascii="Times New Roman" w:eastAsia="FangSong" w:hAnsi="Times New Roman" w:cs="Times New Roman" w:hint="eastAsia"/>
          <w:color w:val="000000" w:themeColor="text1"/>
          <w:szCs w:val="22"/>
          <w14:ligatures w14:val="none"/>
        </w:rPr>
        <w:t xml:space="preserve">, such as war, terrorist attacks, military threats, and tensions in international relations, which significantly disrupt investor behavior and market expectations </w:t>
      </w:r>
      <w:r w:rsidR="003C7A05"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&lt;EndNote&gt;&lt;Cite&gt;&lt;Author&gt;Jung&lt;/Author&gt;&lt;Year&gt;2021&lt;/Year&gt;&lt;RecNum&gt;12&lt;/RecNum&gt;&lt;DisplayText&gt;(Jung et al., 2021)&lt;/DisplayText&gt;&lt;record&gt;&lt;rec-number&gt;12&lt;/rec-number&gt;&lt;foreign-keys&gt;&lt;key app="EN" db-id="v0ffzw0attzvegext9k5ed51e5az2zvssta9" timestamp="1754286304"&gt;12&lt;/key&gt;&lt;/foreign-keys&gt;&lt;ref-type name="Journal Article"&gt;17&lt;/ref-type&gt;&lt;contributors&gt;&lt;authors&gt;&lt;author&gt;Jung, Seungho&lt;/author&gt;&lt;author&gt;Lee, Jongmin&lt;/author&gt;&lt;author&gt;Lee, Seohyun&lt;/author&gt;&lt;/authors&gt;&lt;/contributors&gt;&lt;titles&gt;&lt;title&gt;Geopolitical Risk on Stock Returns: Evidence from Inter-Korea Geopolit ics&lt;/title&gt;&lt;secondary-title&gt;IMF Working Papers&lt;/secondary-title&gt;&lt;/titles&gt;&lt;periodical&gt;&lt;full-title&gt;IMF Working Papers&lt;/full-title&gt;&lt;/periodical&gt;&lt;pages&gt;1&lt;/pages&gt;&lt;volume&gt;2021&lt;/volume&gt;&lt;number&gt;251&lt;/number&gt;&lt;dates&gt;&lt;year&gt;2021&lt;/year&gt;&lt;pub-dates&gt;&lt;date&gt;2021/10//&lt;/date&gt;&lt;/pub-dates&gt;&lt;/dates&gt;&lt;isbn&gt;1018-5941&lt;/isbn&gt;&lt;urls&gt;&lt;related-urls&gt;&lt;url&gt;http://dx.doi.org/10.5089/9781557759672.001&lt;/url&gt;&lt;/related-urls&gt;&lt;/urls&gt;&lt;electronic-resource-num&gt;http://dx.doi.org/10.5089/9781557759672.001&lt;/electronic-resource-num&gt;&lt;remote-database-name&gt;Crossref&lt;/remote-database-name&gt;&lt;language&gt;en&lt;/languag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(Jung et al., 2021)</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Unlike traditional macroeconomic variables (such as interest rates and inflation), GPR </w:t>
      </w:r>
      <w:r w:rsidR="008944D4" w:rsidRPr="0053126D">
        <w:rPr>
          <w:rFonts w:ascii="Times New Roman" w:eastAsia="FangSong" w:hAnsi="Times New Roman" w:cs="Times New Roman" w:hint="eastAsia"/>
          <w:color w:val="000000" w:themeColor="text1"/>
          <w:szCs w:val="22"/>
          <w14:ligatures w14:val="none"/>
        </w:rPr>
        <w:t xml:space="preserve">typically shocks the market in an unpredictable, sudden, and highly asymmetric manner, </w:t>
      </w:r>
      <w:bookmarkStart w:id="5" w:name="OLE_LINK188"/>
      <w:r w:rsidR="008944D4" w:rsidRPr="0053126D">
        <w:rPr>
          <w:rFonts w:ascii="Times New Roman" w:eastAsia="FangSong" w:hAnsi="Times New Roman" w:cs="Times New Roman" w:hint="eastAsia"/>
          <w:color w:val="000000" w:themeColor="text1"/>
          <w:szCs w:val="22"/>
          <w14:ligatures w14:val="none"/>
        </w:rPr>
        <w:t>directly disrupting investor confidence and thereby increasing</w:t>
      </w:r>
      <w:r w:rsidRPr="0053126D">
        <w:rPr>
          <w:rFonts w:ascii="Times New Roman" w:eastAsia="FangSong" w:hAnsi="Times New Roman" w:cs="Times New Roman"/>
          <w:color w:val="000000" w:themeColor="text1"/>
          <w:szCs w:val="22"/>
          <w14:ligatures w14:val="none"/>
        </w:rPr>
        <w:t xml:space="preserve"> market volatility.</w:t>
      </w:r>
      <w:r w:rsidR="001B6465" w:rsidRPr="0053126D">
        <w:rPr>
          <w:rFonts w:ascii="Times New Roman" w:eastAsia="FangSong" w:hAnsi="Times New Roman" w:cs="Times New Roman"/>
          <w:color w:val="000000" w:themeColor="text1"/>
          <w:szCs w:val="22"/>
          <w14:ligatures w14:val="none"/>
        </w:rPr>
        <w:t xml:space="preserve"> </w:t>
      </w:r>
      <w:r w:rsidR="008944D4" w:rsidRPr="0053126D">
        <w:rPr>
          <w:rFonts w:ascii="Times New Roman" w:eastAsia="FangSong" w:hAnsi="Times New Roman" w:cs="Times New Roman"/>
          <w:color w:val="000000" w:themeColor="text1"/>
          <w:szCs w:val="22"/>
          <w14:ligatures w14:val="none"/>
        </w:rPr>
        <w:t>In response, investors tend to exhibit heightened risk aversion, and through mechanisms such as adjustments in risk preferences and expectations, these short-term reactions gradually evolve into a broader reassessment of long-term risks</w:t>
      </w:r>
      <w:bookmarkEnd w:id="5"/>
      <w:r w:rsidR="008944D4" w:rsidRPr="0053126D">
        <w:rPr>
          <w:rFonts w:ascii="Times New Roman" w:eastAsia="FangSong" w:hAnsi="Times New Roman" w:cs="Times New Roman"/>
          <w:color w:val="000000" w:themeColor="text1"/>
          <w:szCs w:val="22"/>
          <w14:ligatures w14:val="none"/>
        </w:rPr>
        <w:t xml:space="preserve"> </w:t>
      </w:r>
      <w:r w:rsidR="0034145E"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&lt;EndNote&gt;&lt;Cite&gt;&lt;Author&gt;Salisu&lt;/Author&gt;&lt;Year&gt;2023&lt;/Year&gt;&lt;RecNum&gt;40&lt;/RecNum&gt;&lt;DisplayText&gt;(Salisu et al., 2023)&lt;/DisplayText&gt;&lt;record&gt;&lt;rec-number&gt;40&lt;/rec-number&gt;&lt;foreign-keys&gt;&lt;key app="EN" db-id="v0ffzw0attzvegext9k5ed51e5az2zvssta9" timestamp="1759233985"&gt;40&lt;/key&gt;&lt;/foreign-keys&gt;&lt;ref-type name="Journal Article"&gt;17&lt;/ref-type&gt;&lt;contributors&gt;&lt;authors&gt;&lt;author&gt;Salisu, Afees A.&lt;/author&gt;&lt;author&gt;Gupta, Rangan&lt;/author&gt;&lt;author&gt;Bouri, Elie&lt;/author&gt;&lt;/authors&gt;&lt;/contributors&gt;&lt;titles&gt;&lt;title&gt;Testing the forecasting power of global economic conditions for the volatility of international REITs using a GARCH-MIDAS approach&lt;/title&gt;&lt;secondary-title&gt;The Quarterly Review of Economics and Finance&lt;/secondary-title&gt;&lt;/titles&gt;&lt;periodical&gt;&lt;full-title&gt;The Quarterly Review of Economics and Finance&lt;/full-title&gt;&lt;/periodical&gt;&lt;pages&gt;303-314&lt;/pages&gt;&lt;volume&gt;88&lt;/volume&gt;&lt;keywords&gt;&lt;keyword&gt;REITs volatility&lt;/keyword&gt;&lt;keyword&gt;global economic conditions&lt;/keyword&gt;&lt;keyword&gt;mixed data analysis&lt;/keyword&gt;&lt;keyword&gt;GARCH-MIDAS model&lt;/keyword&gt;&lt;keyword&gt;forecasting&lt;/keyword&gt;&lt;/keywords&gt;&lt;dates&gt;&lt;year&gt;2023&lt;/year&gt;&lt;pub-dates&gt;&lt;date&gt;2023/04/01/&lt;/date&gt;&lt;/pub-dates&gt;&lt;/dates&gt;&lt;isbn&gt;1062-9769&lt;/isbn&gt;&lt;urls&gt;&lt;related-urls&gt;&lt;url&gt;https://www.sciencedirect.com/science/article/pii/S1062976923000200&lt;/url&gt;&lt;/related-urls&gt;&lt;/urls&gt;&lt;electronic-resource-num&gt;https://doi.org/10.1016/j.qref.2023.02.004&lt;/electronic-resource-num&gt;&lt;/record&gt;&lt;/Cite&gt;&lt;/EndNote&gt;</w:instrText>
      </w:r>
      <w:r w:rsidR="0034145E" w:rsidRPr="0053126D">
        <w:rPr>
          <w:rFonts w:ascii="Times New Roman" w:eastAsia="FangSong" w:hAnsi="Times New Roman" w:cs="Times New Roman"/>
          <w:color w:val="000000" w:themeColor="text1"/>
          <w:szCs w:val="22"/>
          <w14:ligatures w14:val="none"/>
        </w:rPr>
        <w:fldChar w:fldCharType="separate"/>
      </w:r>
      <w:r w:rsidR="0034145E" w:rsidRPr="0053126D">
        <w:rPr>
          <w:rFonts w:ascii="Times New Roman" w:eastAsia="FangSong" w:hAnsi="Times New Roman" w:cs="Times New Roman"/>
          <w:color w:val="000000" w:themeColor="text1"/>
          <w:szCs w:val="22"/>
          <w14:ligatures w14:val="none"/>
        </w:rPr>
        <w:t>(Salisu et al., 2023)</w:t>
      </w:r>
      <w:r w:rsidR="0034145E" w:rsidRPr="0053126D">
        <w:rPr>
          <w:rFonts w:ascii="Times New Roman" w:eastAsia="FangSong" w:hAnsi="Times New Roman" w:cs="Times New Roman"/>
          <w:color w:val="000000" w:themeColor="text1"/>
          <w:szCs w:val="22"/>
          <w14:ligatures w14:val="none"/>
        </w:rPr>
        <w:fldChar w:fldCharType="end"/>
      </w:r>
      <w:r w:rsidR="008944D4" w:rsidRPr="0053126D">
        <w:rPr>
          <w:rFonts w:ascii="Times New Roman" w:eastAsia="FangSong" w:hAnsi="Times New Roman" w:cs="Times New Roman"/>
          <w:color w:val="000000" w:themeColor="text1"/>
          <w:szCs w:val="22"/>
          <w14:ligatures w14:val="none"/>
        </w:rPr>
        <w:t>.</w:t>
      </w:r>
    </w:p>
    <w:p w14:paraId="7FBF588E" w14:textId="11630852" w:rsidR="008944D4" w:rsidRPr="0053126D" w:rsidRDefault="008944D4" w:rsidP="00940EBC">
      <w:pPr>
        <w:spacing w:before="120" w:after="120" w:line="360" w:lineRule="auto"/>
        <w:ind w:firstLineChars="200" w:firstLine="440"/>
        <w:contextualSpacing/>
        <w:jc w:val="both"/>
        <w:rPr>
          <w:rFonts w:ascii="Times New Roman" w:eastAsia="FangSong" w:hAnsi="Times New Roman" w:cs="Times New Roman"/>
          <w:color w:val="EE0000"/>
          <w:szCs w:val="22"/>
          <w14:ligatures w14:val="none"/>
        </w:rPr>
      </w:pPr>
      <w:r w:rsidRPr="0053126D">
        <w:rPr>
          <w:rFonts w:ascii="Times New Roman" w:eastAsia="FangSong" w:hAnsi="Times New Roman" w:cs="Times New Roman"/>
          <w:color w:val="000000" w:themeColor="text1"/>
          <w:szCs w:val="22"/>
          <w14:ligatures w14:val="none"/>
        </w:rPr>
        <w:t xml:space="preserve">In recent years, a series of studies have emphasized the key role of GPR in asset volatility modeling. Related studies show that </w:t>
      </w:r>
      <w:r w:rsidR="00261E78" w:rsidRPr="0053126D">
        <w:rPr>
          <w:rFonts w:ascii="Times New Roman" w:eastAsia="FangSong" w:hAnsi="Times New Roman" w:cs="Times New Roman" w:hint="eastAsia"/>
          <w:color w:val="000000" w:themeColor="text1"/>
          <w:szCs w:val="22"/>
          <w14:ligatures w14:val="none"/>
        </w:rPr>
        <w:t>d</w:t>
      </w:r>
      <w:r w:rsidR="00940EBC" w:rsidRPr="0053126D">
        <w:rPr>
          <w:rFonts w:ascii="Times New Roman" w:eastAsia="FangSong" w:hAnsi="Times New Roman" w:cs="Times New Roman" w:hint="eastAsia"/>
          <w:color w:val="000000" w:themeColor="text1"/>
          <w:szCs w:val="22"/>
          <w14:ligatures w14:val="none"/>
        </w:rPr>
        <w:t xml:space="preserve">uring periods of rising </w:t>
      </w:r>
      <w:r w:rsidR="00403730" w:rsidRPr="0053126D">
        <w:rPr>
          <w:rFonts w:ascii="Times New Roman" w:eastAsia="FangSong" w:hAnsi="Times New Roman" w:cs="Times New Roman"/>
          <w:color w:val="000000" w:themeColor="text1"/>
          <w:szCs w:val="22"/>
          <w14:ligatures w14:val="none"/>
        </w:rPr>
        <w:t>GPR</w:t>
      </w:r>
      <w:r w:rsidR="00940EBC" w:rsidRPr="0053126D">
        <w:rPr>
          <w:rFonts w:ascii="Times New Roman" w:eastAsia="FangSong" w:hAnsi="Times New Roman" w:cs="Times New Roman" w:hint="eastAsia"/>
          <w:color w:val="000000" w:themeColor="text1"/>
          <w:szCs w:val="22"/>
          <w14:ligatures w14:val="none"/>
        </w:rPr>
        <w:t>, market uncertainty expectations increase,</w:t>
      </w:r>
      <w:r w:rsidRPr="0053126D">
        <w:rPr>
          <w:rFonts w:ascii="Times New Roman" w:eastAsia="FangSong" w:hAnsi="Times New Roman" w:cs="Times New Roman"/>
          <w:color w:val="000000" w:themeColor="text1"/>
          <w:szCs w:val="22"/>
          <w14:ligatures w14:val="none"/>
        </w:rPr>
        <w:t xml:space="preserve"> and volatility risk premiums rise significantly, thereby exacerbating asset price volatility </w:t>
      </w:r>
      <w:r w:rsidRPr="0053126D">
        <w:rPr>
          <w:rFonts w:ascii="Times New Roman" w:eastAsia="FangSong" w:hAnsi="Times New Roman" w:cs="Times New Roman"/>
          <w:color w:val="000000" w:themeColor="text1"/>
          <w:szCs w:val="22"/>
          <w14:ligatures w14:val="none"/>
        </w:rPr>
        <w:fldChar w:fldCharType="begin"/>
      </w:r>
      <w:r w:rsidRPr="0053126D">
        <w:rPr>
          <w:rFonts w:ascii="Times New Roman" w:eastAsia="FangSong" w:hAnsi="Times New Roman" w:cs="Times New Roman"/>
          <w:color w:val="000000" w:themeColor="text1"/>
          <w:szCs w:val="22"/>
          <w14:ligatures w14:val="none"/>
        </w:rPr>
        <w:instrText xml:space="preserve"> ADDIN EN.CITE &lt;EndNote&gt;&lt;Cite&gt;&lt;Author&gt;Zhang&lt;/Author&gt;&lt;Year&gt;2023&lt;/Year&gt;&lt;RecNum&gt;27&lt;/RecNum&gt;&lt;DisplayText&gt;(Zhang et al., 2023)&lt;/DisplayText&gt;&lt;record&gt;&lt;rec-number&gt;27&lt;/rec-number&gt;&lt;foreign-keys&gt;&lt;key app="EN" db-id="v0ffzw0attzvegext9k5ed51e5az2zvssta9" timestamp="1754301083"&gt;27&lt;/key&gt;&lt;/foreign-keys&gt;&lt;ref-type name="Journal Article"&gt;17&lt;/ref-type&gt;&lt;contributors&gt;&lt;authors&gt;&lt;author&gt;Zhang, Yaojie&lt;/author&gt;&lt;author&gt;He, Jiaxin&lt;/author&gt;&lt;author&gt;He, Mengxi&lt;/author&gt;&lt;author&gt;Li, Shaofang&lt;/author&gt;&lt;/authors&gt;&lt;/contributors&gt;&lt;titles&gt;&lt;title&gt;Geopolitical risk and stock market volatility: A global perspective&lt;/title&gt;&lt;secondary-title&gt;Finance Research Letters&lt;/secondary-title&gt;&lt;/titles&gt;&lt;periodical&gt;&lt;full-title&gt;Finance Research Letters&lt;/full-title&gt;&lt;/periodical&gt;&lt;pages&gt;103620&lt;/pages&gt;&lt;volume&gt;53&lt;/volume&gt;&lt;keywords&gt;&lt;keyword&gt;Geopolitical risk&lt;/keyword&gt;&lt;keyword&gt;Stock market volatility&lt;/keyword&gt;&lt;keyword&gt;Global perspective&lt;/keyword&gt;&lt;keyword&gt;Dynamic panel data&lt;/keyword&gt;&lt;keyword&gt;LSDV estimator&lt;/keyword&gt;&lt;/keywords&gt;&lt;dates&gt;&lt;year&gt;2023&lt;/year&gt;&lt;pub-dates&gt;&lt;date&gt;2023/05/01/&lt;/date&gt;&lt;/pub-dates&gt;&lt;/dates&gt;&lt;isbn&gt;1544-6123&lt;/isbn&gt;&lt;urls&gt;&lt;related-urls&gt;&lt;url&gt;https://www.sciencedirect.com/science/article/pii/S1544612322007966&lt;/url&gt;&lt;/related-urls&gt;&lt;/urls&gt;&lt;electronic-resource-num&gt;https://doi.org/10.1016/j.frl.2022.103620&lt;/electronic-resource-num&gt;&lt;/record&gt;&lt;/Cite&gt;&lt;/EndNote&gt;</w:instrText>
      </w:r>
      <w:r w:rsidRPr="0053126D">
        <w:rPr>
          <w:rFonts w:ascii="Times New Roman" w:eastAsia="FangSong" w:hAnsi="Times New Roman" w:cs="Times New Roman"/>
          <w:color w:val="000000" w:themeColor="text1"/>
          <w:szCs w:val="22"/>
          <w14:ligatures w14:val="none"/>
        </w:rPr>
        <w:fldChar w:fldCharType="separate"/>
      </w:r>
      <w:r w:rsidRPr="0053126D">
        <w:rPr>
          <w:rFonts w:ascii="Times New Roman" w:eastAsia="FangSong" w:hAnsi="Times New Roman" w:cs="Times New Roman"/>
          <w:color w:val="000000" w:themeColor="text1"/>
          <w:szCs w:val="22"/>
          <w14:ligatures w14:val="none"/>
        </w:rPr>
        <w:t>(Zhang et al., 2023)</w:t>
      </w:r>
      <w:r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r w:rsidRPr="0053126D">
        <w:rPr>
          <w:rFonts w:ascii="Times New Roman" w:eastAsia="FangSong" w:hAnsi="Times New Roman" w:cs="Times New Roman" w:hint="eastAsia"/>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Especially in open economies, GPR may accelerate risk transmission through cross-border capital flows and exhibit stronger systemic uncertainty characteristics</w:t>
      </w:r>
      <w:r w:rsidRPr="0053126D">
        <w:rPr>
          <w:rFonts w:ascii="Times New Roman" w:eastAsia="FangSong" w:hAnsi="Times New Roman" w:cs="Times New Roman" w:hint="eastAsia"/>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fldChar w:fldCharType="begin"/>
      </w:r>
      <w:r w:rsidRPr="0053126D">
        <w:rPr>
          <w:rFonts w:ascii="Times New Roman" w:eastAsia="FangSong" w:hAnsi="Times New Roman" w:cs="Times New Roman"/>
          <w:color w:val="000000" w:themeColor="text1"/>
          <w:szCs w:val="22"/>
          <w14:ligatures w14:val="none"/>
        </w:rPr>
        <w:instrText xml:space="preserve"> ADDIN EN.CITE &lt;EndNote&gt;&lt;Cite&gt;&lt;Author&gt;Balcilar&lt;/Author&gt;&lt;Year&gt;2018&lt;/Year&gt;&lt;RecNum&gt;28&lt;/RecNum&gt;&lt;DisplayText&gt;(Balcilar et al., 2018)&lt;/DisplayText&gt;&lt;record&gt;&lt;rec-number&gt;28&lt;/rec-number&gt;&lt;foreign-keys&gt;&lt;key app="EN" db-id="v0ffzw0attzvegext9k5ed51e5az2zvssta9" timestamp="1754301193"&gt;28&lt;/key&gt;&lt;/foreign-keys&gt;&lt;ref-type name="Journal Article"&gt;17&lt;/ref-type&gt;&lt;contributors&gt;&lt;authors&gt;&lt;author&gt;Balcilar, Mehmet&lt;/author&gt;&lt;author&gt;Bonato, Matteo&lt;/author&gt;&lt;author&gt;Demirer, Riza&lt;/author&gt;&lt;author&gt;Gupta, Rangan&lt;/author&gt;&lt;/authors&gt;&lt;/contributors&gt;&lt;titles&gt;&lt;title&gt;Geopolitical risks and stock market dynamics of the BRICS&lt;/title&gt;&lt;secondary-title&gt;Economic Systems&lt;/secondary-title&gt;&lt;/titles&gt;&lt;periodical&gt;&lt;full-title&gt;Economic Systems&lt;/full-title&gt;&lt;/periodical&gt;&lt;pages&gt;295-306&lt;/pages&gt;&lt;volume&gt;42&lt;/volume&gt;&lt;number&gt;2&lt;/number&gt;&lt;keywords&gt;&lt;keyword&gt;Geopolitical risks&lt;/keyword&gt;&lt;keyword&gt;Stock returns&lt;/keyword&gt;&lt;keyword&gt;Volatility&lt;/keyword&gt;&lt;keyword&gt;BRICS&lt;/keyword&gt;&lt;/keywords&gt;&lt;dates&gt;&lt;year&gt;2018&lt;/year&gt;&lt;pub-dates&gt;&lt;date&gt;2018/06/01/&lt;/date&gt;&lt;/pub-dates&gt;&lt;/dates&gt;&lt;isbn&gt;0939-3625&lt;/isbn&gt;&lt;urls&gt;&lt;related-urls&gt;&lt;url&gt;https://www.sciencedirect.com/science/article/pii/S0939362518300712&lt;/url&gt;&lt;/related-urls&gt;&lt;/urls&gt;&lt;electronic-resource-num&gt;https://doi.org/10.1016/j.ecosys.2017.05.008&lt;/electronic-resource-num&gt;&lt;/record&gt;&lt;/Cite&gt;&lt;/EndNote&gt;</w:instrText>
      </w:r>
      <w:r w:rsidRPr="0053126D">
        <w:rPr>
          <w:rFonts w:ascii="Times New Roman" w:eastAsia="FangSong" w:hAnsi="Times New Roman" w:cs="Times New Roman"/>
          <w:color w:val="000000" w:themeColor="text1"/>
          <w:szCs w:val="22"/>
          <w14:ligatures w14:val="none"/>
        </w:rPr>
        <w:fldChar w:fldCharType="separate"/>
      </w:r>
      <w:r w:rsidRPr="0053126D">
        <w:rPr>
          <w:rFonts w:ascii="Times New Roman" w:eastAsia="FangSong" w:hAnsi="Times New Roman" w:cs="Times New Roman"/>
          <w:noProof/>
          <w:color w:val="000000" w:themeColor="text1"/>
          <w:szCs w:val="22"/>
          <w14:ligatures w14:val="none"/>
        </w:rPr>
        <w:t>(Balcilar et al., 2018)</w:t>
      </w:r>
      <w:r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Additionally, different types of geopolitical events have heterogeneous effects on stock markets; for example, war risks may trigger more severe market reactions compared to diplomatic tensions</w:t>
      </w:r>
      <w:r w:rsidRPr="0053126D">
        <w:rPr>
          <w:rFonts w:ascii="Times New Roman" w:eastAsia="FangSong" w:hAnsi="Times New Roman" w:cs="Times New Roman" w:hint="eastAsia"/>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fldChar w:fldCharType="begin"/>
      </w:r>
      <w:r w:rsidRPr="0053126D">
        <w:rPr>
          <w:rFonts w:ascii="Times New Roman" w:eastAsia="FangSong" w:hAnsi="Times New Roman" w:cs="Times New Roman"/>
          <w:color w:val="000000" w:themeColor="text1"/>
          <w:szCs w:val="22"/>
          <w14:ligatures w14:val="none"/>
        </w:rPr>
        <w:instrText xml:space="preserve"> ADDIN EN.CITE &lt;EndNote&gt;&lt;Cite&gt;&lt;Author&gt;Ijaz&lt;/Author&gt;&lt;Year&gt;2025&lt;/Year&gt;&lt;RecNum&gt;29&lt;/RecNum&gt;&lt;DisplayText&gt;(Ijaz et al., 2025)&lt;/DisplayText&gt;&lt;record&gt;&lt;rec-number&gt;29&lt;/rec-number&gt;&lt;foreign-keys&gt;&lt;key app="EN" db-id="v0ffzw0attzvegext9k5ed51e5az2zvssta9" timestamp="1754301320"&gt;29&lt;/key&gt;&lt;/foreign-keys&gt;&lt;ref-type name="Journal Article"&gt;17&lt;/ref-type&gt;&lt;contributors&gt;&lt;authors&gt;&lt;author&gt;Ijaz, Muhammad Shahzad&lt;/author&gt;&lt;author&gt;Ali, Shoaib&lt;/author&gt;&lt;author&gt;Du, Anna Min&lt;/author&gt;&lt;author&gt;Khurram, Mahrukh&lt;/author&gt;&lt;/authors&gt;&lt;/contributors&gt;&lt;titles&gt;&lt;title&gt;Analyzing financial market reactions to the Palestine-Israel conflict: An event study perspective&lt;/title&gt;&lt;secondary-title&gt;International Review of Economics &amp;amp; Finance&lt;/secondary-title&gt;&lt;/titles&gt;&lt;periodical&gt;&lt;full-title&gt;International Review of Economics &amp;amp; Finance&lt;/full-title&gt;&lt;/periodical&gt;&lt;pages&gt;103864&lt;/pages&gt;&lt;volume&gt;98&lt;/volume&gt;&lt;keywords&gt;&lt;keyword&gt;Palestine-Israel conflict&lt;/keyword&gt;&lt;keyword&gt;Event study&lt;/keyword&gt;&lt;keyword&gt;Global financial markets&lt;/keyword&gt;&lt;keyword&gt;Geopolitical conflict&lt;/keyword&gt;&lt;/keywords&gt;&lt;dates&gt;&lt;year&gt;2025&lt;/year&gt;&lt;pub-dates&gt;&lt;date&gt;2025/03/01/&lt;/date&gt;&lt;/pub-dates&gt;&lt;/dates&gt;&lt;isbn&gt;1059-0560&lt;/isbn&gt;&lt;urls&gt;&lt;related-urls&gt;&lt;url&gt;https://www.sciencedirect.com/science/article/pii/S1059056025000279&lt;/url&gt;&lt;/related-urls&gt;&lt;/urls&gt;&lt;electronic-resource-num&gt;https://doi.org/10.1016/j.iref.2025.103864&lt;/electronic-resource-num&gt;&lt;/record&gt;&lt;/Cite&gt;&lt;/EndNote&gt;</w:instrText>
      </w:r>
      <w:r w:rsidRPr="0053126D">
        <w:rPr>
          <w:rFonts w:ascii="Times New Roman" w:eastAsia="FangSong" w:hAnsi="Times New Roman" w:cs="Times New Roman"/>
          <w:color w:val="000000" w:themeColor="text1"/>
          <w:szCs w:val="22"/>
          <w14:ligatures w14:val="none"/>
        </w:rPr>
        <w:fldChar w:fldCharType="separate"/>
      </w:r>
      <w:r w:rsidRPr="0053126D">
        <w:rPr>
          <w:rFonts w:ascii="Times New Roman" w:eastAsia="FangSong" w:hAnsi="Times New Roman" w:cs="Times New Roman"/>
          <w:noProof/>
          <w:color w:val="000000" w:themeColor="text1"/>
          <w:szCs w:val="22"/>
          <w14:ligatures w14:val="none"/>
        </w:rPr>
        <w:t>(Ijaz et al., 2025)</w:t>
      </w:r>
      <w:r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p>
    <w:p w14:paraId="7746EE6D" w14:textId="0AD85689"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As a highly open, medium-sized economy, South Korea's stock market is increasingly sensitive to global capital allocation. Although macroeconomic fundamentals remain an important driver of asset volatility, the long-standing security dilemma on the Korean Peninsula, such as nuclear tests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&lt;EndNote&gt;&lt;Cite&gt;&lt;Author&gt;Huh&lt;/Author&gt;&lt;Year&gt;2018&lt;/Year&gt;&lt;RecNum&gt;4&lt;/RecNum&gt;&lt;DisplayText&gt;(Huh &amp;amp; Pyun, 2018)&lt;/DisplayText&gt;&lt;record&gt;&lt;rec-number&gt;4&lt;/rec-number&gt;&lt;foreign-keys&gt;&lt;key app="EN" db-id="v0ffzw0attzvegext9k5ed51e5az2zvssta9" timestamp="1754283304"&gt;4&lt;/key&gt;&lt;/foreign-keys&gt;&lt;ref-type name="Journal Article"&gt;17&lt;/ref-type&gt;&lt;contributors&gt;&lt;authors&gt;&lt;author&gt;Huh, In&lt;/author&gt;&lt;author&gt;Pyun, Ju Hyun&lt;/author&gt;&lt;/authors&gt;&lt;/contributors&gt;&lt;titles&gt;&lt;title&gt;Does Nuclear Uncertainty Threaten Financial Markets? The Attention Paid to North Korean Nuclear Threats and Its Impact on South Korea&amp;apos;s Financial Markets&lt;/title&gt;&lt;secondary-title&gt;Asian Economic Journal&lt;/secondary-title&gt;&lt;/titles&gt;&lt;periodical&gt;&lt;full-title&gt;Asian Economic Journal&lt;/full-title&gt;&lt;/periodical&gt;&lt;pages&gt;55-82&lt;/pages&gt;&lt;volume&gt;32&lt;/volume&gt;&lt;number&gt;1&lt;/number&gt;&lt;keywords&gt;&lt;keyword&gt;block exogeneity&lt;/keyword&gt;&lt;keyword&gt;Google search volume index&lt;/keyword&gt;&lt;keyword&gt;investor attention&lt;/keyword&gt;&lt;keyword&gt;North Korean nuclear risk&lt;/keyword&gt;&lt;keyword&gt;political risk&lt;/keyword&gt;&lt;keyword&gt;structural vector autoregression model&lt;/keyword&gt;&lt;/keywords&gt;&lt;dates&gt;&lt;year&gt;2018&lt;/year&gt;&lt;pub-dates&gt;&lt;date&gt;2018/03/01&lt;/date&gt;&lt;/pub-dates&gt;&lt;/dates&gt;&lt;publisher&gt;John Wiley &amp;amp; Sons, Ltd&lt;/publisher&gt;&lt;isbn&gt;1351-3958&lt;/isbn&gt;&lt;urls&gt;&lt;related-urls&gt;&lt;url&gt;https://doi.org/10.1111/asej.12142&lt;/url&gt;&lt;/related-urls&gt;&lt;/urls&gt;&lt;electronic-resource-num&gt;https://doi.org/10.1111/asej.12142&lt;/electronic-resource-num&gt;&lt;access-date&gt;2025/08/03&lt;/access-dat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(Huh &amp; Pyun, 2018)</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missile launches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&lt;EndNote&gt;&lt;Cite&gt;&lt;Author&gt;Lee&lt;/Author&gt;&lt;Year&gt;2024&lt;/Year&gt;&lt;RecNum&gt;1&lt;/RecNum&gt;&lt;DisplayText&gt;(Lee, 2024)&lt;/DisplayText&gt;&lt;record&gt;&lt;rec-number&gt;1&lt;/rec-number&gt;&lt;foreign-keys&gt;&lt;key app="EN" db-id="v0ffzw0attzvegext9k5ed51e5az2zvssta9" timestamp="1754102220"&gt;1&lt;/key&gt;&lt;/foreign-keys&gt;&lt;ref-type name="Journal Article"&gt;17&lt;/ref-type&gt;&lt;contributors&gt;&lt;authors&gt;&lt;author&gt;Lee, Geesun&lt;/author&gt;&lt;/authors&gt;&lt;/contributors&gt;&lt;titles&gt;&lt;title&gt;The impact of North Korean nuclear threat on stock market linkages in Northeast Asia: The case of South Korea, China, and Japan&lt;/title&gt;&lt;secondary-title&gt;Finance Research Letters&lt;/secondary-title&gt;&lt;/titles&gt;&lt;periodical&gt;&lt;full-title&gt;Finance Research Letters&lt;/full-title&gt;&lt;/periodical&gt;&lt;pages&gt;105727&lt;/pages&gt;&lt;volume&gt;66&lt;/volume&gt;&lt;keywords&gt;&lt;keyword&gt;Geopolitical risk&lt;/keyword&gt;&lt;keyword&gt;North Korea&lt;/keyword&gt;&lt;keyword&gt;Northeast Asia&lt;/keyword&gt;&lt;keyword&gt;Nuclear threat&lt;/keyword&gt;&lt;keyword&gt;Stock market linkage&lt;/keyword&gt;&lt;keyword&gt;War&lt;/keyword&gt;&lt;/keywords&gt;&lt;dates&gt;&lt;year&gt;2024&lt;/year&gt;&lt;pub-dates&gt;&lt;date&gt;2024/08/01/&lt;/date&gt;&lt;/pub-dates&gt;&lt;/dates&gt;&lt;isbn&gt;1544-6123&lt;/isbn&gt;&lt;urls&gt;&lt;related-urls&gt;&lt;url&gt;https://www.sciencedirect.com/science/article/pii/S1544612324007578&lt;/url&gt;&lt;/related-urls&gt;&lt;/urls&gt;&lt;electronic-resource-num&gt;https://doi.org/10.1016/j.frl.2024.105727&lt;/electronic-resource-num&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(Lee, 2024)</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and border conflicts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&lt;EndNote&gt;&lt;Cite&gt;&lt;Author&gt;Son&lt;/Author&gt;&lt;Year&gt;2021&lt;/Year&gt;&lt;RecNum&gt;7&lt;/RecNum&gt;&lt;DisplayText&gt;(Son &amp;amp; Moon, 2021)&lt;/DisplayText&gt;&lt;record&gt;&lt;rec-number&gt;7&lt;/rec-number&gt;&lt;foreign-keys&gt;&lt;key app="EN" db-id="v0ffzw0attzvegext9k5ed51e5az2zvssta9" timestamp="1754284035"&gt;7&lt;/key&gt;&lt;/foreign-keys&gt;&lt;ref-type name="Journal Article"&gt;17&lt;/ref-type&gt;&lt;contributors&gt;&lt;authors&gt;&lt;author&gt;Son, Byunghwan&lt;/author&gt;&lt;author&gt;Moon, Chungshik&lt;/author&gt;&lt;/authors&gt;&lt;/contributors&gt;&lt;titles&gt;&lt;title&gt;Security Threats and Investment: North Korean Threats and the South Korean Stock Market&lt;/title&gt;&lt;secondary-title&gt;Pacific Focus&lt;/secondary-title&gt;&lt;/titles&gt;&lt;periodical&gt;&lt;full-title&gt;Pacific Focus&lt;/full-title&gt;&lt;/periodical&gt;&lt;pages&gt;544-569&lt;/pages&gt;&lt;volume&gt;36&lt;/volume&gt;&lt;number&gt;3&lt;/number&gt;&lt;keywords&gt;&lt;keyword&gt;Korean stock market&lt;/keyword&gt;&lt;keyword&gt;party politics&lt;/keyword&gt;&lt;keyword&gt;North Korea&lt;/keyword&gt;&lt;keyword&gt;military threats&lt;/keyword&gt;&lt;/keywords&gt;&lt;dates&gt;&lt;year&gt;2021&lt;/year&gt;&lt;pub-dates&gt;&lt;date&gt;2021/12/01&lt;/date&gt;&lt;/pub-dates&gt;&lt;/dates&gt;&lt;publisher&gt;John Wiley &amp;amp; Sons, Ltd&lt;/publisher&gt;&lt;isbn&gt;1225-4657&lt;/isbn&gt;&lt;urls&gt;&lt;related-urls&gt;&lt;url&gt;https://doi.org/10.1111/pafo.12198&lt;/url&gt;&lt;/related-urls&gt;&lt;/urls&gt;&lt;electronic-resource-num&gt;https://doi.org/10.1111/pafo.12198&lt;/electronic-resource-num&gt;&lt;access-date&gt;2025/08/03&lt;/access-dat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(Son &amp; Moon, 2021)</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not only constitutes a structural geopolitical threat, but also exhibits three characteristics: cyclical escalation, sudden release, and persistent disturbance in multiple rounds of crisis events. This complex risk variable differs from the short-term event-driven GPR faced by other countries and has stronger characteristics of systemic uncertainty. </w:t>
      </w:r>
    </w:p>
    <w:p w14:paraId="7735D1F1" w14:textId="1569965A"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Although existing studies generally agree that GPR exacerbates short-term market volatility, there are still differences in the direction of its impact on long-term volatility. On the one hand, high-intensity geopolitical events</w:t>
      </w:r>
      <w:r w:rsidR="00403730" w:rsidRPr="0053126D">
        <w:rPr>
          <w:rFonts w:ascii="Times New Roman" w:eastAsia="FangSong" w:hAnsi="Times New Roman" w:cs="Times New Roman"/>
          <w:color w:val="000000" w:themeColor="text1"/>
          <w:szCs w:val="22"/>
          <w14:ligatures w14:val="none"/>
        </w:rPr>
        <w:t>,</w:t>
      </w:r>
      <w:r w:rsidRPr="0053126D">
        <w:rPr>
          <w:rFonts w:ascii="Times New Roman" w:eastAsia="FangSong" w:hAnsi="Times New Roman" w:cs="Times New Roman"/>
          <w:color w:val="000000" w:themeColor="text1"/>
          <w:szCs w:val="22"/>
          <w14:ligatures w14:val="none"/>
        </w:rPr>
        <w:t xml:space="preserve"> such as nuclear tests</w:t>
      </w:r>
      <w:r w:rsidR="00403730" w:rsidRPr="0053126D">
        <w:rPr>
          <w:rFonts w:ascii="Times New Roman" w:eastAsia="FangSong" w:hAnsi="Times New Roman" w:cs="Times New Roman"/>
          <w:color w:val="000000" w:themeColor="text1"/>
          <w:szCs w:val="22"/>
          <w14:ligatures w14:val="none"/>
        </w:rPr>
        <w:t>,</w:t>
      </w:r>
      <w:r w:rsidRPr="0053126D">
        <w:rPr>
          <w:rFonts w:ascii="Times New Roman" w:eastAsia="FangSong" w:hAnsi="Times New Roman" w:cs="Times New Roman"/>
          <w:color w:val="000000" w:themeColor="text1"/>
          <w:szCs w:val="22"/>
          <w14:ligatures w14:val="none"/>
        </w:rPr>
        <w:t xml:space="preserve"> are often considered to significantly increase investors' risk aversion, triggering risk-averse behavior and amplifying market reactions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&lt;EndNote&gt;&lt;Cite&gt;&lt;Author&gt;Pyo&lt;/Author&gt;&lt;Year&gt;2021&lt;/Year&gt;&lt;RecNum&gt;10&lt;/RecNum&gt;&lt;DisplayText&gt;(Pyo, 2021)&lt;/DisplayText&gt;&lt;record&gt;&lt;rec-number&gt;10&lt;/rec-number&gt;&lt;foreign-keys&gt;&lt;key app="EN" db-id="v0ffzw0attzvegext9k5ed51e5az2zvssta9" timestamp="1754285402"&gt;10&lt;/key&gt;&lt;/foreign-keys&gt;&lt;ref-type name="Journal Article"&gt;17&lt;/ref-type&gt;&lt;contributors&gt;&lt;authors&gt;&lt;author&gt;Pyo, Dong-Jin&lt;/author&gt;&lt;/authors&gt;&lt;/contributors&gt;&lt;titles&gt;&lt;title&gt;Does Geopolitical Risk Matter? Evidence from South Korea&lt;/title&gt;&lt;secondary-title&gt;Defence and Peace Economics&lt;/secondary-title&gt;&lt;/titles&gt;&lt;periodical&gt;&lt;full-title&gt;Defence and Peace Economics&lt;/full-title&gt;&lt;/periodical&gt;&lt;pages&gt;87-106&lt;/pages&gt;&lt;volume&gt;32&lt;/volume&gt;&lt;number&gt;1&lt;/number&gt;&lt;dates&gt;&lt;year&gt;2021&lt;/year&gt;&lt;pub-dates&gt;&lt;date&gt;2021/01/02&lt;/date&gt;&lt;/pub-dates&gt;&lt;/dates&gt;&lt;publisher&gt;Routledge&lt;/publisher&gt;&lt;isbn&gt;1024-2694&lt;/isbn&gt;&lt;urls&gt;&lt;related-urls&gt;&lt;url&gt;https://doi.org/10.1080/10242694.2020.1829937&lt;/url&gt;&lt;/related-urls&gt;&lt;/urls&gt;&lt;electronic-resource-num&gt;https://doi.org/10.1080/10242694.2020.1829937&lt;/electronic-resource-num&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(Pyo, 2021)</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r w:rsidR="003C7A05" w:rsidRPr="0053126D">
        <w:rPr>
          <w:rFonts w:ascii="Times New Roman" w:eastAsia="FangSong" w:hAnsi="Times New Roman" w:cs="Times New Roman"/>
          <w:color w:val="000000" w:themeColor="text1"/>
          <w:szCs w:val="22"/>
          <w14:ligatures w14:val="none"/>
        </w:rPr>
        <w:t xml:space="preserve"> </w:t>
      </w:r>
      <w:bookmarkStart w:id="6" w:name="OLE_LINK27"/>
      <w:r w:rsidRPr="0053126D">
        <w:rPr>
          <w:rFonts w:ascii="Times New Roman" w:eastAsia="FangSong" w:hAnsi="Times New Roman" w:cs="Times New Roman"/>
          <w:color w:val="000000" w:themeColor="text1"/>
          <w:szCs w:val="22"/>
          <w14:ligatures w14:val="none"/>
        </w:rPr>
        <w:t xml:space="preserve">On the other hand, some recent studies have </w:t>
      </w:r>
      <w:r w:rsidRPr="0053126D">
        <w:rPr>
          <w:rFonts w:ascii="Times New Roman" w:eastAsia="FangSong" w:hAnsi="Times New Roman" w:cs="Times New Roman"/>
          <w:color w:val="000000" w:themeColor="text1"/>
          <w:szCs w:val="22"/>
          <w14:ligatures w14:val="none"/>
        </w:rPr>
        <w:lastRenderedPageBreak/>
        <w:t>pointed out that in situations of repeated exposure to risk, investors may experience a “familiarity effect” or “risk desensitization” manifested as a gradual dullness in their response to geopolitical events and a gradual internalization of risk within the market, thereby suppressing the upward trend of long-term volatility</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&lt;EndNote&gt;&lt;Cite&gt;&lt;Author&gt;Kim&lt;/Author&gt;&lt;Year&gt;2014&lt;/Year&gt;&lt;RecNum&gt;14&lt;/RecNum&gt;&lt;DisplayText&gt;(Kim &amp;amp; Roland, 2014)&lt;/DisplayText&gt;&lt;record&gt;&lt;rec-number&gt;14&lt;/rec-number&gt;&lt;foreign-keys&gt;&lt;key app="EN" db-id="v0ffzw0attzvegext9k5ed51e5az2zvssta9" timestamp="1754286938"&gt;14&lt;/key&gt;&lt;/foreign-keys&gt;&lt;ref-type name="Journal Article"&gt;17&lt;/ref-type&gt;&lt;contributors&gt;&lt;authors&gt;&lt;author&gt;Kim, Byung-Yeon&lt;/author&gt;&lt;author&gt;Roland, Gérard&lt;/author&gt;&lt;/authors&gt;&lt;/contributors&gt;&lt;titles&gt;&lt;title&gt;How credible is the North Korean threat?&lt;/title&gt;&lt;secondary-title&gt;Economics of Transition&lt;/secondary-title&gt;&lt;/titles&gt;&lt;periodical&gt;&lt;full-title&gt;Economics of Transition&lt;/full-title&gt;&lt;/periodical&gt;&lt;pages&gt;433-459&lt;/pages&gt;&lt;volume&gt;22&lt;/volume&gt;&lt;number&gt;3&lt;/number&gt;&lt;keywords&gt;&lt;keyword&gt;Event studies&lt;/keyword&gt;&lt;keyword&gt;North Korean threat&lt;/keyword&gt;&lt;keyword&gt;South Korea&lt;/keyword&gt;&lt;keyword&gt;political economy&lt;/keyword&gt;&lt;keyword&gt;aggregation of information on financial markets&lt;/keyword&gt;&lt;/keywords&gt;&lt;dates&gt;&lt;year&gt;2014&lt;/year&gt;&lt;pub-dates&gt;&lt;date&gt;2014/07/01&lt;/date&gt;&lt;/pub-dates&gt;&lt;/dates&gt;&lt;publisher&gt;John Wiley &amp;amp; Sons, Ltd&lt;/publisher&gt;&lt;isbn&gt;0967-0750&lt;/isbn&gt;&lt;urls&gt;&lt;related-urls&gt;&lt;url&gt;https://doi.org/10.1111/ecot.12044&lt;/url&gt;&lt;/related-urls&gt;&lt;/urls&gt;&lt;electronic-resource-num&gt;https://doi.org/10.1111/ecot.12044&lt;/electronic-resource-num&gt;&lt;access-date&gt;2025/08/03&lt;/access-dat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(Kim &amp; Roland, 2014)</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This is more pronounced in countries with mature policy response mechanisms and extensive market experience, where investors may </w:t>
      </w:r>
      <w:r w:rsidR="00403730" w:rsidRPr="0053126D">
        <w:rPr>
          <w:rFonts w:ascii="Times New Roman" w:eastAsia="FangSong" w:hAnsi="Times New Roman" w:cs="Times New Roman" w:hint="eastAsia"/>
          <w:color w:val="000000" w:themeColor="text1"/>
          <w:szCs w:val="22"/>
          <w14:ligatures w14:val="none"/>
        </w:rPr>
        <w:t>adopt conservative strategies or adopt a wait-and-see attitude, leading to a</w:t>
      </w:r>
      <w:r w:rsidRPr="0053126D">
        <w:rPr>
          <w:rFonts w:ascii="Times New Roman" w:eastAsia="FangSong" w:hAnsi="Times New Roman" w:cs="Times New Roman"/>
          <w:color w:val="000000" w:themeColor="text1"/>
          <w:szCs w:val="22"/>
          <w14:ligatures w14:val="none"/>
        </w:rPr>
        <w:t xml:space="preserve"> stabilization of volatility levels.</w:t>
      </w:r>
    </w:p>
    <w:bookmarkEnd w:id="6"/>
    <w:p w14:paraId="78CFF972" w14:textId="54FCA5ED" w:rsidR="005D502C"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Against this backdrop, there is an urgent need to conduct an in-depth assessment of the heterogeneous mechanisms of </w:t>
      </w:r>
      <w:r w:rsidR="00403730" w:rsidRPr="0053126D">
        <w:rPr>
          <w:rFonts w:ascii="Times New Roman" w:eastAsia="FangSong" w:hAnsi="Times New Roman"/>
          <w:color w:val="000000" w:themeColor="text1"/>
        </w:rPr>
        <w:t>Geopolitical Risk from North Korea (</w:t>
      </w:r>
      <w:bookmarkStart w:id="7" w:name="OLE_LINK195"/>
      <w:bookmarkStart w:id="8" w:name="OLE_LINK199"/>
      <w:r w:rsidR="00403730" w:rsidRPr="0053126D">
        <w:rPr>
          <w:rFonts w:ascii="Times New Roman" w:eastAsia="FangSong" w:hAnsi="Times New Roman"/>
          <w:color w:val="000000" w:themeColor="text1"/>
        </w:rPr>
        <w:t>GPR</w:t>
      </w:r>
      <w:bookmarkEnd w:id="7"/>
      <w:r w:rsidR="00403730" w:rsidRPr="0053126D">
        <w:rPr>
          <w:rFonts w:ascii="Times New Roman" w:eastAsia="FangSong" w:hAnsi="Times New Roman"/>
          <w:color w:val="000000" w:themeColor="text1"/>
        </w:rPr>
        <w:t>NK</w:t>
      </w:r>
      <w:bookmarkEnd w:id="8"/>
      <w:r w:rsidR="00403730" w:rsidRPr="0053126D">
        <w:rPr>
          <w:rFonts w:ascii="Times New Roman" w:eastAsia="FangSong" w:hAnsi="Times New Roman"/>
          <w:color w:val="000000" w:themeColor="text1"/>
        </w:rPr>
        <w:t>)</w:t>
      </w:r>
      <w:r w:rsidRPr="0053126D">
        <w:rPr>
          <w:rFonts w:ascii="Times New Roman" w:eastAsia="FangSong" w:hAnsi="Times New Roman" w:cs="Times New Roman"/>
          <w:color w:val="000000" w:themeColor="text1"/>
          <w:szCs w:val="22"/>
          <w14:ligatures w14:val="none"/>
        </w:rPr>
        <w:t xml:space="preserve"> at different time scales, especially their dynamic role in explaining and predicting long-term volatility in the South Korean stock market. This will not only help improve the theory of financial market responses to external shocks but also provide South Korean policymakers and investors with a more accurate basis for risk management.</w:t>
      </w:r>
    </w:p>
    <w:p w14:paraId="0C61331E" w14:textId="3A3C5837" w:rsidR="00564B74" w:rsidRPr="0053126D" w:rsidRDefault="00564B74" w:rsidP="00BA2606">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Appendix B: Literature Review</w:t>
      </w:r>
    </w:p>
    <w:p w14:paraId="6FFDD4E0" w14:textId="257D290B"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In recent years, the impact of </w:t>
      </w:r>
      <w:bookmarkStart w:id="9" w:name="OLE_LINK194"/>
      <w:r w:rsidRPr="0053126D">
        <w:rPr>
          <w:rFonts w:ascii="Times New Roman" w:eastAsia="FangSong" w:hAnsi="Times New Roman" w:cs="Times New Roman"/>
          <w:color w:val="000000" w:themeColor="text1"/>
          <w:szCs w:val="22"/>
          <w14:ligatures w14:val="none"/>
        </w:rPr>
        <w:t xml:space="preserve">GPR </w:t>
      </w:r>
      <w:bookmarkEnd w:id="9"/>
      <w:r w:rsidRPr="0053126D">
        <w:rPr>
          <w:rFonts w:ascii="Times New Roman" w:eastAsia="FangSong" w:hAnsi="Times New Roman" w:cs="Times New Roman"/>
          <w:color w:val="000000" w:themeColor="text1"/>
          <w:szCs w:val="22"/>
          <w14:ligatures w14:val="none"/>
        </w:rPr>
        <w:t>on financial markets has become an important research topic in the field of international finance. With the intensification of global political uncertainty, the frequent turmoil on the Korean Peninsula has made South Korea's financial markets an important window for studying the effects of geopolitical shocks. A large body of literature shows that geopolitical events, especially North Korea's nuclear tests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&lt;EndNote&gt;&lt;Cite&gt;&lt;Author&gt;Huh&lt;/Author&gt;&lt;Year&gt;2018&lt;/Year&gt;&lt;RecNum&gt;4&lt;/RecNum&gt;&lt;DisplayText&gt;(Huh &amp;amp; Pyun, 2018)&lt;/DisplayText&gt;&lt;record&gt;&lt;rec-number&gt;4&lt;/rec-number&gt;&lt;foreign-keys&gt;&lt;key app="EN" db-id="v0ffzw0attzvegext9k5ed51e5az2zvssta9" timestamp="1754283304"&gt;4&lt;/key&gt;&lt;/foreign-keys&gt;&lt;ref-type name="Journal Article"&gt;17&lt;/ref-type&gt;&lt;contributors&gt;&lt;authors&gt;&lt;author&gt;Huh, In&lt;/author&gt;&lt;author&gt;Pyun, Ju Hyun&lt;/author&gt;&lt;/authors&gt;&lt;/contributors&gt;&lt;titles&gt;&lt;title&gt;Does Nuclear Uncertainty Threaten Financial Markets? The Attention Paid to North Korean Nuclear Threats and Its Impact on South Korea&amp;apos;s Financial Markets&lt;/title&gt;&lt;secondary-title&gt;Asian Economic Journal&lt;/secondary-title&gt;&lt;/titles&gt;&lt;periodical&gt;&lt;full-title&gt;Asian Economic Journal&lt;/full-title&gt;&lt;/periodical&gt;&lt;pages&gt;55-82&lt;/pages&gt;&lt;volume&gt;32&lt;/volume&gt;&lt;number&gt;1&lt;/number&gt;&lt;keywords&gt;&lt;keyword&gt;block exogeneity&lt;/keyword&gt;&lt;keyword&gt;Google search volume index&lt;/keyword&gt;&lt;keyword&gt;investor attention&lt;/keyword&gt;&lt;keyword&gt;North Korean nuclear risk&lt;/keyword&gt;&lt;keyword&gt;political risk&lt;/keyword&gt;&lt;keyword&gt;structural vector autoregression model&lt;/keyword&gt;&lt;/keywords&gt;&lt;dates&gt;&lt;year&gt;2018&lt;/year&gt;&lt;pub-dates&gt;&lt;date&gt;2018/03/01&lt;/date&gt;&lt;/pub-dates&gt;&lt;/dates&gt;&lt;publisher&gt;John Wiley &amp;amp; Sons, Ltd&lt;/publisher&gt;&lt;isbn&gt;1351-3958&lt;/isbn&gt;&lt;urls&gt;&lt;related-urls&gt;&lt;url&gt;https://doi.org/10.1111/asej.12142&lt;/url&gt;&lt;/related-urls&gt;&lt;/urls&gt;&lt;electronic-resource-num&gt;https://doi.org/10.1111/asej.12142&lt;/electronic-resource-num&gt;&lt;access-date&gt;2025/08/03&lt;/access-dat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(Huh &amp; Pyun, 2018)</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missile launches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&lt;EndNote&gt;&lt;Cite&gt;&lt;Author&gt;Lee&lt;/Author&gt;&lt;Year&gt;2024&lt;/Year&gt;&lt;RecNum&gt;1&lt;/RecNum&gt;&lt;DisplayText&gt;(Lee, 2024)&lt;/DisplayText&gt;&lt;record&gt;&lt;rec-number&gt;1&lt;/rec-number&gt;&lt;foreign-keys&gt;&lt;key app="EN" db-id="v0ffzw0attzvegext9k5ed51e5az2zvssta9" timestamp="1754102220"&gt;1&lt;/key&gt;&lt;/foreign-keys&gt;&lt;ref-type name="Journal Article"&gt;17&lt;/ref-type&gt;&lt;contributors&gt;&lt;authors&gt;&lt;author&gt;Lee, Geesun&lt;/author&gt;&lt;/authors&gt;&lt;/contributors&gt;&lt;titles&gt;&lt;title&gt;The impact of North Korean nuclear threat on stock market linkages in Northeast Asia: The case of South Korea, China, and Japan&lt;/title&gt;&lt;secondary-title&gt;Finance Research Letters&lt;/secondary-title&gt;&lt;/titles&gt;&lt;periodical&gt;&lt;full-title&gt;Finance Research Letters&lt;/full-title&gt;&lt;/periodical&gt;&lt;pages&gt;105727&lt;/pages&gt;&lt;volume&gt;66&lt;/volume&gt;&lt;keywords&gt;&lt;keyword&gt;Geopolitical risk&lt;/keyword&gt;&lt;keyword&gt;North Korea&lt;/keyword&gt;&lt;keyword&gt;Northeast Asia&lt;/keyword&gt;&lt;keyword&gt;Nuclear threat&lt;/keyword&gt;&lt;keyword&gt;Stock market linkage&lt;/keyword&gt;&lt;keyword&gt;War&lt;/keyword&gt;&lt;/keywords&gt;&lt;dates&gt;&lt;year&gt;2024&lt;/year&gt;&lt;pub-dates&gt;&lt;date&gt;2024/08/01/&lt;/date&gt;&lt;/pub-dates&gt;&lt;/dates&gt;&lt;isbn&gt;1544-6123&lt;/isbn&gt;&lt;urls&gt;&lt;related-urls&gt;&lt;url&gt;https://www.sciencedirect.com/science/article/pii/S1544612324007578&lt;/url&gt;&lt;/related-urls&gt;&lt;/urls&gt;&lt;electronic-resource-num&gt;https://doi.org/10.1016/j.frl.2024.105727&lt;/electronic-resource-num&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(Lee, 2024)</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and military provocations</w:t>
      </w:r>
      <w:r w:rsidR="003C7A05" w:rsidRPr="0053126D">
        <w:rPr>
          <w:rFonts w:ascii="Times New Roman" w:eastAsia="FangSong" w:hAnsi="Times New Roman" w:cs="Times New Roman"/>
          <w:color w:val="000000" w:themeColor="text1"/>
          <w:szCs w:val="22"/>
          <w14:ligatures w14:val="none"/>
        </w:rPr>
        <w:t xml:space="preserve"> </w:t>
      </w:r>
      <w:r w:rsidR="003C7A05" w:rsidRPr="0053126D">
        <w:rPr>
          <w:rFonts w:ascii="Times New Roman" w:eastAsia="FangSong" w:hAnsi="Times New Roman" w:cs="Times New Roman"/>
          <w:color w:val="000000" w:themeColor="text1"/>
          <w:szCs w:val="22"/>
          <w14:ligatures w14:val="none"/>
        </w:rPr>
        <w:fldChar w:fldCharType="begin"/>
      </w:r>
      <w:r w:rsidR="003C7A05" w:rsidRPr="0053126D">
        <w:rPr>
          <w:rFonts w:ascii="Times New Roman" w:eastAsia="FangSong" w:hAnsi="Times New Roman" w:cs="Times New Roman"/>
          <w:color w:val="000000" w:themeColor="text1"/>
          <w:szCs w:val="22"/>
          <w14:ligatures w14:val="none"/>
        </w:rPr>
        <w:instrText xml:space="preserve"> ADDIN EN.CITE &lt;EndNote&gt;&lt;Cite&gt;&lt;Author&gt;Son&lt;/Author&gt;&lt;Year&gt;2021&lt;/Year&gt;&lt;RecNum&gt;7&lt;/RecNum&gt;&lt;DisplayText&gt;(Son &amp;amp; Moon, 2021)&lt;/DisplayText&gt;&lt;record&gt;&lt;rec-number&gt;7&lt;/rec-number&gt;&lt;foreign-keys&gt;&lt;key app="EN" db-id="v0ffzw0attzvegext9k5ed51e5az2zvssta9" timestamp="1754284035"&gt;7&lt;/key&gt;&lt;/foreign-keys&gt;&lt;ref-type name="Journal Article"&gt;17&lt;/ref-type&gt;&lt;contributors&gt;&lt;authors&gt;&lt;author&gt;Son, Byunghwan&lt;/author&gt;&lt;author&gt;Moon, Chungshik&lt;/author&gt;&lt;/authors&gt;&lt;/contributors&gt;&lt;titles&gt;&lt;title&gt;Security Threats and Investment: North Korean Threats and the South Korean Stock Market&lt;/title&gt;&lt;secondary-title&gt;Pacific Focus&lt;/secondary-title&gt;&lt;/titles&gt;&lt;periodical&gt;&lt;full-title&gt;Pacific Focus&lt;/full-title&gt;&lt;/periodical&gt;&lt;pages&gt;544-569&lt;/pages&gt;&lt;volume&gt;36&lt;/volume&gt;&lt;number&gt;3&lt;/number&gt;&lt;keywords&gt;&lt;keyword&gt;Korean stock market&lt;/keyword&gt;&lt;keyword&gt;party politics&lt;/keyword&gt;&lt;keyword&gt;North Korea&lt;/keyword&gt;&lt;keyword&gt;military threats&lt;/keyword&gt;&lt;/keywords&gt;&lt;dates&gt;&lt;year&gt;2021&lt;/year&gt;&lt;pub-dates&gt;&lt;date&gt;2021/12/01&lt;/date&gt;&lt;/pub-dates&gt;&lt;/dates&gt;&lt;publisher&gt;John Wiley &amp;amp; Sons, Ltd&lt;/publisher&gt;&lt;isbn&gt;1225-4657&lt;/isbn&gt;&lt;urls&gt;&lt;related-urls&gt;&lt;url&gt;https://doi.org/10.1111/pafo.12198&lt;/url&gt;&lt;/related-urls&gt;&lt;/urls&gt;&lt;electronic-resource-num&gt;https://doi.org/10.1111/pafo.12198&lt;/electronic-resource-num&gt;&lt;access-date&gt;2025/08/03&lt;/access-date&gt;&lt;/record&gt;&lt;/Cite&gt;&lt;/EndNote&gt;</w:instrText>
      </w:r>
      <w:r w:rsidR="003C7A05" w:rsidRPr="0053126D">
        <w:rPr>
          <w:rFonts w:ascii="Times New Roman" w:eastAsia="FangSong" w:hAnsi="Times New Roman" w:cs="Times New Roman"/>
          <w:color w:val="000000" w:themeColor="text1"/>
          <w:szCs w:val="22"/>
          <w14:ligatures w14:val="none"/>
        </w:rPr>
        <w:fldChar w:fldCharType="separate"/>
      </w:r>
      <w:r w:rsidR="003C7A05" w:rsidRPr="0053126D">
        <w:rPr>
          <w:rFonts w:ascii="Times New Roman" w:eastAsia="FangSong" w:hAnsi="Times New Roman" w:cs="Times New Roman"/>
          <w:noProof/>
          <w:color w:val="000000" w:themeColor="text1"/>
          <w:szCs w:val="22"/>
          <w14:ligatures w14:val="none"/>
        </w:rPr>
        <w:t>(Son &amp; Moon, 2021)</w:t>
      </w:r>
      <w:r w:rsidR="003C7A0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have a significant impact on South Korean asset markets mainly through short-term channels, manifested in exchange rate volatility</w:t>
      </w:r>
      <w:r w:rsidR="007168A5" w:rsidRPr="0053126D">
        <w:rPr>
          <w:rFonts w:ascii="Times New Roman" w:eastAsia="FangSong" w:hAnsi="Times New Roman" w:cs="Times New Roman"/>
          <w:color w:val="000000" w:themeColor="text1"/>
          <w:szCs w:val="22"/>
          <w14:ligatures w14:val="none"/>
        </w:rPr>
        <w:t xml:space="preserve"> </w:t>
      </w:r>
      <w:r w:rsidR="007168A5" w:rsidRPr="0053126D">
        <w:rPr>
          <w:rFonts w:ascii="Times New Roman" w:eastAsia="FangSong" w:hAnsi="Times New Roman" w:cs="Times New Roman"/>
          <w:color w:val="000000" w:themeColor="text1"/>
          <w:szCs w:val="22"/>
          <w14:ligatures w14:val="none"/>
        </w:rPr>
        <w:fldChar w:fldCharType="begin"/>
      </w:r>
      <w:r w:rsidR="007168A5" w:rsidRPr="0053126D">
        <w:rPr>
          <w:rFonts w:ascii="Times New Roman" w:eastAsia="FangSong" w:hAnsi="Times New Roman" w:cs="Times New Roman"/>
          <w:color w:val="000000" w:themeColor="text1"/>
          <w:szCs w:val="22"/>
          <w14:ligatures w14:val="none"/>
        </w:rPr>
        <w:instrText xml:space="preserve"> ADDIN EN.CITE &lt;EndNote&gt;&lt;Cite&gt;&lt;Author&gt;Dibooglu&lt;/Author&gt;&lt;Year&gt;2016&lt;/Year&gt;&lt;RecNum&gt;6&lt;/RecNum&gt;&lt;DisplayText&gt;(Dibooglu &amp;amp; Cevik, 2016)&lt;/DisplayText&gt;&lt;record&gt;&lt;rec-number&gt;6&lt;/rec-number&gt;&lt;foreign-keys&gt;&lt;key app="EN" db-id="v0ffzw0attzvegext9k5ed51e5az2zvssta9" timestamp="1754283862"&gt;6&lt;/key&gt;&lt;/foreign-keys&gt;&lt;ref-type name="Journal Article"&gt;17&lt;/ref-type&gt;&lt;contributors&gt;&lt;authors&gt;&lt;author&gt;Dibooglu, Sel&lt;/author&gt;&lt;author&gt;Cevik, Emrah I.&lt;/author&gt;&lt;/authors&gt;&lt;/contributors&gt;&lt;titles&gt;&lt;title&gt;The effect of North Korean threats on financial markets in South Korea and Japan&lt;/title&gt;&lt;secondary-title&gt;Journal of Asian Economics&lt;/secondary-title&gt;&lt;/titles&gt;&lt;periodical&gt;&lt;full-title&gt;Journal of Asian Economics&lt;/full-title&gt;&lt;/periodical&gt;&lt;pages&gt;18-26&lt;/pages&gt;&lt;volume&gt;43&lt;/volume&gt;&lt;keywords&gt;&lt;keyword&gt;Military threats&lt;/keyword&gt;&lt;keyword&gt;Financial markets&lt;/keyword&gt;&lt;keyword&gt;Stock returns&lt;/keyword&gt;&lt;/keywords&gt;&lt;dates&gt;&lt;year&gt;2016&lt;/year&gt;&lt;pub-dates&gt;&lt;date&gt;2016/04/01/&lt;/date&gt;&lt;/pub-dates&gt;&lt;/dates&gt;&lt;isbn&gt;1049-0078&lt;/isbn&gt;&lt;urls&gt;&lt;related-urls&gt;&lt;url&gt;https://www.sciencedirect.com/science/article/pii/S104900781630015X&lt;/url&gt;&lt;/related-urls&gt;&lt;/urls&gt;&lt;electronic-resource-num&gt;https://doi.org/10.1016/j.asieco.2016.03.002&lt;/electronic-resource-num&gt;&lt;/record&gt;&lt;/Cite&gt;&lt;/EndNote&gt;</w:instrText>
      </w:r>
      <w:r w:rsidR="007168A5" w:rsidRPr="0053126D">
        <w:rPr>
          <w:rFonts w:ascii="Times New Roman" w:eastAsia="FangSong" w:hAnsi="Times New Roman" w:cs="Times New Roman"/>
          <w:color w:val="000000" w:themeColor="text1"/>
          <w:szCs w:val="22"/>
          <w14:ligatures w14:val="none"/>
        </w:rPr>
        <w:fldChar w:fldCharType="separate"/>
      </w:r>
      <w:r w:rsidR="007168A5" w:rsidRPr="0053126D">
        <w:rPr>
          <w:rFonts w:ascii="Times New Roman" w:eastAsia="FangSong" w:hAnsi="Times New Roman" w:cs="Times New Roman"/>
          <w:noProof/>
          <w:color w:val="000000" w:themeColor="text1"/>
          <w:szCs w:val="22"/>
          <w14:ligatures w14:val="none"/>
        </w:rPr>
        <w:t>(Dibooglu &amp; Cevik, 2016)</w:t>
      </w:r>
      <w:r w:rsidR="007168A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stock market declines</w:t>
      </w:r>
      <w:r w:rsidR="007168A5" w:rsidRPr="0053126D">
        <w:rPr>
          <w:rFonts w:ascii="Times New Roman" w:eastAsia="FangSong" w:hAnsi="Times New Roman" w:cs="Times New Roman"/>
          <w:color w:val="000000" w:themeColor="text1"/>
          <w:szCs w:val="22"/>
          <w14:ligatures w14:val="none"/>
        </w:rPr>
        <w:t xml:space="preserve"> </w:t>
      </w:r>
      <w:r w:rsidR="007168A5" w:rsidRPr="0053126D">
        <w:rPr>
          <w:rFonts w:ascii="Times New Roman" w:eastAsia="FangSong" w:hAnsi="Times New Roman" w:cs="Times New Roman"/>
          <w:color w:val="000000" w:themeColor="text1"/>
          <w:szCs w:val="22"/>
          <w14:ligatures w14:val="none"/>
        </w:rPr>
        <w:fldChar w:fldCharType="begin"/>
      </w:r>
      <w:r w:rsidR="007168A5" w:rsidRPr="0053126D">
        <w:rPr>
          <w:rFonts w:ascii="Times New Roman" w:eastAsia="FangSong" w:hAnsi="Times New Roman" w:cs="Times New Roman"/>
          <w:color w:val="000000" w:themeColor="text1"/>
          <w:szCs w:val="22"/>
          <w14:ligatures w14:val="none"/>
        </w:rPr>
        <w:instrText xml:space="preserve"> ADDIN EN.CITE &lt;EndNote&gt;&lt;Cite&gt;&lt;Author&gt;Lee&lt;/Author&gt;&lt;Year&gt;2024&lt;/Year&gt;&lt;RecNum&gt;1&lt;/RecNum&gt;&lt;DisplayText&gt;(Lee, 2024)&lt;/DisplayText&gt;&lt;record&gt;&lt;rec-number&gt;1&lt;/rec-number&gt;&lt;foreign-keys&gt;&lt;key app="EN" db-id="v0ffzw0attzvegext9k5ed51e5az2zvssta9" timestamp="1754102220"&gt;1&lt;/key&gt;&lt;/foreign-keys&gt;&lt;ref-type name="Journal Article"&gt;17&lt;/ref-type&gt;&lt;contributors&gt;&lt;authors&gt;&lt;author&gt;Lee, Geesun&lt;/author&gt;&lt;/authors&gt;&lt;/contributors&gt;&lt;titles&gt;&lt;title&gt;The impact of North Korean nuclear threat on stock market linkages in Northeast Asia: The case of South Korea, China, and Japan&lt;/title&gt;&lt;secondary-title&gt;Finance Research Letters&lt;/secondary-title&gt;&lt;/titles&gt;&lt;periodical&gt;&lt;full-title&gt;Finance Research Letters&lt;/full-title&gt;&lt;/periodical&gt;&lt;pages&gt;105727&lt;/pages&gt;&lt;volume&gt;66&lt;/volume&gt;&lt;keywords&gt;&lt;keyword&gt;Geopolitical risk&lt;/keyword&gt;&lt;keyword&gt;North Korea&lt;/keyword&gt;&lt;keyword&gt;Northeast Asia&lt;/keyword&gt;&lt;keyword&gt;Nuclear threat&lt;/keyword&gt;&lt;keyword&gt;Stock market linkage&lt;/keyword&gt;&lt;keyword&gt;War&lt;/keyword&gt;&lt;/keywords&gt;&lt;dates&gt;&lt;year&gt;2024&lt;/year&gt;&lt;pub-dates&gt;&lt;date&gt;2024/08/01/&lt;/date&gt;&lt;/pub-dates&gt;&lt;/dates&gt;&lt;isbn&gt;1544-6123&lt;/isbn&gt;&lt;urls&gt;&lt;related-urls&gt;&lt;url&gt;https://www.sciencedirect.com/science/article/pii/S1544612324007578&lt;/url&gt;&lt;/related-urls&gt;&lt;/urls&gt;&lt;electronic-resource-num&gt;https://doi.org/10.1016/j.frl.2024.105727&lt;/electronic-resource-num&gt;&lt;/record&gt;&lt;/Cite&gt;&lt;/EndNote&gt;</w:instrText>
      </w:r>
      <w:r w:rsidR="007168A5" w:rsidRPr="0053126D">
        <w:rPr>
          <w:rFonts w:ascii="Times New Roman" w:eastAsia="FangSong" w:hAnsi="Times New Roman" w:cs="Times New Roman"/>
          <w:color w:val="000000" w:themeColor="text1"/>
          <w:szCs w:val="22"/>
          <w14:ligatures w14:val="none"/>
        </w:rPr>
        <w:fldChar w:fldCharType="separate"/>
      </w:r>
      <w:r w:rsidR="007168A5" w:rsidRPr="0053126D">
        <w:rPr>
          <w:rFonts w:ascii="Times New Roman" w:eastAsia="FangSong" w:hAnsi="Times New Roman" w:cs="Times New Roman"/>
          <w:noProof/>
          <w:color w:val="000000" w:themeColor="text1"/>
          <w:szCs w:val="22"/>
          <w14:ligatures w14:val="none"/>
        </w:rPr>
        <w:t>(Lee, 2024)</w:t>
      </w:r>
      <w:r w:rsidR="007168A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and rising bond risk premiums</w:t>
      </w:r>
      <w:r w:rsidR="008D26DA" w:rsidRPr="0053126D">
        <w:rPr>
          <w:rFonts w:ascii="Times New Roman" w:eastAsia="FangSong" w:hAnsi="Times New Roman" w:cs="Times New Roman"/>
          <w:color w:val="000000" w:themeColor="text1"/>
          <w:szCs w:val="22"/>
          <w14:ligatures w14:val="none"/>
        </w:rPr>
        <w:t xml:space="preserve"> </w:t>
      </w:r>
      <w:r w:rsidR="008D26DA" w:rsidRPr="0053126D">
        <w:rPr>
          <w:rFonts w:ascii="Times New Roman" w:eastAsia="FangSong" w:hAnsi="Times New Roman" w:cs="Times New Roman"/>
          <w:color w:val="000000" w:themeColor="text1"/>
          <w:szCs w:val="22"/>
          <w14:ligatures w14:val="none"/>
        </w:rPr>
        <w:fldChar w:fldCharType="begin"/>
      </w:r>
      <w:r w:rsidR="008D26DA" w:rsidRPr="0053126D">
        <w:rPr>
          <w:rFonts w:ascii="Times New Roman" w:eastAsia="FangSong" w:hAnsi="Times New Roman" w:cs="Times New Roman"/>
          <w:color w:val="000000" w:themeColor="text1"/>
          <w:szCs w:val="22"/>
          <w14:ligatures w14:val="none"/>
        </w:rPr>
        <w:instrText xml:space="preserve"> ADDIN EN.CITE &lt;EndNote&gt;&lt;Cite&gt;&lt;Author&gt;Chernov&lt;/Author&gt;&lt;Year&gt;2023&lt;/Year&gt;&lt;RecNum&gt;30&lt;/RecNum&gt;&lt;DisplayText&gt;(Chernov et al., 2023)&lt;/DisplayText&gt;&lt;record&gt;&lt;rec-number&gt;30&lt;/rec-number&gt;&lt;foreign-keys&gt;&lt;key app="EN" db-id="v0ffzw0attzvegext9k5ed51e5az2zvssta9" timestamp="1754307302"&gt;30&lt;/key&gt;&lt;/foreign-keys&gt;&lt;ref-type name="Journal Article"&gt;17&lt;/ref-type&gt;&lt;contributors&gt;&lt;authors&gt;&lt;author&gt;Chernov, Mikhail&lt;/author&gt;&lt;author&gt;Creal, Drew&lt;/author&gt;&lt;author&gt;Hördahl, Peter&lt;/author&gt;&lt;/authors&gt;&lt;/contributors&gt;&lt;titles&gt;&lt;title&gt;Sovereign credit and exchange rate risks: Evidence from Asia-Pacific local currency bonds&lt;/title&gt;&lt;secondary-title&gt;Journal of International Economics&lt;/secondary-title&gt;&lt;/titles&gt;&lt;periodical&gt;&lt;full-title&gt;Journal of International Economics&lt;/full-title&gt;&lt;/periodical&gt;&lt;pages&gt;103692&lt;/pages&gt;&lt;volume&gt;140&lt;/volume&gt;&lt;keywords&gt;&lt;keyword&gt;Emerging bond markets&lt;/keyword&gt;&lt;keyword&gt;Credit risk&lt;/keyword&gt;&lt;keyword&gt;Currency risk&lt;/keyword&gt;&lt;keyword&gt;Twin Ds&lt;/keyword&gt;&lt;keyword&gt;Affine model&lt;/keyword&gt;&lt;/keywords&gt;&lt;dates&gt;&lt;year&gt;2023&lt;/year&gt;&lt;pub-dates&gt;&lt;date&gt;2023/01/01/&lt;/date&gt;&lt;/pub-dates&gt;&lt;/dates&gt;&lt;isbn&gt;0022-1996&lt;/isbn&gt;&lt;urls&gt;&lt;related-urls&gt;&lt;url&gt;https://www.sciencedirect.com/science/article/pii/S0022199622001246&lt;/url&gt;&lt;/related-urls&gt;&lt;/urls&gt;&lt;electronic-resource-num&gt;https://doi.org/10.1016/j.jinteco.2022.103692&lt;/electronic-resource-num&gt;&lt;/record&gt;&lt;/Cite&gt;&lt;/EndNote&gt;</w:instrText>
      </w:r>
      <w:r w:rsidR="008D26DA" w:rsidRPr="0053126D">
        <w:rPr>
          <w:rFonts w:ascii="Times New Roman" w:eastAsia="FangSong" w:hAnsi="Times New Roman" w:cs="Times New Roman"/>
          <w:color w:val="000000" w:themeColor="text1"/>
          <w:szCs w:val="22"/>
          <w14:ligatures w14:val="none"/>
        </w:rPr>
        <w:fldChar w:fldCharType="separate"/>
      </w:r>
      <w:r w:rsidR="008D26DA" w:rsidRPr="0053126D">
        <w:rPr>
          <w:rFonts w:ascii="Times New Roman" w:eastAsia="FangSong" w:hAnsi="Times New Roman" w:cs="Times New Roman"/>
          <w:noProof/>
          <w:color w:val="000000" w:themeColor="text1"/>
          <w:szCs w:val="22"/>
          <w14:ligatures w14:val="none"/>
        </w:rPr>
        <w:t>(Chernov et al., 2023)</w:t>
      </w:r>
      <w:r w:rsidR="008D26DA"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p>
    <w:p w14:paraId="77DC7701" w14:textId="62EE049C"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Specifically, rising war risks not only suppress the overall returns of the South Korean stock market</w:t>
      </w:r>
      <w:r w:rsidR="008D26DA" w:rsidRPr="0053126D">
        <w:rPr>
          <w:rFonts w:ascii="Times New Roman" w:eastAsia="FangSong" w:hAnsi="Times New Roman" w:cs="Times New Roman"/>
          <w:color w:val="000000" w:themeColor="text1"/>
          <w:szCs w:val="22"/>
          <w14:ligatures w14:val="none"/>
        </w:rPr>
        <w:t xml:space="preserve"> </w:t>
      </w:r>
      <w:r w:rsidR="008D26DA" w:rsidRPr="0053126D">
        <w:rPr>
          <w:rFonts w:ascii="Times New Roman" w:eastAsia="FangSong" w:hAnsi="Times New Roman" w:cs="Times New Roman"/>
          <w:color w:val="000000" w:themeColor="text1"/>
          <w:szCs w:val="22"/>
          <w14:ligatures w14:val="none"/>
        </w:rPr>
        <w:fldChar w:fldCharType="begin"/>
      </w:r>
      <w:r w:rsidR="008D26DA" w:rsidRPr="0053126D">
        <w:rPr>
          <w:rFonts w:ascii="Times New Roman" w:eastAsia="FangSong" w:hAnsi="Times New Roman" w:cs="Times New Roman"/>
          <w:color w:val="000000" w:themeColor="text1"/>
          <w:szCs w:val="22"/>
          <w14:ligatures w14:val="none"/>
        </w:rPr>
        <w:instrText xml:space="preserve"> ADDIN EN.CITE &lt;EndNote&gt;&lt;Cite&gt;&lt;Author&gt;NguyenHuu&lt;/Author&gt;&lt;Year&gt;2024&lt;/Year&gt;&lt;RecNum&gt;31&lt;/RecNum&gt;&lt;DisplayText&gt;(NguyenHuu &amp;amp; Örsal, 2024)&lt;/DisplayText&gt;&lt;record&gt;&lt;rec-number&gt;31&lt;/rec-number&gt;&lt;foreign-keys&gt;&lt;key app="EN" db-id="v0ffzw0attzvegext9k5ed51e5az2zvssta9" timestamp="1754307762"&gt;31&lt;/key&gt;&lt;/foreign-keys&gt;&lt;ref-type name="Journal Article"&gt;17&lt;/ref-type&gt;&lt;contributors&gt;&lt;authors&gt;&lt;author&gt;NguyenHuu, Tam&lt;/author&gt;&lt;author&gt;Örsal, Deniz Karaman&lt;/author&gt;&lt;/authors&gt;&lt;/contributors&gt;&lt;titles&gt;&lt;title&gt;Geopolitical risks and financial stress in emerging economies&lt;/title&gt;&lt;secondary-title&gt;The World Economy&lt;/secondary-title&gt;&lt;/titles&gt;&lt;periodical&gt;&lt;full-title&gt;The World Economy&lt;/full-title&gt;&lt;/periodical&gt;&lt;pages&gt;217-237&lt;/pages&gt;&lt;volume&gt;47&lt;/volume&gt;&lt;number&gt;1&lt;/number&gt;&lt;keywords&gt;&lt;keyword&gt;banking sector&lt;/keyword&gt;&lt;keyword&gt;debt market&lt;/keyword&gt;&lt;keyword&gt;emerging economies&lt;/keyword&gt;&lt;keyword&gt;financial stress&lt;/keyword&gt;&lt;keyword&gt;foreign exchange market&lt;/keyword&gt;&lt;keyword&gt;geopolitical risks&lt;/keyword&gt;&lt;keyword&gt;stock market&lt;/keyword&gt;&lt;/keywords&gt;&lt;dates&gt;&lt;year&gt;2024&lt;/year&gt;&lt;pub-dates&gt;&lt;date&gt;2024/01/01&lt;/date&gt;&lt;/pub-dates&gt;&lt;/dates&gt;&lt;publisher&gt;John Wiley &amp;amp; Sons, Ltd&lt;/publisher&gt;&lt;isbn&gt;0378-5920&lt;/isbn&gt;&lt;urls&gt;&lt;related-urls&gt;&lt;url&gt;https://doi.org/10.1111/twec.13529&lt;/url&gt;&lt;/related-urls&gt;&lt;/urls&gt;&lt;electronic-resource-num&gt;https://doi.org/10.1111/twec.13529&lt;/electronic-resource-num&gt;&lt;access-date&gt;2025/08/04&lt;/access-date&gt;&lt;/record&gt;&lt;/Cite&gt;&lt;/EndNote&gt;</w:instrText>
      </w:r>
      <w:r w:rsidR="008D26DA" w:rsidRPr="0053126D">
        <w:rPr>
          <w:rFonts w:ascii="Times New Roman" w:eastAsia="FangSong" w:hAnsi="Times New Roman" w:cs="Times New Roman"/>
          <w:color w:val="000000" w:themeColor="text1"/>
          <w:szCs w:val="22"/>
          <w14:ligatures w14:val="none"/>
        </w:rPr>
        <w:fldChar w:fldCharType="separate"/>
      </w:r>
      <w:r w:rsidR="008D26DA" w:rsidRPr="0053126D">
        <w:rPr>
          <w:rFonts w:ascii="Times New Roman" w:eastAsia="FangSong" w:hAnsi="Times New Roman" w:cs="Times New Roman"/>
          <w:noProof/>
          <w:color w:val="000000" w:themeColor="text1"/>
          <w:szCs w:val="22"/>
          <w14:ligatures w14:val="none"/>
        </w:rPr>
        <w:t>(NguyenHuu &amp; Örsal, 2024)</w:t>
      </w:r>
      <w:r w:rsidR="008D26DA"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but also trigger differentiated responses across industries</w:t>
      </w:r>
      <w:r w:rsidR="00D477D3" w:rsidRPr="0053126D">
        <w:rPr>
          <w:rFonts w:ascii="Times New Roman" w:eastAsia="FangSong" w:hAnsi="Times New Roman" w:cs="Times New Roman"/>
          <w:color w:val="000000" w:themeColor="text1"/>
          <w:szCs w:val="22"/>
          <w14:ligatures w14:val="none"/>
        </w:rPr>
        <w:t xml:space="preserve"> </w:t>
      </w:r>
      <w:r w:rsidR="00D477D3"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&lt;EndNote&gt;&lt;Cite&gt;&lt;Author&gt;Jung&lt;/Author&gt;&lt;Year&gt;2021&lt;/Year&gt;&lt;RecNum&gt;12&lt;/RecNum&gt;&lt;DisplayText&gt;(Jung et al., 2021)&lt;/DisplayText&gt;&lt;record&gt;&lt;rec-number&gt;12&lt;/rec-number&gt;&lt;foreign-keys&gt;&lt;key app="EN" db-id="v0ffzw0attzvegext9k5ed51e5az2zvssta9" timestamp="1754286304"&gt;12&lt;/key&gt;&lt;/foreign-keys&gt;&lt;ref-type name="Journal Article"&gt;17&lt;/ref-type&gt;&lt;contributors&gt;&lt;authors&gt;&lt;author&gt;Jung, Seungho&lt;/author&gt;&lt;author&gt;Lee, Jongmin&lt;/author&gt;&lt;author&gt;Lee, Seohyun&lt;/author&gt;&lt;/authors&gt;&lt;/contributors&gt;&lt;titles&gt;&lt;title&gt;Geopolitical Risk on Stock Returns: Evidence from Inter-Korea Geopolit ics&lt;/title&gt;&lt;secondary-title&gt;IMF Working Papers&lt;/secondary-title&gt;&lt;/titles&gt;&lt;periodical&gt;&lt;full-title&gt;IMF Working Papers&lt;/full-title&gt;&lt;/periodical&gt;&lt;pages&gt;1&lt;/pages&gt;&lt;volume&gt;2021&lt;/volume&gt;&lt;number&gt;251&lt;/number&gt;&lt;dates&gt;&lt;year&gt;2021&lt;/year&gt;&lt;pub-dates&gt;&lt;date&gt;2021/10//&lt;/date&gt;&lt;/pub-dates&gt;&lt;/dates&gt;&lt;isbn&gt;1018-5941&lt;/isbn&gt;&lt;urls&gt;&lt;related-urls&gt;&lt;url&gt;http://dx.doi.org/10.5089/9781557759672.001&lt;/url&gt;&lt;/related-urls&gt;&lt;/urls&gt;&lt;electronic-resource-num&gt;http://dx.doi.org/10.5089/9781557759672.001&lt;/electronic-resource-num&gt;&lt;remote-database-name&gt;Crossref&lt;/remote-database-name&gt;&lt;language&gt;en&lt;/language&gt;&lt;/record&gt;&lt;/Cite&gt;&lt;/EndNote&gt;</w:instrText>
      </w:r>
      <w:r w:rsidR="00D477D3" w:rsidRPr="0053126D">
        <w:rPr>
          <w:rFonts w:ascii="Times New Roman" w:eastAsia="FangSong" w:hAnsi="Times New Roman" w:cs="Times New Roman"/>
          <w:color w:val="000000" w:themeColor="text1"/>
          <w:szCs w:val="22"/>
          <w14:ligatures w14:val="none"/>
        </w:rPr>
        <w:fldChar w:fldCharType="separate"/>
      </w:r>
      <w:r w:rsidR="00D477D3" w:rsidRPr="0053126D">
        <w:rPr>
          <w:rFonts w:ascii="Times New Roman" w:eastAsia="FangSong" w:hAnsi="Times New Roman" w:cs="Times New Roman"/>
          <w:noProof/>
          <w:color w:val="000000" w:themeColor="text1"/>
          <w:szCs w:val="22"/>
          <w14:ligatures w14:val="none"/>
        </w:rPr>
        <w:t>(Jung et al., 2021)</w:t>
      </w:r>
      <w:r w:rsidR="00D477D3"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exhibiting significant inter-sectoral heterogeneity. For example, firms closely linked to sectors such as defense and energy typically face stronger shocks</w:t>
      </w:r>
      <w:r w:rsidR="00FB7A65" w:rsidRPr="0053126D">
        <w:rPr>
          <w:rFonts w:ascii="Times New Roman" w:eastAsia="FangSong" w:hAnsi="Times New Roman" w:cs="Times New Roman"/>
          <w:color w:val="000000" w:themeColor="text1"/>
          <w:szCs w:val="22"/>
          <w14:ligatures w14:val="none"/>
        </w:rPr>
        <w:t xml:space="preserve"> </w:t>
      </w:r>
      <w:r w:rsidR="00FB7A65"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&lt;EndNote&gt;&lt;Cite&gt;&lt;Author&gt;Naimy&lt;/Author&gt;&lt;Year&gt;2025&lt;/Year&gt;&lt;RecNum&gt;32&lt;/RecNum&gt;&lt;DisplayText&gt;(Naimy et al., 2025)&lt;/DisplayText&gt;&lt;record&gt;&lt;rec-number&gt;32&lt;/rec-number&gt;&lt;foreign-keys&gt;&lt;key app="EN" db-id="v0ffzw0attzvegext9k5ed51e5az2zvssta9" timestamp="1754311876"&gt;32&lt;/key&gt;&lt;/foreign-keys&gt;&lt;ref-type name="Journal Article"&gt;17&lt;/ref-type&gt;&lt;contributors&gt;&lt;authors&gt;&lt;author&gt;Naimy, Viviane&lt;/author&gt;&lt;author&gt;Abou Chedid, Tatiana&lt;/author&gt;&lt;author&gt;Abou Saleh, Omar&lt;/author&gt;&lt;author&gt;Bitar, Nicolas&lt;/author&gt;&lt;/authors&gt;&lt;/contributors&gt;&lt;titles&gt;&lt;title&gt;Redefining volatility forecasting in the aerospace and defense sector: application of CEEMDAN-GARCH models&lt;/title&gt;&lt;secondary-title&gt;Humanities and Social Sciences Communications&lt;/secondary-title&gt;&lt;/titles&gt;&lt;periodical&gt;&lt;full-title&gt;Humanities and Social Sciences Communications&lt;/full-title&gt;&lt;/periodical&gt;&lt;pages&gt;727&lt;/pages&gt;&lt;volume&gt;12&lt;/volume&gt;&lt;number&gt;1&lt;/number&gt;&lt;dates&gt;&lt;year&gt;2025&lt;/year&gt;&lt;pub-dates&gt;&lt;date&gt;2025/05/28&lt;/date&gt;&lt;/pub-dates&gt;&lt;/dates&gt;&lt;isbn&gt;2662-9992&lt;/isbn&gt;&lt;urls&gt;&lt;related-urls&gt;&lt;url&gt;https://doi.org/10.1057/s41599-025-05027-z&lt;/url&gt;&lt;/related-urls&gt;&lt;/urls&gt;&lt;electronic-resource-num&gt;https://doi.org/10.1057/s41599-025-05027-z&lt;/electronic-resource-num&gt;&lt;/record&gt;&lt;/Cite&gt;&lt;/EndNote&gt;</w:instrText>
      </w:r>
      <w:r w:rsidR="00FB7A65" w:rsidRPr="0053126D">
        <w:rPr>
          <w:rFonts w:ascii="Times New Roman" w:eastAsia="FangSong" w:hAnsi="Times New Roman" w:cs="Times New Roman"/>
          <w:color w:val="000000" w:themeColor="text1"/>
          <w:szCs w:val="22"/>
          <w14:ligatures w14:val="none"/>
        </w:rPr>
        <w:fldChar w:fldCharType="separate"/>
      </w:r>
      <w:r w:rsidR="00FB7A65" w:rsidRPr="0053126D">
        <w:rPr>
          <w:rFonts w:ascii="Times New Roman" w:eastAsia="FangSong" w:hAnsi="Times New Roman" w:cs="Times New Roman"/>
          <w:noProof/>
          <w:color w:val="000000" w:themeColor="text1"/>
          <w:szCs w:val="22"/>
          <w14:ligatures w14:val="none"/>
        </w:rPr>
        <w:t>(Naimy et al., 2025)</w:t>
      </w:r>
      <w:r w:rsidR="00FB7A6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Multiple geopolitical events (such as nuclear tests coupled with missile launches) can also trigger systemic market volatility, exacerbating stock market panic, pushing up credit spreads, and triggering depreciation pressure on the Korean won, indicating that the market is highly sensitive to “extreme geopolitical scenarios”</w:t>
      </w:r>
      <w:r w:rsidR="00FB7A65" w:rsidRPr="0053126D">
        <w:rPr>
          <w:rFonts w:ascii="Times New Roman" w:eastAsia="FangSong" w:hAnsi="Times New Roman" w:cs="Times New Roman"/>
          <w:color w:val="000000" w:themeColor="text1"/>
          <w:szCs w:val="22"/>
          <w14:ligatures w14:val="none"/>
        </w:rPr>
        <w:t xml:space="preserve"> </w:t>
      </w:r>
      <w:r w:rsidR="00FB7A65" w:rsidRPr="0053126D">
        <w:rPr>
          <w:rFonts w:ascii="Times New Roman" w:eastAsia="FangSong" w:hAnsi="Times New Roman" w:cs="Times New Roman"/>
          <w:color w:val="000000" w:themeColor="text1"/>
          <w:szCs w:val="22"/>
          <w14:ligatures w14:val="none"/>
        </w:rPr>
        <w:fldChar w:fldCharType="begin"/>
      </w:r>
      <w:r w:rsidR="00FB7A65" w:rsidRPr="0053126D">
        <w:rPr>
          <w:rFonts w:ascii="Times New Roman" w:eastAsia="FangSong" w:hAnsi="Times New Roman" w:cs="Times New Roman"/>
          <w:color w:val="000000" w:themeColor="text1"/>
          <w:szCs w:val="22"/>
          <w14:ligatures w14:val="none"/>
        </w:rPr>
        <w:instrText xml:space="preserve"> ADDIN EN.CITE &lt;EndNote&gt;&lt;Cite&gt;&lt;Author&gt;Ha&lt;/Author&gt;&lt;Year&gt;2022&lt;/Year&gt;&lt;RecNum&gt;33&lt;/RecNum&gt;&lt;DisplayText&gt;(Ha et al., 2022)&lt;/DisplayText&gt;&lt;record&gt;&lt;rec-number&gt;33&lt;/rec-number&gt;&lt;foreign-keys&gt;&lt;key app="EN" db-id="v0ffzw0attzvegext9k5ed51e5az2zvssta9" timestamp="1754312186"&gt;33&lt;/key&gt;&lt;/foreign-keys&gt;&lt;ref-type name="Journal Article"&gt;17&lt;/ref-type&gt;&lt;contributors&gt;&lt;authors&gt;&lt;author&gt;Ha, Jongrim&lt;/author&gt;&lt;author&gt;Lee, Seohyun&lt;/author&gt;&lt;author&gt;So, Inhwan&lt;/author&gt;&lt;/authors&gt;&lt;/contributors&gt;&lt;titles&gt;&lt;title&gt;The Impact of Uncertainty Shocks: Evidence from Geopolitical Swings on the Korean Peninsula&lt;/title&gt;&lt;secondary-title&gt;Oxford Bulletin of Economics and Statistics&lt;/secondary-title&gt;&lt;/titles&gt;&lt;periodical&gt;&lt;full-title&gt;Oxford Bulletin of Economics and Statistics&lt;/full-title&gt;&lt;/periodical&gt;&lt;pages&gt;21-56&lt;/pages&gt;&lt;volume&gt;84&lt;/volume&gt;&lt;number&gt;1&lt;/number&gt;&lt;dates&gt;&lt;year&gt;2022&lt;/year&gt;&lt;pub-dates&gt;&lt;date&gt;2022/02/01&lt;/date&gt;&lt;/pub-dates&gt;&lt;/dates&gt;&lt;publisher&gt;John Wiley &amp;amp; Sons, Ltd&lt;/publisher&gt;&lt;isbn&gt;0305-9049&lt;/isbn&gt;&lt;urls&gt;&lt;related-urls&gt;&lt;url&gt;https://doi.org/10.1111/obes.12456&lt;/url&gt;&lt;/related-urls&gt;&lt;/urls&gt;&lt;electronic-resource-num&gt;https://doi.org/10.1111/obes.12456&lt;/electronic-resource-num&gt;&lt;access-date&gt;2025/08/04&lt;/access-date&gt;&lt;/record&gt;&lt;/Cite&gt;&lt;/EndNote&gt;</w:instrText>
      </w:r>
      <w:r w:rsidR="00FB7A65" w:rsidRPr="0053126D">
        <w:rPr>
          <w:rFonts w:ascii="Times New Roman" w:eastAsia="FangSong" w:hAnsi="Times New Roman" w:cs="Times New Roman"/>
          <w:color w:val="000000" w:themeColor="text1"/>
          <w:szCs w:val="22"/>
          <w14:ligatures w14:val="none"/>
        </w:rPr>
        <w:fldChar w:fldCharType="separate"/>
      </w:r>
      <w:r w:rsidR="00FB7A65" w:rsidRPr="0053126D">
        <w:rPr>
          <w:rFonts w:ascii="Times New Roman" w:eastAsia="FangSong" w:hAnsi="Times New Roman" w:cs="Times New Roman"/>
          <w:noProof/>
          <w:color w:val="000000" w:themeColor="text1"/>
          <w:szCs w:val="22"/>
          <w14:ligatures w14:val="none"/>
        </w:rPr>
        <w:t>(Ha et al., 2022)</w:t>
      </w:r>
      <w:r w:rsidR="00FB7A6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p>
    <w:p w14:paraId="5FCE5547" w14:textId="18728D5B"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To more effectively capture the immediate market response and risk perception, some studies have introduced the Search Volume Index (SVI) as a proxy for investor sentiment. </w:t>
      </w:r>
      <w:r w:rsidR="00FB7A65" w:rsidRPr="0053126D">
        <w:rPr>
          <w:rFonts w:ascii="Times New Roman" w:eastAsia="FangSong" w:hAnsi="Times New Roman" w:cs="Times New Roman"/>
          <w:color w:val="000000" w:themeColor="text1"/>
          <w:szCs w:val="22"/>
          <w14:ligatures w14:val="none"/>
        </w:rPr>
        <w:fldChar w:fldCharType="begin"/>
      </w:r>
      <w:r w:rsidR="00FB7A65" w:rsidRPr="0053126D">
        <w:rPr>
          <w:rFonts w:ascii="Times New Roman" w:eastAsia="FangSong" w:hAnsi="Times New Roman" w:cs="Times New Roman"/>
          <w:color w:val="000000" w:themeColor="text1"/>
          <w:szCs w:val="22"/>
          <w14:ligatures w14:val="none"/>
        </w:rPr>
        <w:instrText xml:space="preserve"> ADDIN EN.CITE &lt;EndNote&gt;&lt;Cite AuthorYear="1"&gt;&lt;Author&gt;Huh&lt;/Author&gt;&lt;Year&gt;2018&lt;/Year&gt;&lt;RecNum&gt;4&lt;/RecNum&gt;&lt;DisplayText&gt;Huh and Pyun (2018)&lt;/DisplayText&gt;&lt;record&gt;&lt;rec-number&gt;4&lt;/rec-number&gt;&lt;foreign-keys&gt;&lt;key app="EN" db-id="v0ffzw0attzvegext9k5ed51e5az2zvssta9" timestamp="1754283304"&gt;4&lt;/key&gt;&lt;/foreign-keys&gt;&lt;ref-type name="Journal Article"&gt;17&lt;/ref-type&gt;&lt;contributors&gt;&lt;authors&gt;&lt;author&gt;Huh, In&lt;/author&gt;&lt;author&gt;Pyun, Ju Hyun&lt;/author&gt;&lt;/authors&gt;&lt;/contributors&gt;&lt;titles&gt;&lt;title&gt;Does Nuclear Uncertainty Threaten Financial Markets? The Attention Paid to North Korean Nuclear Threats and Its Impact on South Korea&amp;apos;s Financial Markets&lt;/title&gt;&lt;secondary-title&gt;Asian Economic Journal&lt;/secondary-title&gt;&lt;/titles&gt;&lt;periodical&gt;&lt;full-title&gt;Asian Economic Journal&lt;/full-title&gt;&lt;/periodical&gt;&lt;pages&gt;55-82&lt;/pages&gt;&lt;volume&gt;32&lt;/volume&gt;&lt;number&gt;1&lt;/number&gt;&lt;keywords&gt;&lt;keyword&gt;block exogeneity&lt;/keyword&gt;&lt;keyword&gt;Google search volume index&lt;/keyword&gt;&lt;keyword&gt;investor attention&lt;/keyword&gt;&lt;keyword&gt;North Korean nuclear risk&lt;/keyword&gt;&lt;keyword&gt;political risk&lt;/keyword&gt;&lt;keyword&gt;structural vector autoregression model&lt;/keyword&gt;&lt;/keywords&gt;&lt;dates&gt;&lt;year&gt;2018&lt;/year&gt;&lt;pub-dates&gt;&lt;date&gt;2018/03/01&lt;/date&gt;&lt;/pub-dates&gt;&lt;/dates&gt;&lt;publisher&gt;John Wiley &amp;amp; Sons, Ltd&lt;/publisher&gt;&lt;isbn&gt;1351-3958&lt;/isbn&gt;&lt;urls&gt;&lt;related-urls&gt;&lt;url&gt;https://doi.org/10.1111/asej.12142&lt;/url&gt;&lt;/related-urls&gt;&lt;/urls&gt;&lt;electronic-resource-num&gt;https://doi.org/10.1111/asej.12142&lt;/electronic-resource-num&gt;&lt;access-date&gt;2025/08/03&lt;/access-date&gt;&lt;/record&gt;&lt;/Cite&gt;&lt;/EndNote&gt;</w:instrText>
      </w:r>
      <w:r w:rsidR="00FB7A65" w:rsidRPr="0053126D">
        <w:rPr>
          <w:rFonts w:ascii="Times New Roman" w:eastAsia="FangSong" w:hAnsi="Times New Roman" w:cs="Times New Roman"/>
          <w:color w:val="000000" w:themeColor="text1"/>
          <w:szCs w:val="22"/>
          <w14:ligatures w14:val="none"/>
        </w:rPr>
        <w:fldChar w:fldCharType="separate"/>
      </w:r>
      <w:r w:rsidR="00FB7A65" w:rsidRPr="0053126D">
        <w:rPr>
          <w:rFonts w:ascii="Times New Roman" w:eastAsia="FangSong" w:hAnsi="Times New Roman" w:cs="Times New Roman"/>
          <w:noProof/>
          <w:color w:val="000000" w:themeColor="text1"/>
          <w:szCs w:val="22"/>
          <w14:ligatures w14:val="none"/>
        </w:rPr>
        <w:t>Huh and Pyun (2018)</w:t>
      </w:r>
      <w:r w:rsidR="00FB7A6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found that </w:t>
      </w:r>
      <w:r w:rsidRPr="0053126D">
        <w:rPr>
          <w:rFonts w:ascii="Times New Roman" w:eastAsia="FangSong" w:hAnsi="Times New Roman" w:cs="Times New Roman"/>
          <w:color w:val="000000" w:themeColor="text1"/>
          <w:szCs w:val="22"/>
          <w14:ligatures w14:val="none"/>
        </w:rPr>
        <w:lastRenderedPageBreak/>
        <w:t xml:space="preserve">in the early stages of geopolitical threats, the SVI rose significantly and was closely related to abnormal volatility in financial asset prices. However, as related events recurred, market sensitivity showed a downward trend, reflecting that investors may have developed risk “familiarity” or an “adaptation effect”. Similarly, </w:t>
      </w:r>
      <w:r w:rsidR="00FB7A65" w:rsidRPr="0053126D">
        <w:rPr>
          <w:rFonts w:ascii="Times New Roman" w:eastAsia="FangSong" w:hAnsi="Times New Roman" w:cs="Times New Roman"/>
          <w:color w:val="000000" w:themeColor="text1"/>
          <w:szCs w:val="22"/>
          <w14:ligatures w14:val="none"/>
        </w:rPr>
        <w:fldChar w:fldCharType="begin"/>
      </w:r>
      <w:r w:rsidR="00FB7A65" w:rsidRPr="0053126D">
        <w:rPr>
          <w:rFonts w:ascii="Times New Roman" w:eastAsia="FangSong" w:hAnsi="Times New Roman" w:cs="Times New Roman"/>
          <w:color w:val="000000" w:themeColor="text1"/>
          <w:szCs w:val="22"/>
          <w14:ligatures w14:val="none"/>
        </w:rPr>
        <w:instrText xml:space="preserve"> ADDIN EN.CITE &lt;EndNote&gt;&lt;Cite AuthorYear="1"&gt;&lt;Author&gt;Park&lt;/Author&gt;&lt;Year&gt;2020&lt;/Year&gt;&lt;RecNum&gt;34&lt;/RecNum&gt;&lt;DisplayText&gt;Park and Park (2020)&lt;/DisplayText&gt;&lt;record&gt;&lt;rec-number&gt;34&lt;/rec-number&gt;&lt;foreign-keys&gt;&lt;key app="EN" db-id="v0ffzw0attzvegext9k5ed51e5az2zvssta9" timestamp="1754312407"&gt;34&lt;/key&gt;&lt;/foreign-keys&gt;&lt;ref-type name="Journal Article"&gt;17&lt;/ref-type&gt;&lt;contributors&gt;&lt;authors&gt;&lt;author&gt;Park, Cheolbeom&lt;/author&gt;&lt;author&gt;Park, Suyeon&lt;/author&gt;&lt;/authors&gt;&lt;/contributors&gt;&lt;titles&gt;&lt;title&gt;Rare disaster risk and exchange rates: An empirical investigation of South Korean exchange rates under tension between the two Koreas&lt;/title&gt;&lt;secondary-title&gt;Finance Research Letters&lt;/secondary-title&gt;&lt;/titles&gt;&lt;periodical&gt;&lt;full-title&gt;Finance Research Letters&lt;/full-title&gt;&lt;/periodical&gt;&lt;pages&gt;101314&lt;/pages&gt;&lt;volume&gt;36&lt;/volume&gt;&lt;keywords&gt;&lt;keyword&gt;Rare disasters&lt;/keyword&gt;&lt;keyword&gt;Exchange rate&lt;/keyword&gt;&lt;keyword&gt;Nonparametric regression&lt;/keyword&gt;&lt;keyword&gt;Event study&lt;/keyword&gt;&lt;/keywords&gt;&lt;dates&gt;&lt;year&gt;2020&lt;/year&gt;&lt;pub-dates&gt;&lt;date&gt;2020/10/01/&lt;/date&gt;&lt;/pub-dates&gt;&lt;/dates&gt;&lt;isbn&gt;1544-6123&lt;/isbn&gt;&lt;urls&gt;&lt;related-urls&gt;&lt;url&gt;https://www.sciencedirect.com/science/article/pii/S1544612319303903&lt;/url&gt;&lt;/related-urls&gt;&lt;/urls&gt;&lt;electronic-resource-num&gt;https://doi.org/10.1016/j.frl.2019.101314&lt;/electronic-resource-num&gt;&lt;/record&gt;&lt;/Cite&gt;&lt;/EndNote&gt;</w:instrText>
      </w:r>
      <w:r w:rsidR="00FB7A65" w:rsidRPr="0053126D">
        <w:rPr>
          <w:rFonts w:ascii="Times New Roman" w:eastAsia="FangSong" w:hAnsi="Times New Roman" w:cs="Times New Roman"/>
          <w:color w:val="000000" w:themeColor="text1"/>
          <w:szCs w:val="22"/>
          <w14:ligatures w14:val="none"/>
        </w:rPr>
        <w:fldChar w:fldCharType="separate"/>
      </w:r>
      <w:r w:rsidR="00FB7A65" w:rsidRPr="0053126D">
        <w:rPr>
          <w:rFonts w:ascii="Times New Roman" w:eastAsia="FangSong" w:hAnsi="Times New Roman" w:cs="Times New Roman"/>
          <w:noProof/>
          <w:color w:val="000000" w:themeColor="text1"/>
          <w:szCs w:val="22"/>
          <w14:ligatures w14:val="none"/>
        </w:rPr>
        <w:t>Park and Park (2020)</w:t>
      </w:r>
      <w:r w:rsidR="00FB7A65"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pointed out that the market's response to North Korean nuclear activities has gradually accelerated, particularly demonstrating a certain regulatory capacity in the foreign exchange market, indicating the existence of short-term adaptive mechanisms.</w:t>
      </w:r>
    </w:p>
    <w:p w14:paraId="09AA5EA3" w14:textId="45FCDF5E"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10" w:name="OLE_LINK26"/>
      <w:r w:rsidRPr="0053126D">
        <w:rPr>
          <w:rFonts w:ascii="Times New Roman" w:eastAsia="FangSong" w:hAnsi="Times New Roman" w:cs="Times New Roman"/>
          <w:color w:val="000000" w:themeColor="text1"/>
          <w:szCs w:val="22"/>
          <w14:ligatures w14:val="none"/>
        </w:rPr>
        <w:t xml:space="preserve">Beyond short-term shock studies, some literature has also begun to focus on the impact of policy communication and diplomatic expectations on the market. </w:t>
      </w:r>
      <w:r w:rsidR="00226262"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 AuthorYear="1"&gt;&lt;Author&gt;M. Al-Awadhi&lt;/Author&gt;&lt;Year&gt;2025&lt;/Year&gt;&lt;RecNum&gt;36&lt;/RecNum&gt;&lt;DisplayText&gt;M. Al-Awadhi et al. (2025)&lt;/DisplayText&gt;&lt;record&gt;&lt;rec-number&gt;36&lt;/rec-number&gt;&lt;foreign-keys&gt;&lt;key app="EN" db-id="v0ffzw0attzvegext9k5ed51e5az2zvssta9" timestamp="1754313232"&gt;36&lt;/key&gt;&lt;/foreign-keys&gt;&lt;ref-type name="Journal Article"&gt;17&lt;/ref-type&gt;&lt;contributors&gt;&lt;authors&gt;&lt;author&gt;M. Al-Awadhi, Abdullah&lt;/author&gt;&lt;author&gt;Bash, Ahmad&lt;/author&gt;&lt;author&gt;Algharabali, Barrak&lt;/author&gt;&lt;author&gt;Al-Failakawi, Abdulrahman Y.&lt;/author&gt;&lt;/authors&gt;&lt;/contributors&gt;&lt;titles&gt;&lt;title&gt;From chaos to consensus: an event study on the Korean stock market&lt;/title&gt;&lt;secondary-title&gt;Cogent Economics &amp;amp; Finance&lt;/secondary-title&gt;&lt;/titles&gt;&lt;periodical&gt;&lt;full-title&gt;Cogent Economics &amp;amp; Finance&lt;/full-title&gt;&lt;/periodical&gt;&lt;pages&gt;2502437&lt;/pages&gt;&lt;volume&gt;13&lt;/volume&gt;&lt;number&gt;1&lt;/number&gt;&lt;dates&gt;&lt;year&gt;2025&lt;/year&gt;&lt;pub-dates&gt;&lt;date&gt;2025/12/31&lt;/date&gt;&lt;/pub-dates&gt;&lt;/dates&gt;&lt;publisher&gt;Cogent OA&lt;/publisher&gt;&lt;isbn&gt;null&lt;/isbn&gt;&lt;urls&gt;&lt;related-urls&gt;&lt;url&gt;https://doi.org/10.1080/23322039.2025.2502437&lt;/url&gt;&lt;/related-urls&gt;&lt;/urls&gt;&lt;electronic-resource-num&gt;https://doi.org/10.1080/23322039.2025.2502437&lt;/electronic-resource-num&gt;&lt;/record&gt;&lt;/Cite&gt;&lt;/EndNote&gt;</w:instrText>
      </w:r>
      <w:r w:rsidR="00226262" w:rsidRPr="0053126D">
        <w:rPr>
          <w:rFonts w:ascii="Times New Roman" w:eastAsia="FangSong" w:hAnsi="Times New Roman" w:cs="Times New Roman"/>
          <w:color w:val="000000" w:themeColor="text1"/>
          <w:szCs w:val="22"/>
          <w14:ligatures w14:val="none"/>
        </w:rPr>
        <w:fldChar w:fldCharType="separate"/>
      </w:r>
      <w:r w:rsidR="00226262" w:rsidRPr="0053126D">
        <w:rPr>
          <w:rFonts w:ascii="Times New Roman" w:eastAsia="FangSong" w:hAnsi="Times New Roman" w:cs="Times New Roman"/>
          <w:noProof/>
          <w:color w:val="000000" w:themeColor="text1"/>
          <w:szCs w:val="22"/>
          <w14:ligatures w14:val="none"/>
        </w:rPr>
        <w:t>M. Al-Awadhi et al. (2025)</w:t>
      </w:r>
      <w:r w:rsidR="00226262" w:rsidRPr="0053126D">
        <w:rPr>
          <w:rFonts w:ascii="Times New Roman" w:eastAsia="FangSong" w:hAnsi="Times New Roman" w:cs="Times New Roman"/>
          <w:color w:val="000000" w:themeColor="text1"/>
          <w:szCs w:val="22"/>
          <w14:ligatures w14:val="none"/>
        </w:rPr>
        <w:fldChar w:fldCharType="end"/>
      </w:r>
      <w:r w:rsidR="00226262"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found through an event study that major unexpected events on the Korean Peninsula often triggered short-term volatility in the South Korean stock market</w:t>
      </w:r>
      <w:r w:rsidR="00226262" w:rsidRPr="0053126D">
        <w:rPr>
          <w:rFonts w:ascii="Times New Roman" w:eastAsia="FangSong" w:hAnsi="Times New Roman" w:cs="Times New Roman"/>
          <w:color w:val="000000" w:themeColor="text1"/>
          <w:szCs w:val="22"/>
          <w14:ligatures w14:val="none"/>
        </w:rPr>
        <w:t>.</w:t>
      </w:r>
      <w:r w:rsidRPr="0053126D">
        <w:rPr>
          <w:rFonts w:ascii="Times New Roman" w:eastAsia="FangSong" w:hAnsi="Times New Roman" w:cs="Times New Roman"/>
          <w:color w:val="000000" w:themeColor="text1"/>
          <w:szCs w:val="22"/>
          <w14:ligatures w14:val="none"/>
        </w:rPr>
        <w:t xml:space="preserve"> In recent years, research on inter-Korean summit talks and peace negotiations has also become increasingly rich. </w:t>
      </w:r>
      <w:r w:rsidR="00226262" w:rsidRPr="0053126D">
        <w:rPr>
          <w:rFonts w:ascii="Times New Roman" w:eastAsia="FangSong" w:hAnsi="Times New Roman" w:cs="Times New Roman"/>
          <w:color w:val="000000" w:themeColor="text1"/>
          <w:szCs w:val="22"/>
          <w14:ligatures w14:val="none"/>
        </w:rPr>
        <w:fldChar w:fldCharType="begin"/>
      </w:r>
      <w:r w:rsidR="00226262" w:rsidRPr="0053126D">
        <w:rPr>
          <w:rFonts w:ascii="Times New Roman" w:eastAsia="FangSong" w:hAnsi="Times New Roman" w:cs="Times New Roman"/>
          <w:color w:val="000000" w:themeColor="text1"/>
          <w:szCs w:val="22"/>
          <w14:ligatures w14:val="none"/>
        </w:rPr>
        <w:instrText xml:space="preserve"> ADDIN EN.CITE &lt;EndNote&gt;&lt;Cite AuthorYear="1"&gt;&lt;Author&gt;Lee&lt;/Author&gt;&lt;Year&gt;2020&lt;/Year&gt;&lt;RecNum&gt;37&lt;/RecNum&gt;&lt;DisplayText&gt;Lee and Yoo (2020)&lt;/DisplayText&gt;&lt;record&gt;&lt;rec-number&gt;37&lt;/rec-number&gt;&lt;foreign-keys&gt;&lt;key app="EN" db-id="v0ffzw0attzvegext9k5ed51e5az2zvssta9" timestamp="1754313493"&gt;37&lt;/key&gt;&lt;/foreign-keys&gt;&lt;ref-type name="Journal Article"&gt;17&lt;/ref-type&gt;&lt;contributors&gt;&lt;authors&gt;&lt;author&gt;Lee, Inho&lt;/author&gt;&lt;author&gt;Yoo, Shiyong&lt;/author&gt;&lt;/authors&gt;&lt;/contributors&gt;&lt;titles&gt;&lt;title&gt;Does peace boost stock prices? Evidence from the Korean stock market&lt;/title&gt;&lt;secondary-title&gt;Journal of Asian Economics&lt;/secondary-title&gt;&lt;/titles&gt;&lt;periodical&gt;&lt;full-title&gt;Journal of Asian Economics&lt;/full-title&gt;&lt;/periodical&gt;&lt;pages&gt;101247&lt;/pages&gt;&lt;volume&gt;71&lt;/volume&gt;&lt;keywords&gt;&lt;keyword&gt;Summit&lt;/keyword&gt;&lt;keyword&gt;Event study&lt;/keyword&gt;&lt;keyword&gt;Efficient market hypothesis&lt;/keyword&gt;&lt;keyword&gt;Cumulative abnormal return&lt;/keyword&gt;&lt;keyword&gt;North Korea&lt;/keyword&gt;&lt;/keywords&gt;&lt;dates&gt;&lt;year&gt;2020&lt;/year&gt;&lt;pub-dates&gt;&lt;date&gt;2020/12/01/&lt;/date&gt;&lt;/pub-dates&gt;&lt;/dates&gt;&lt;isbn&gt;1049-0078&lt;/isbn&gt;&lt;urls&gt;&lt;related-urls&gt;&lt;url&gt;https://www.sciencedirect.com/science/article/pii/S1049007820301275&lt;/url&gt;&lt;/related-urls&gt;&lt;/urls&gt;&lt;electronic-resource-num&gt;https://doi.org/10.1016/j.asieco.2020.101247&lt;/electronic-resource-num&gt;&lt;/record&gt;&lt;/Cite&gt;&lt;/EndNote&gt;</w:instrText>
      </w:r>
      <w:r w:rsidR="00226262" w:rsidRPr="0053126D">
        <w:rPr>
          <w:rFonts w:ascii="Times New Roman" w:eastAsia="FangSong" w:hAnsi="Times New Roman" w:cs="Times New Roman"/>
          <w:color w:val="000000" w:themeColor="text1"/>
          <w:szCs w:val="22"/>
          <w14:ligatures w14:val="none"/>
        </w:rPr>
        <w:fldChar w:fldCharType="separate"/>
      </w:r>
      <w:r w:rsidR="00226262" w:rsidRPr="0053126D">
        <w:rPr>
          <w:rFonts w:ascii="Times New Roman" w:eastAsia="FangSong" w:hAnsi="Times New Roman" w:cs="Times New Roman"/>
          <w:color w:val="000000" w:themeColor="text1"/>
          <w:szCs w:val="22"/>
          <w14:ligatures w14:val="none"/>
        </w:rPr>
        <w:t>Lee and Yoo (2020)</w:t>
      </w:r>
      <w:r w:rsidR="00226262"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found that the market exhibited significant cumulative abnormal returns (CAR) in response to information related to the peace process. Companies involved in inter-Korean economic cooperation typically received positive excess returns, while defense-related companies exhibited negative expectations. This suggests that the market not only responds quickly to geopolitical information but also makes structural judgments based on its nature and direction.</w:t>
      </w:r>
    </w:p>
    <w:bookmarkEnd w:id="10"/>
    <w:p w14:paraId="4671A748" w14:textId="2A4D3417" w:rsidR="00171E1B" w:rsidRPr="0053126D" w:rsidRDefault="008814F3" w:rsidP="00171E1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Overall, </w:t>
      </w:r>
      <w:r w:rsidR="009A3AD8" w:rsidRPr="0053126D">
        <w:rPr>
          <w:rFonts w:ascii="Times New Roman" w:eastAsia="FangSong" w:hAnsi="Times New Roman" w:cs="Times New Roman" w:hint="eastAsia"/>
          <w:color w:val="000000" w:themeColor="text1"/>
          <w:szCs w:val="22"/>
          <w14:ligatures w14:val="none"/>
        </w:rPr>
        <w:t>the existing literature has systematically revealed the short-term impact of geopolitical events on South Korea's financial markets, emphasizing abnormal volatility in asset prices both before and after these</w:t>
      </w:r>
      <w:r w:rsidRPr="0053126D">
        <w:rPr>
          <w:rFonts w:ascii="Times New Roman" w:eastAsia="FangSong" w:hAnsi="Times New Roman" w:cs="Times New Roman"/>
          <w:color w:val="000000" w:themeColor="text1"/>
          <w:szCs w:val="22"/>
          <w14:ligatures w14:val="none"/>
        </w:rPr>
        <w:t xml:space="preserve"> events. However, research on the long-term dimension </w:t>
      </w:r>
      <w:r w:rsidR="009A3AD8" w:rsidRPr="0053126D">
        <w:rPr>
          <w:rFonts w:ascii="Times New Roman" w:eastAsia="FangSong" w:hAnsi="Times New Roman" w:cs="Times New Roman" w:hint="eastAsia"/>
          <w:color w:val="000000" w:themeColor="text1"/>
          <w:szCs w:val="22"/>
          <w14:ligatures w14:val="none"/>
        </w:rPr>
        <w:t>remains clearly insufficient, particularly in</w:t>
      </w:r>
      <w:r w:rsidRPr="0053126D">
        <w:rPr>
          <w:rFonts w:ascii="Times New Roman" w:eastAsia="FangSong" w:hAnsi="Times New Roman" w:cs="Times New Roman"/>
          <w:color w:val="000000" w:themeColor="text1"/>
          <w:szCs w:val="22"/>
          <w14:ligatures w14:val="none"/>
        </w:rPr>
        <w:t xml:space="preserve"> explaining how </w:t>
      </w:r>
      <w:r w:rsidR="00403730" w:rsidRPr="0053126D">
        <w:rPr>
          <w:rFonts w:ascii="Times New Roman" w:eastAsia="FangSong" w:hAnsi="Times New Roman" w:cs="Times New Roman"/>
          <w:color w:val="000000" w:themeColor="text1"/>
          <w:szCs w:val="22"/>
          <w14:ligatures w14:val="none"/>
        </w:rPr>
        <w:t>GPRs</w:t>
      </w:r>
      <w:r w:rsidRPr="0053126D">
        <w:rPr>
          <w:rFonts w:ascii="Times New Roman" w:eastAsia="FangSong" w:hAnsi="Times New Roman" w:cs="Times New Roman"/>
          <w:color w:val="000000" w:themeColor="text1"/>
          <w:szCs w:val="22"/>
          <w14:ligatures w14:val="none"/>
        </w:rPr>
        <w:t xml:space="preserve"> are gradually transmitted and internalized into market volatility through intermediary variables such as investor risk expectations, international capital flow paths, and market restructuring mechanisms.</w:t>
      </w:r>
      <w:r w:rsidR="006C777B" w:rsidRPr="0053126D">
        <w:rPr>
          <w:rFonts w:ascii="Times New Roman" w:eastAsia="FangSong" w:hAnsi="Times New Roman" w:cs="Times New Roman" w:hint="eastAsia"/>
          <w:color w:val="000000" w:themeColor="text1"/>
          <w:szCs w:val="22"/>
          <w14:ligatures w14:val="none"/>
        </w:rPr>
        <w:t xml:space="preserve"> </w:t>
      </w:r>
      <w:r w:rsidR="00403730" w:rsidRPr="0053126D">
        <w:rPr>
          <w:rFonts w:ascii="Times New Roman" w:eastAsia="FangSong" w:hAnsi="Times New Roman" w:cs="Times New Roman"/>
          <w:color w:val="000000" w:themeColor="text1"/>
          <w:szCs w:val="22"/>
          <w14:ligatures w14:val="none"/>
        </w:rPr>
        <w:t>GPR</w:t>
      </w:r>
      <w:r w:rsidR="00171E1B" w:rsidRPr="0053126D">
        <w:rPr>
          <w:rFonts w:ascii="Times New Roman" w:eastAsia="FangSong" w:hAnsi="Times New Roman" w:cs="Times New Roman"/>
          <w:color w:val="000000" w:themeColor="text1"/>
          <w:szCs w:val="22"/>
          <w14:ligatures w14:val="none"/>
        </w:rPr>
        <w:t>, as an exogenous, non-economic shock variable, can significantly enhance the predictive accuracy of volatility models in high-volatility environments, supplementing the explanatory power of traditional macroeconomic indicators</w:t>
      </w:r>
      <w:r w:rsidR="00261E78" w:rsidRPr="0053126D">
        <w:rPr>
          <w:rFonts w:ascii="Times New Roman" w:eastAsia="FangSong" w:hAnsi="Times New Roman" w:cs="Times New Roman"/>
          <w:color w:val="000000" w:themeColor="text1"/>
          <w:szCs w:val="22"/>
          <w14:ligatures w14:val="none"/>
        </w:rPr>
        <w:t xml:space="preserve"> </w:t>
      </w:r>
      <w:r w:rsidR="00261E78" w:rsidRPr="0053126D">
        <w:rPr>
          <w:rFonts w:ascii="Times New Roman" w:eastAsia="FangSong" w:hAnsi="Times New Roman" w:cs="Times New Roman"/>
          <w:color w:val="000000" w:themeColor="text1"/>
          <w:szCs w:val="22"/>
          <w14:ligatures w14:val="none"/>
        </w:rPr>
        <w:fldChar w:fldCharType="begin">
          <w:fldData xml:space="preserve">PEVuZE5vdGU+PENpdGU+PEF1dGhvcj5Gb2dsaWE8L0F1dGhvcj48WWVhcj4yMDI1PC9ZZWFyPjxS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</w:fldData>
        </w:fldChar>
      </w:r>
      <w:r w:rsidR="00261E78" w:rsidRPr="0053126D">
        <w:rPr>
          <w:rFonts w:ascii="Times New Roman" w:eastAsia="FangSong" w:hAnsi="Times New Roman" w:cs="Times New Roman"/>
          <w:color w:val="000000" w:themeColor="text1"/>
          <w:szCs w:val="22"/>
          <w14:ligatures w14:val="none"/>
        </w:rPr>
        <w:instrText xml:space="preserve"> ADDIN EN.CITE </w:instrText>
      </w:r>
      <w:r w:rsidR="00261E78" w:rsidRPr="0053126D">
        <w:rPr>
          <w:rFonts w:ascii="Times New Roman" w:eastAsia="FangSong" w:hAnsi="Times New Roman" w:cs="Times New Roman"/>
          <w:color w:val="000000" w:themeColor="text1"/>
          <w:szCs w:val="22"/>
          <w14:ligatures w14:val="none"/>
        </w:rPr>
        <w:fldChar w:fldCharType="begin">
          <w:fldData xml:space="preserve">PEVuZE5vdGU+PENpdGU+PEF1dGhvcj5Gb2dsaWE8L0F1dGhvcj48WWVhcj4yMDI1PC9ZZWFyPjxS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</w:fldData>
        </w:fldChar>
      </w:r>
      <w:r w:rsidR="00261E78" w:rsidRPr="0053126D">
        <w:rPr>
          <w:rFonts w:ascii="Times New Roman" w:eastAsia="FangSong" w:hAnsi="Times New Roman" w:cs="Times New Roman"/>
          <w:color w:val="000000" w:themeColor="text1"/>
          <w:szCs w:val="22"/>
          <w14:ligatures w14:val="none"/>
        </w:rPr>
        <w:instrText xml:space="preserve"> ADDIN EN.CITE.DATA </w:instrText>
      </w:r>
      <w:r w:rsidR="00261E78" w:rsidRPr="0053126D">
        <w:rPr>
          <w:rFonts w:ascii="Times New Roman" w:eastAsia="FangSong" w:hAnsi="Times New Roman" w:cs="Times New Roman"/>
          <w:color w:val="000000" w:themeColor="text1"/>
          <w:szCs w:val="22"/>
          <w14:ligatures w14:val="none"/>
        </w:rPr>
      </w:r>
      <w:r w:rsidR="00261E78" w:rsidRPr="0053126D">
        <w:rPr>
          <w:rFonts w:ascii="Times New Roman" w:eastAsia="FangSong" w:hAnsi="Times New Roman" w:cs="Times New Roman"/>
          <w:color w:val="000000" w:themeColor="text1"/>
          <w:szCs w:val="22"/>
          <w14:ligatures w14:val="none"/>
        </w:rPr>
        <w:fldChar w:fldCharType="end"/>
      </w:r>
      <w:r w:rsidR="00261E78" w:rsidRPr="0053126D">
        <w:rPr>
          <w:rFonts w:ascii="Times New Roman" w:eastAsia="FangSong" w:hAnsi="Times New Roman" w:cs="Times New Roman"/>
          <w:color w:val="000000" w:themeColor="text1"/>
          <w:szCs w:val="22"/>
          <w14:ligatures w14:val="none"/>
        </w:rPr>
      </w:r>
      <w:r w:rsidR="00261E78" w:rsidRPr="0053126D">
        <w:rPr>
          <w:rFonts w:ascii="Times New Roman" w:eastAsia="FangSong" w:hAnsi="Times New Roman" w:cs="Times New Roman"/>
          <w:color w:val="000000" w:themeColor="text1"/>
          <w:szCs w:val="22"/>
          <w14:ligatures w14:val="none"/>
        </w:rPr>
        <w:fldChar w:fldCharType="separate"/>
      </w:r>
      <w:r w:rsidR="00261E78" w:rsidRPr="0053126D">
        <w:rPr>
          <w:rFonts w:ascii="Times New Roman" w:eastAsia="FangSong" w:hAnsi="Times New Roman" w:cs="Times New Roman"/>
          <w:noProof/>
          <w:color w:val="000000" w:themeColor="text1"/>
          <w:szCs w:val="22"/>
          <w14:ligatures w14:val="none"/>
        </w:rPr>
        <w:t>(Foglia et al., 2025; Li &amp; Liu, 2025)</w:t>
      </w:r>
      <w:r w:rsidR="00261E78" w:rsidRPr="0053126D">
        <w:rPr>
          <w:rFonts w:ascii="Times New Roman" w:eastAsia="FangSong" w:hAnsi="Times New Roman" w:cs="Times New Roman"/>
          <w:color w:val="000000" w:themeColor="text1"/>
          <w:szCs w:val="22"/>
          <w14:ligatures w14:val="none"/>
        </w:rPr>
        <w:fldChar w:fldCharType="end"/>
      </w:r>
      <w:r w:rsidR="00171E1B" w:rsidRPr="0053126D">
        <w:rPr>
          <w:rFonts w:ascii="Times New Roman" w:eastAsia="FangSong" w:hAnsi="Times New Roman" w:cs="Times New Roman"/>
          <w:color w:val="000000" w:themeColor="text1"/>
          <w:szCs w:val="22"/>
          <w14:ligatures w14:val="none"/>
        </w:rPr>
        <w:t>. This provides a more robust theoretical foundation and behavioral mechanism explanation for the present study.</w:t>
      </w:r>
    </w:p>
    <w:p w14:paraId="5468D466" w14:textId="369A4844" w:rsidR="005D502C"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Based on this, this study takes GPRNK as the core variable. It systematically examines its dynamic impact on the long-term volatility of the South Korean stock market. By introducing a heteroskedastic volatility modeling framework (GJR-GARCH-MIDAS model), this study aims to fill the gaps in existing research on long-term volatility modeling, the identification of cross-spatial and temporal risk transmission mechanisms, and multi-scale risk prediction, thereby providing theoretical support and empirical evidence for financial regulators and investors to formulate more forward-looking and targeted risk management policies in a highly </w:t>
      </w:r>
      <w:r w:rsidRPr="0053126D">
        <w:rPr>
          <w:rFonts w:ascii="Times New Roman" w:eastAsia="FangSong" w:hAnsi="Times New Roman" w:cs="Times New Roman"/>
          <w:color w:val="000000" w:themeColor="text1"/>
          <w:szCs w:val="22"/>
          <w14:ligatures w14:val="none"/>
        </w:rPr>
        <w:lastRenderedPageBreak/>
        <w:t>geopolitically uncertain environment.</w:t>
      </w:r>
    </w:p>
    <w:p w14:paraId="49FBA791" w14:textId="6DED0FBB" w:rsidR="008B250B" w:rsidRPr="0053126D" w:rsidRDefault="00342CF1" w:rsidP="008B250B">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bookmarkStart w:id="11" w:name="OLE_LINK159"/>
      <w:r w:rsidRPr="0053126D">
        <w:rPr>
          <w:rFonts w:ascii="Times New Roman" w:hAnsi="Times New Roman" w:cs="Times New Roman"/>
          <w:b/>
          <w:snapToGrid w:val="0"/>
          <w:color w:val="000000" w:themeColor="text1"/>
          <w:kern w:val="0"/>
          <w:sz w:val="22"/>
          <w:szCs w:val="22"/>
          <w:lang w:bidi="en-US"/>
        </w:rPr>
        <w:t xml:space="preserve">Appendix </w:t>
      </w:r>
      <w:r w:rsidR="005D502C" w:rsidRPr="0053126D">
        <w:rPr>
          <w:rFonts w:ascii="Times New Roman" w:hAnsi="Times New Roman" w:cs="Times New Roman"/>
          <w:b/>
          <w:snapToGrid w:val="0"/>
          <w:color w:val="000000" w:themeColor="text1"/>
          <w:kern w:val="0"/>
          <w:sz w:val="22"/>
          <w:szCs w:val="22"/>
          <w:lang w:bidi="en-US"/>
        </w:rPr>
        <w:t>C</w:t>
      </w:r>
      <w:r w:rsidRPr="0053126D">
        <w:rPr>
          <w:rFonts w:ascii="Times New Roman" w:hAnsi="Times New Roman" w:cs="Times New Roman"/>
          <w:b/>
          <w:snapToGrid w:val="0"/>
          <w:color w:val="000000" w:themeColor="text1"/>
          <w:kern w:val="0"/>
          <w:sz w:val="22"/>
          <w:szCs w:val="22"/>
          <w:lang w:bidi="en-US"/>
        </w:rPr>
        <w:t>: Data Sources</w:t>
      </w:r>
    </w:p>
    <w:p w14:paraId="1CC13CFD" w14:textId="45DDB1CA" w:rsidR="002F3701" w:rsidRPr="0053126D" w:rsidRDefault="008814F3" w:rsidP="002F3701">
      <w:pPr>
        <w:spacing w:before="120" w:after="24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12" w:name="OLE_LINK179"/>
      <w:bookmarkStart w:id="13" w:name="OLE_LINK180"/>
      <w:bookmarkStart w:id="14" w:name="OLE_LINK1006"/>
      <w:bookmarkStart w:id="15" w:name="OLE_LINK112"/>
      <w:r w:rsidRPr="0053126D">
        <w:rPr>
          <w:rFonts w:ascii="Times New Roman" w:eastAsia="FangSong" w:hAnsi="Times New Roman" w:cs="Times New Roman"/>
          <w:color w:val="000000" w:themeColor="text1"/>
          <w:szCs w:val="22"/>
          <w14:ligatures w14:val="none"/>
        </w:rPr>
        <w:t>The KOSPI index data used in this study comes from the Korean FnGuide data website.</w:t>
      </w:r>
      <w:r w:rsidRPr="0053126D">
        <w:rPr>
          <w:rFonts w:ascii="Times New Roman" w:eastAsia="FangSong" w:hAnsi="Times New Roman" w:cs="Times New Roman"/>
          <w:color w:val="000000" w:themeColor="text1"/>
          <w:szCs w:val="22"/>
          <w:vertAlign w:val="superscript"/>
          <w14:ligatures w14:val="none"/>
        </w:rPr>
        <w:footnoteReference w:id="1"/>
      </w:r>
      <w:r w:rsidRPr="0053126D">
        <w:rPr>
          <w:rFonts w:ascii="Times New Roman" w:eastAsia="FangSong" w:hAnsi="Times New Roman" w:cs="Times New Roman"/>
          <w:color w:val="000000" w:themeColor="text1"/>
          <w:szCs w:val="22"/>
          <w14:ligatures w14:val="none"/>
        </w:rPr>
        <w:t xml:space="preserve"> Due to data availability, the sample period selected for the study is from 4 January 2000 to 30 September 2021. To calculate the stock market's daily return, </w:t>
      </w:r>
      <w:bookmarkStart w:id="16" w:name="OLE_LINK107"/>
      <w:bookmarkStart w:id="17" w:name="OLE_LINK108"/>
      <w:bookmarkStart w:id="18" w:name="OLE_LINK109"/>
      <w:r w:rsidRPr="0053126D">
        <w:rPr>
          <w:rFonts w:ascii="Times New Roman" w:eastAsia="FangSong" w:hAnsi="Times New Roman" w:cs="Times New Roman"/>
          <w:color w:val="000000" w:themeColor="text1"/>
          <w:szCs w:val="22"/>
          <w14:ligatures w14:val="none"/>
        </w:rPr>
        <w:t>we multiply the logarithmic return by 100, denoted as R</w:t>
      </w:r>
      <w:bookmarkEnd w:id="16"/>
      <w:bookmarkEnd w:id="17"/>
      <w:bookmarkEnd w:id="18"/>
      <w:r w:rsidRPr="0053126D">
        <w:rPr>
          <w:rFonts w:ascii="Times New Roman" w:eastAsia="FangSong" w:hAnsi="Times New Roman" w:cs="Times New Roman"/>
          <w:color w:val="000000" w:themeColor="text1"/>
          <w:szCs w:val="22"/>
          <w14:ligatures w14:val="none"/>
        </w:rPr>
        <w:t xml:space="preserve">, and then calculate the monthly RV using the sum of the squares of the daily returns. </w:t>
      </w:r>
      <w:r w:rsidR="00800EEB" w:rsidRPr="0053126D">
        <w:rPr>
          <w:rFonts w:ascii="Times New Roman" w:eastAsia="FangSong" w:hAnsi="Times New Roman" w:cs="Times New Roman"/>
          <w:color w:val="000000" w:themeColor="text1"/>
          <w:szCs w:val="22"/>
          <w14:ligatures w14:val="none"/>
        </w:rPr>
        <w:fldChar w:fldCharType="begin"/>
      </w:r>
      <w:r w:rsidR="00800EEB" w:rsidRPr="0053126D">
        <w:rPr>
          <w:rFonts w:ascii="Times New Roman" w:eastAsia="FangSong" w:hAnsi="Times New Roman" w:cs="Times New Roman"/>
          <w:color w:val="000000" w:themeColor="text1"/>
          <w:szCs w:val="22"/>
          <w14:ligatures w14:val="none"/>
        </w:rPr>
        <w:instrText xml:space="preserve"> REF _Ref205215182 \h  \* MERGEFORMAT </w:instrText>
      </w:r>
      <w:r w:rsidR="00800EEB" w:rsidRPr="0053126D">
        <w:rPr>
          <w:rFonts w:ascii="Times New Roman" w:eastAsia="FangSong" w:hAnsi="Times New Roman" w:cs="Times New Roman"/>
          <w:color w:val="000000" w:themeColor="text1"/>
          <w:szCs w:val="22"/>
          <w14:ligatures w14:val="none"/>
        </w:rPr>
      </w:r>
      <w:r w:rsidR="00800EEB" w:rsidRPr="0053126D">
        <w:rPr>
          <w:rFonts w:ascii="Times New Roman" w:eastAsia="FangSong" w:hAnsi="Times New Roman" w:cs="Times New Roman"/>
          <w:color w:val="000000" w:themeColor="text1"/>
          <w:szCs w:val="22"/>
          <w14:ligatures w14:val="none"/>
        </w:rPr>
        <w:fldChar w:fldCharType="separate"/>
      </w:r>
      <w:r w:rsidR="00800EEB" w:rsidRPr="0053126D">
        <w:rPr>
          <w:rFonts w:ascii="Times New Roman" w:eastAsia="FangSong" w:hAnsi="Times New Roman" w:cs="Times New Roman"/>
          <w:color w:val="000000" w:themeColor="text1"/>
          <w:szCs w:val="22"/>
          <w14:ligatures w14:val="none"/>
        </w:rPr>
        <w:t>Figure A1</w:t>
      </w:r>
      <w:r w:rsidR="00800EE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w:t>
      </w:r>
      <w:r w:rsidR="008B250B" w:rsidRPr="0053126D">
        <w:rPr>
          <w:rFonts w:ascii="Times New Roman" w:eastAsia="FangSong" w:hAnsi="Times New Roman" w:cs="Times New Roman"/>
          <w:color w:val="000000" w:themeColor="text1"/>
          <w:szCs w:val="22"/>
          <w14:ligatures w14:val="none"/>
        </w:rPr>
        <w:t>illustrates the evolution of the time-series dynamics of the log daily returns of the KOSPI index and its corresponding monthly realized volatility,</w:t>
      </w:r>
      <w:r w:rsidRPr="0053126D">
        <w:rPr>
          <w:rFonts w:ascii="Times New Roman" w:eastAsia="FangSong" w:hAnsi="Times New Roman" w:cs="Times New Roman"/>
          <w:color w:val="000000" w:themeColor="text1"/>
          <w:szCs w:val="22"/>
          <w14:ligatures w14:val="none"/>
        </w:rPr>
        <w:t xml:space="preserve"> based on these returns, revealing the characteristics and trends of stock market volatility over the sample period.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tblGrid>
      <w:tr w:rsidR="000F24CC" w:rsidRPr="0053126D" w14:paraId="07AB27E8" w14:textId="77777777" w:rsidTr="002259AE">
        <w:trPr>
          <w:trHeight w:val="3229"/>
        </w:trPr>
        <w:tc>
          <w:tcPr>
            <w:tcW w:w="5000" w:type="pct"/>
            <w:vAlign w:val="bottom"/>
          </w:tcPr>
          <w:bookmarkEnd w:id="12"/>
          <w:bookmarkEnd w:id="13"/>
          <w:bookmarkEnd w:id="14"/>
          <w:bookmarkEnd w:id="15"/>
          <w:p w14:paraId="5ED40AB2" w14:textId="77777777" w:rsidR="008814F3" w:rsidRPr="0053126D" w:rsidRDefault="008814F3" w:rsidP="00736C21">
            <w:pPr>
              <w:spacing w:line="360" w:lineRule="auto"/>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noProof/>
                <w:color w:val="000000" w:themeColor="text1"/>
                <w:sz w:val="18"/>
                <w:szCs w:val="18"/>
              </w:rPr>
              <w:drawing>
                <wp:inline distT="0" distB="0" distL="0" distR="0" wp14:anchorId="66F84B42" wp14:editId="5800BF3B">
                  <wp:extent cx="4845365" cy="1800000"/>
                  <wp:effectExtent l="0" t="0" r="0" b="3810"/>
                  <wp:docPr id="50922110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21105" name="图片 1" descr="图表&#10;&#10;AI 生成的内容可能不正确。"/>
                          <pic:cNvPicPr/>
                        </pic:nvPicPr>
                        <pic:blipFill rotWithShape="1">
                          <a:blip r:embed="rId7" cstate="print">
                            <a:extLst>
                              <a:ext uri="{28A0092B-C50C-407E-A947-70E740481C1C}">
                                <a14:useLocalDpi xmlns:a14="http://schemas.microsoft.com/office/drawing/2010/main" val="0"/>
                              </a:ext>
                            </a:extLst>
                          </a:blip>
                          <a:srcRect t="10912"/>
                          <a:stretch/>
                        </pic:blipFill>
                        <pic:spPr bwMode="auto">
                          <a:xfrm>
                            <a:off x="0" y="0"/>
                            <a:ext cx="4845365"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032A480A" w14:textId="77777777" w:rsidTr="002259AE">
        <w:trPr>
          <w:trHeight w:val="383"/>
        </w:trPr>
        <w:tc>
          <w:tcPr>
            <w:tcW w:w="5000" w:type="pct"/>
          </w:tcPr>
          <w:p w14:paraId="4C26AF92" w14:textId="77777777" w:rsidR="008814F3" w:rsidRPr="0053126D" w:rsidRDefault="008814F3" w:rsidP="0007534C">
            <w:pPr>
              <w:spacing w:line="0" w:lineRule="atLeast"/>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color w:val="000000" w:themeColor="text1"/>
                <w:sz w:val="18"/>
                <w:szCs w:val="18"/>
              </w:rPr>
              <w:t>Logarithmic daily rate of return</w:t>
            </w:r>
          </w:p>
        </w:tc>
      </w:tr>
      <w:tr w:rsidR="000F24CC" w:rsidRPr="0053126D" w14:paraId="1111B7BC" w14:textId="77777777" w:rsidTr="002259AE">
        <w:trPr>
          <w:trHeight w:val="2999"/>
        </w:trPr>
        <w:tc>
          <w:tcPr>
            <w:tcW w:w="5000" w:type="pct"/>
          </w:tcPr>
          <w:p w14:paraId="57F5F054" w14:textId="603231F3" w:rsidR="008814F3" w:rsidRPr="0053126D" w:rsidRDefault="008814F3" w:rsidP="0007534C">
            <w:pPr>
              <w:spacing w:line="0" w:lineRule="atLeast"/>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noProof/>
                <w:color w:val="000000" w:themeColor="text1"/>
                <w:sz w:val="18"/>
                <w:szCs w:val="18"/>
              </w:rPr>
              <w:drawing>
                <wp:inline distT="0" distB="0" distL="0" distR="0" wp14:anchorId="00B3219B" wp14:editId="6F7E3694">
                  <wp:extent cx="4846629" cy="1800000"/>
                  <wp:effectExtent l="0" t="0" r="5080" b="3810"/>
                  <wp:docPr id="235097291"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97291" name="图片 2" descr="图表, 折线图&#10;&#10;AI 生成的内容可能不正确。"/>
                          <pic:cNvPicPr/>
                        </pic:nvPicPr>
                        <pic:blipFill rotWithShape="1">
                          <a:blip r:embed="rId8" cstate="print">
                            <a:extLst>
                              <a:ext uri="{28A0092B-C50C-407E-A947-70E740481C1C}">
                                <a14:useLocalDpi xmlns:a14="http://schemas.microsoft.com/office/drawing/2010/main" val="0"/>
                              </a:ext>
                            </a:extLst>
                          </a:blip>
                          <a:srcRect t="10935"/>
                          <a:stretch/>
                        </pic:blipFill>
                        <pic:spPr bwMode="auto">
                          <a:xfrm>
                            <a:off x="0" y="0"/>
                            <a:ext cx="4846629"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7E43E7F7" w14:textId="77777777" w:rsidTr="002259AE">
        <w:trPr>
          <w:trHeight w:val="259"/>
        </w:trPr>
        <w:tc>
          <w:tcPr>
            <w:tcW w:w="5000" w:type="pct"/>
          </w:tcPr>
          <w:p w14:paraId="2E0B302D" w14:textId="77777777" w:rsidR="008814F3" w:rsidRPr="0053126D" w:rsidRDefault="008814F3" w:rsidP="0007534C">
            <w:pPr>
              <w:spacing w:line="0" w:lineRule="atLeast"/>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color w:val="000000" w:themeColor="text1"/>
                <w:sz w:val="18"/>
                <w:szCs w:val="18"/>
              </w:rPr>
              <w:t>Realised volatility</w:t>
            </w:r>
          </w:p>
        </w:tc>
      </w:tr>
    </w:tbl>
    <w:p w14:paraId="0F2FFF7B" w14:textId="0B10EDFB" w:rsidR="00800EEB" w:rsidRPr="0053126D" w:rsidRDefault="00800EEB" w:rsidP="00800EEB">
      <w:pPr>
        <w:pStyle w:val="Caption"/>
        <w:jc w:val="center"/>
        <w:rPr>
          <w:rFonts w:ascii="Times New Roman" w:eastAsia="FangSong" w:hAnsi="Times New Roman" w:cs="Times New Roman"/>
          <w:color w:val="000000" w:themeColor="text1"/>
          <w:sz w:val="18"/>
          <w:szCs w:val="18"/>
        </w:rPr>
      </w:pPr>
      <w:bookmarkStart w:id="19" w:name="_Ref205215182"/>
      <w:r w:rsidRPr="0053126D">
        <w:rPr>
          <w:rFonts w:ascii="Times New Roman" w:eastAsia="FangSong" w:hAnsi="Times New Roman" w:cs="Times New Roman"/>
          <w:b/>
          <w:bCs/>
          <w:color w:val="000000" w:themeColor="text1"/>
          <w:sz w:val="18"/>
          <w:szCs w:val="18"/>
        </w:rPr>
        <w:t>Figure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Figure_A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noProof/>
          <w:color w:val="000000" w:themeColor="text1"/>
          <w:sz w:val="18"/>
          <w:szCs w:val="18"/>
        </w:rPr>
        <w:t>1</w:t>
      </w:r>
      <w:r w:rsidRPr="0053126D">
        <w:rPr>
          <w:rFonts w:ascii="Times New Roman" w:eastAsia="FangSong" w:hAnsi="Times New Roman" w:cs="Times New Roman"/>
          <w:b/>
          <w:bCs/>
          <w:color w:val="000000" w:themeColor="text1"/>
          <w:sz w:val="18"/>
          <w:szCs w:val="18"/>
        </w:rPr>
        <w:fldChar w:fldCharType="end"/>
      </w:r>
      <w:bookmarkEnd w:id="19"/>
      <w:r w:rsidRPr="0053126D">
        <w:rPr>
          <w:rFonts w:ascii="Times New Roman" w:eastAsia="FangSong" w:hAnsi="Times New Roman" w:cs="Times New Roman"/>
          <w:b/>
          <w:bCs/>
          <w:color w:val="000000" w:themeColor="text1"/>
          <w:sz w:val="18"/>
          <w:szCs w:val="18"/>
        </w:rPr>
        <w:t>.</w:t>
      </w:r>
      <w:r w:rsidRPr="0053126D">
        <w:rPr>
          <w:rFonts w:ascii="Times New Roman" w:eastAsia="FangSong" w:hAnsi="Times New Roman" w:cs="Times New Roman"/>
          <w:color w:val="000000" w:themeColor="text1"/>
          <w:sz w:val="18"/>
          <w:szCs w:val="18"/>
        </w:rPr>
        <w:t xml:space="preserve"> Time Series Dynamics of Log Daily Returns and Monthly Realised Volatility of KOSPI Indexes</w:t>
      </w:r>
    </w:p>
    <w:p w14:paraId="04D48D95" w14:textId="78555BC5" w:rsidR="008814F3" w:rsidRPr="0053126D" w:rsidRDefault="008814F3" w:rsidP="008814F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20" w:name="OLE_LINK113"/>
      <w:bookmarkStart w:id="21" w:name="OLE_LINK118"/>
      <w:bookmarkStart w:id="22" w:name="OLE_LINK142"/>
      <w:bookmarkStart w:id="23" w:name="OLE_LINK143"/>
      <w:bookmarkStart w:id="24" w:name="OLE_LINK181"/>
      <w:bookmarkStart w:id="25" w:name="OLE_LINK182"/>
      <w:r w:rsidRPr="0053126D">
        <w:rPr>
          <w:rFonts w:ascii="Times New Roman" w:eastAsia="FangSong" w:hAnsi="Times New Roman" w:cs="Times New Roman"/>
          <w:color w:val="000000" w:themeColor="text1"/>
          <w:szCs w:val="22"/>
          <w14:ligatures w14:val="none"/>
        </w:rPr>
        <w:t xml:space="preserve">In addition, </w:t>
      </w:r>
      <w:r w:rsidR="008B250B" w:rsidRPr="0053126D">
        <w:rPr>
          <w:rFonts w:ascii="Times New Roman" w:eastAsia="FangSong" w:hAnsi="Times New Roman" w:cs="Times New Roman"/>
          <w:color w:val="000000" w:themeColor="text1"/>
          <w:szCs w:val="22"/>
          <w14:ligatures w14:val="none"/>
        </w:rPr>
        <w:t xml:space="preserve">the GPRNK data used in this study originate from </w:t>
      </w:r>
      <w:r w:rsidR="008B250B"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 AuthorYear="1"&gt;&lt;Author&gt;Jung&lt;/Author&gt;&lt;Year&gt;2021&lt;/Year&gt;&lt;RecNum&gt;12&lt;/RecNum&gt;&lt;DisplayText&gt;Jung et al. (2021)&lt;/DisplayText&gt;&lt;record&gt;&lt;rec-number&gt;12&lt;/rec-number&gt;&lt;foreign-keys&gt;&lt;key app="EN" db-id="v0ffzw0attzvegext9k5ed51e5az2zvssta9" timestamp="1754286304"&gt;12&lt;/key&gt;&lt;/foreign-keys&gt;&lt;ref-type name="Journal Article"&gt;17&lt;/ref-type&gt;&lt;contributors&gt;&lt;authors&gt;&lt;author&gt;Jung, Seungho&lt;/author&gt;&lt;author&gt;Lee, Jongmin&lt;/author&gt;&lt;author&gt;Lee, Seohyun&lt;/author&gt;&lt;/authors&gt;&lt;/contributors&gt;&lt;titles&gt;&lt;title&gt;Geopolitical Risk on Stock Returns: Evidence from Inter-Korea Geopolit ics&lt;/title&gt;&lt;secondary-title&gt;IMF Working Papers&lt;/secondary-title&gt;&lt;/titles&gt;&lt;periodical&gt;&lt;full-title&gt;IMF Working Papers&lt;/full-title&gt;&lt;/periodical&gt;&lt;pages&gt;1&lt;/pages&gt;&lt;volume&gt;2021&lt;/volume&gt;&lt;number&gt;251&lt;/number&gt;&lt;dates&gt;&lt;year&gt;2021&lt;/year&gt;&lt;pub-dates&gt;&lt;date&gt;2021/10//&lt;/date&gt;&lt;/pub-dates&gt;&lt;/dates&gt;&lt;isbn&gt;1018-5941&lt;/isbn&gt;&lt;urls&gt;&lt;related-urls&gt;&lt;url&gt;http://dx.doi.org/10.5089/9781557759672.001&lt;/url&gt;&lt;/related-urls&gt;&lt;/urls&gt;&lt;electronic-resource-num&gt;http://dx.doi.org/10.5089/9781557759672.001&lt;/electronic-resource-num&gt;&lt;remote-database-name&gt;Crossref&lt;/remote-database-name&gt;&lt;language&gt;en&lt;/language&gt;&lt;/record&gt;&lt;/Cite&gt;&lt;/EndNote&gt;</w:instrText>
      </w:r>
      <w:r w:rsidR="008B250B" w:rsidRPr="0053126D">
        <w:rPr>
          <w:rFonts w:ascii="Times New Roman" w:eastAsia="FangSong" w:hAnsi="Times New Roman" w:cs="Times New Roman"/>
          <w:color w:val="000000" w:themeColor="text1"/>
          <w:szCs w:val="22"/>
          <w14:ligatures w14:val="none"/>
        </w:rPr>
        <w:fldChar w:fldCharType="separate"/>
      </w:r>
      <w:r w:rsidR="008B250B" w:rsidRPr="0053126D">
        <w:rPr>
          <w:rFonts w:ascii="Times New Roman" w:eastAsia="FangSong" w:hAnsi="Times New Roman" w:cs="Times New Roman"/>
          <w:noProof/>
          <w:color w:val="000000" w:themeColor="text1"/>
          <w:szCs w:val="22"/>
          <w14:ligatures w14:val="none"/>
        </w:rPr>
        <w:t>Jung et al. (2021)</w:t>
      </w:r>
      <w:r w:rsidR="008B250B" w:rsidRPr="0053126D">
        <w:rPr>
          <w:rFonts w:ascii="Times New Roman" w:eastAsia="FangSong" w:hAnsi="Times New Roman" w:cs="Times New Roman"/>
          <w:color w:val="000000" w:themeColor="text1"/>
          <w:szCs w:val="22"/>
          <w14:ligatures w14:val="none"/>
        </w:rPr>
        <w:fldChar w:fldCharType="end"/>
      </w:r>
      <w:r w:rsidR="008B250B" w:rsidRPr="0053126D">
        <w:rPr>
          <w:rFonts w:ascii="Times New Roman" w:eastAsia="FangSong" w:hAnsi="Times New Roman" w:cs="Times New Roman"/>
          <w:color w:val="000000" w:themeColor="text1"/>
          <w:szCs w:val="22"/>
          <w14:ligatures w14:val="none"/>
        </w:rPr>
        <w:t>, which were constructed from news articles provided by BigKinds</w:t>
      </w:r>
      <w:r w:rsidR="008B250B" w:rsidRPr="0053126D">
        <w:rPr>
          <w:rStyle w:val="FootnoteReference"/>
          <w:rFonts w:ascii="Times New Roman" w:eastAsia="FangSong" w:hAnsi="Times New Roman" w:cs="Times New Roman"/>
          <w:color w:val="000000" w:themeColor="text1"/>
          <w:szCs w:val="22"/>
          <w14:ligatures w14:val="none"/>
        </w:rPr>
        <w:footnoteReference w:id="2"/>
      </w:r>
      <w:r w:rsidR="008B250B" w:rsidRPr="0053126D">
        <w:rPr>
          <w:rFonts w:ascii="Times New Roman" w:eastAsia="FangSong" w:hAnsi="Times New Roman" w:cs="Times New Roman"/>
          <w:color w:val="000000" w:themeColor="text1"/>
          <w:szCs w:val="22"/>
          <w14:ligatures w14:val="none"/>
        </w:rPr>
        <w:t xml:space="preserve">, a news analysis platform operated by the Korea Press Foundation. </w:t>
      </w:r>
      <w:r w:rsidR="008B250B" w:rsidRPr="0053126D">
        <w:rPr>
          <w:rFonts w:ascii="Times New Roman" w:eastAsia="FangSong" w:hAnsi="Times New Roman" w:cs="Times New Roman"/>
          <w:color w:val="000000" w:themeColor="text1"/>
          <w:szCs w:val="22"/>
          <w14:ligatures w14:val="none"/>
        </w:rPr>
        <w:lastRenderedPageBreak/>
        <w:t xml:space="preserve">The index data are publicly available on the </w:t>
      </w:r>
      <w:r w:rsidR="00C911DE" w:rsidRPr="0053126D">
        <w:rPr>
          <w:rFonts w:ascii="Times New Roman" w:eastAsia="FangSong" w:hAnsi="Times New Roman" w:cs="Times New Roman"/>
          <w:color w:val="000000" w:themeColor="text1"/>
          <w:szCs w:val="22"/>
          <w14:ligatures w14:val="none"/>
        </w:rPr>
        <w:t xml:space="preserve">Economic </w:t>
      </w:r>
      <w:r w:rsidR="008B250B" w:rsidRPr="0053126D">
        <w:rPr>
          <w:rFonts w:ascii="Times New Roman" w:eastAsia="FangSong" w:hAnsi="Times New Roman" w:cs="Times New Roman"/>
          <w:color w:val="000000" w:themeColor="text1"/>
          <w:szCs w:val="22"/>
          <w14:ligatures w14:val="none"/>
        </w:rPr>
        <w:t>Policy Uncertainty Index website</w:t>
      </w:r>
      <w:r w:rsidR="00911C37" w:rsidRPr="0053126D">
        <w:rPr>
          <w:rFonts w:ascii="Times New Roman" w:hAnsi="Times New Roman" w:cs="Times New Roman"/>
          <w:strike/>
          <w:color w:val="000000" w:themeColor="text1"/>
          <w:szCs w:val="22"/>
          <w:vertAlign w:val="superscript"/>
          <w14:ligatures w14:val="none"/>
        </w:rPr>
        <w:footnoteReference w:id="3"/>
      </w:r>
      <w:r w:rsidR="008B250B" w:rsidRPr="0053126D">
        <w:rPr>
          <w:rFonts w:ascii="Times New Roman" w:eastAsia="FangSong" w:hAnsi="Times New Roman" w:cs="Times New Roman"/>
          <w:color w:val="000000" w:themeColor="text1"/>
          <w:szCs w:val="22"/>
          <w14:ligatures w14:val="none"/>
        </w:rPr>
        <w:t>. To illustrate the rate of change in GPRNK, the original data undergoes logarithmic differencing followed by multiplication by 100 to yield the GPRNK change rate (Δ</w:t>
      </w:r>
      <w:bookmarkStart w:id="27" w:name="OLE_LINK196"/>
      <w:r w:rsidR="008B250B" w:rsidRPr="0053126D">
        <w:rPr>
          <w:rFonts w:ascii="Times New Roman" w:eastAsia="FangSong" w:hAnsi="Times New Roman" w:cs="Times New Roman"/>
          <w:color w:val="000000" w:themeColor="text1"/>
          <w:szCs w:val="22"/>
          <w14:ligatures w14:val="none"/>
        </w:rPr>
        <w:t>GPRNK</w:t>
      </w:r>
      <w:bookmarkEnd w:id="27"/>
      <w:r w:rsidR="008B250B" w:rsidRPr="0053126D">
        <w:rPr>
          <w:rFonts w:ascii="Times New Roman" w:eastAsia="FangSong" w:hAnsi="Times New Roman" w:cs="Times New Roman"/>
          <w:color w:val="000000" w:themeColor="text1"/>
          <w:szCs w:val="22"/>
          <w14:ligatures w14:val="none"/>
        </w:rPr>
        <w:t xml:space="preserve">), which characterizes the dynamic fluctuations of </w:t>
      </w:r>
      <w:r w:rsidR="00403730" w:rsidRPr="0053126D">
        <w:rPr>
          <w:rFonts w:ascii="Times New Roman" w:eastAsia="FangSong" w:hAnsi="Times New Roman" w:cs="Times New Roman"/>
          <w:color w:val="000000" w:themeColor="text1"/>
          <w:szCs w:val="22"/>
          <w14:ligatures w14:val="none"/>
        </w:rPr>
        <w:t>GPRNK</w:t>
      </w:r>
      <w:r w:rsidR="008B250B" w:rsidRPr="0053126D">
        <w:rPr>
          <w:rFonts w:ascii="Times New Roman" w:eastAsia="FangSong" w:hAnsi="Times New Roman" w:cs="Times New Roman"/>
          <w:color w:val="000000" w:themeColor="text1"/>
          <w:szCs w:val="22"/>
          <w14:ligatures w14:val="none"/>
        </w:rPr>
        <w:t xml:space="preserve">. </w:t>
      </w:r>
      <w:r w:rsidR="00800EEB" w:rsidRPr="0053126D">
        <w:rPr>
          <w:rFonts w:ascii="Times New Roman" w:eastAsia="FangSong" w:hAnsi="Times New Roman" w:cs="Times New Roman"/>
          <w:color w:val="000000" w:themeColor="text1"/>
          <w:szCs w:val="22"/>
          <w14:ligatures w14:val="none"/>
        </w:rPr>
        <w:fldChar w:fldCharType="begin"/>
      </w:r>
      <w:r w:rsidR="00800EEB" w:rsidRPr="0053126D">
        <w:rPr>
          <w:rFonts w:ascii="Times New Roman" w:eastAsia="FangSong" w:hAnsi="Times New Roman" w:cs="Times New Roman"/>
          <w:color w:val="000000" w:themeColor="text1"/>
          <w:szCs w:val="22"/>
          <w14:ligatures w14:val="none"/>
        </w:rPr>
        <w:instrText xml:space="preserve"> REF _Ref205215254 \h  \* MERGEFORMAT </w:instrText>
      </w:r>
      <w:r w:rsidR="00800EEB" w:rsidRPr="0053126D">
        <w:rPr>
          <w:rFonts w:ascii="Times New Roman" w:eastAsia="FangSong" w:hAnsi="Times New Roman" w:cs="Times New Roman"/>
          <w:color w:val="000000" w:themeColor="text1"/>
          <w:szCs w:val="22"/>
          <w14:ligatures w14:val="none"/>
        </w:rPr>
      </w:r>
      <w:r w:rsidR="00800EEB" w:rsidRPr="0053126D">
        <w:rPr>
          <w:rFonts w:ascii="Times New Roman" w:eastAsia="FangSong" w:hAnsi="Times New Roman" w:cs="Times New Roman"/>
          <w:color w:val="000000" w:themeColor="text1"/>
          <w:szCs w:val="22"/>
          <w14:ligatures w14:val="none"/>
        </w:rPr>
        <w:fldChar w:fldCharType="separate"/>
      </w:r>
      <w:r w:rsidR="00800EEB" w:rsidRPr="0053126D">
        <w:rPr>
          <w:rFonts w:ascii="Times New Roman" w:eastAsia="FangSong" w:hAnsi="Times New Roman" w:cs="Times New Roman"/>
          <w:color w:val="000000" w:themeColor="text1"/>
          <w:szCs w:val="22"/>
          <w14:ligatures w14:val="none"/>
        </w:rPr>
        <w:t>Figure A2</w:t>
      </w:r>
      <w:r w:rsidR="00800EEB" w:rsidRPr="0053126D">
        <w:rPr>
          <w:rFonts w:ascii="Times New Roman" w:eastAsia="FangSong" w:hAnsi="Times New Roman" w:cs="Times New Roman"/>
          <w:color w:val="000000" w:themeColor="text1"/>
          <w:szCs w:val="22"/>
          <w14:ligatures w14:val="none"/>
        </w:rPr>
        <w:fldChar w:fldCharType="end"/>
      </w:r>
      <w:r w:rsidR="00800EEB" w:rsidRPr="0053126D">
        <w:rPr>
          <w:rFonts w:ascii="Times New Roman" w:eastAsia="FangSong" w:hAnsi="Times New Roman" w:cs="Times New Roman"/>
          <w:color w:val="000000" w:themeColor="text1"/>
          <w:szCs w:val="22"/>
          <w14:ligatures w14:val="none"/>
        </w:rPr>
        <w:t xml:space="preserve"> </w:t>
      </w:r>
      <w:r w:rsidR="008B250B" w:rsidRPr="0053126D">
        <w:rPr>
          <w:rFonts w:ascii="Times New Roman" w:eastAsia="FangSong" w:hAnsi="Times New Roman" w:cs="Times New Roman"/>
          <w:color w:val="000000" w:themeColor="text1"/>
          <w:szCs w:val="22"/>
          <w14:ligatures w14:val="none"/>
        </w:rPr>
        <w:t xml:space="preserve">illustrates the time-series trend of </w:t>
      </w:r>
      <w:r w:rsidR="00403730" w:rsidRPr="0053126D">
        <w:rPr>
          <w:rFonts w:ascii="Times New Roman" w:eastAsia="FangSong" w:hAnsi="Times New Roman" w:cs="Times New Roman"/>
          <w:color w:val="000000" w:themeColor="text1"/>
          <w:szCs w:val="22"/>
          <w14:ligatures w14:val="none"/>
        </w:rPr>
        <w:t>GPRNK</w:t>
      </w:r>
      <w:r w:rsidR="008B250B" w:rsidRPr="0053126D">
        <w:rPr>
          <w:rFonts w:ascii="Times New Roman" w:eastAsia="FangSong" w:hAnsi="Times New Roman" w:cs="Times New Roman"/>
          <w:color w:val="000000" w:themeColor="text1"/>
          <w:szCs w:val="22"/>
          <w14:ligatures w14:val="none"/>
        </w:rPr>
        <w:t xml:space="preserve"> throughout the study, highlighting</w:t>
      </w:r>
      <w:r w:rsidRPr="0053126D">
        <w:rPr>
          <w:rFonts w:ascii="Times New Roman" w:eastAsia="FangSong" w:hAnsi="Times New Roman" w:cs="Times New Roman"/>
          <w:color w:val="000000" w:themeColor="text1"/>
          <w:szCs w:val="22"/>
          <w14:ligatures w14:val="none"/>
        </w:rPr>
        <w:t xml:space="preserve"> its volatility characteristics.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tblGrid>
      <w:tr w:rsidR="000F24CC" w:rsidRPr="0053126D" w14:paraId="11008D38" w14:textId="77777777" w:rsidTr="004D0AF0">
        <w:trPr>
          <w:trHeight w:val="2910"/>
          <w:jc w:val="center"/>
        </w:trPr>
        <w:tc>
          <w:tcPr>
            <w:tcW w:w="5000" w:type="pct"/>
            <w:vAlign w:val="bottom"/>
          </w:tcPr>
          <w:bookmarkEnd w:id="20"/>
          <w:bookmarkEnd w:id="21"/>
          <w:bookmarkEnd w:id="22"/>
          <w:bookmarkEnd w:id="23"/>
          <w:p w14:paraId="69482D59" w14:textId="77777777" w:rsidR="008814F3" w:rsidRPr="0053126D" w:rsidRDefault="008814F3" w:rsidP="00736C21">
            <w:pPr>
              <w:spacing w:line="360" w:lineRule="auto"/>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noProof/>
                <w:color w:val="000000" w:themeColor="text1"/>
                <w:sz w:val="18"/>
                <w:szCs w:val="18"/>
              </w:rPr>
              <w:drawing>
                <wp:inline distT="0" distB="0" distL="0" distR="0" wp14:anchorId="6CA93E56" wp14:editId="698D5EE4">
                  <wp:extent cx="4748462" cy="1764000"/>
                  <wp:effectExtent l="0" t="0" r="1905" b="1905"/>
                  <wp:docPr id="1479724439" name="图片 1"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4439" name="图片 1" descr="图表, 折线图, 直方图&#10;&#10;AI 生成的内容可能不正确。"/>
                          <pic:cNvPicPr/>
                        </pic:nvPicPr>
                        <pic:blipFill rotWithShape="1">
                          <a:blip r:embed="rId9" cstate="print">
                            <a:extLst>
                              <a:ext uri="{28A0092B-C50C-407E-A947-70E740481C1C}">
                                <a14:useLocalDpi xmlns:a14="http://schemas.microsoft.com/office/drawing/2010/main" val="0"/>
                              </a:ext>
                            </a:extLst>
                          </a:blip>
                          <a:srcRect t="10912"/>
                          <a:stretch/>
                        </pic:blipFill>
                        <pic:spPr bwMode="auto">
                          <a:xfrm>
                            <a:off x="0" y="0"/>
                            <a:ext cx="4748462" cy="1764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0B341285" w14:textId="77777777" w:rsidTr="008814F3">
        <w:trPr>
          <w:trHeight w:val="77"/>
          <w:jc w:val="center"/>
        </w:trPr>
        <w:tc>
          <w:tcPr>
            <w:tcW w:w="5000" w:type="pct"/>
          </w:tcPr>
          <w:p w14:paraId="5D3667AC" w14:textId="77777777" w:rsidR="008814F3" w:rsidRPr="0053126D" w:rsidRDefault="008814F3" w:rsidP="0007534C">
            <w:pPr>
              <w:spacing w:line="0" w:lineRule="atLeast"/>
              <w:jc w:val="center"/>
              <w:rPr>
                <w:rFonts w:ascii="Times New Roman" w:eastAsia="FangSong" w:hAnsi="Times New Roman" w:cs="Times New Roman"/>
                <w:color w:val="000000" w:themeColor="text1"/>
                <w:sz w:val="18"/>
                <w:szCs w:val="18"/>
              </w:rPr>
            </w:pPr>
            <w:bookmarkStart w:id="28" w:name="OLE_LINK119"/>
            <w:bookmarkStart w:id="29" w:name="OLE_LINK122"/>
            <w:r w:rsidRPr="0053126D">
              <w:rPr>
                <w:rFonts w:ascii="Times New Roman" w:eastAsia="FangSong" w:hAnsi="Times New Roman" w:cs="Times New Roman"/>
                <w:color w:val="000000" w:themeColor="text1"/>
                <w:sz w:val="18"/>
                <w:szCs w:val="18"/>
              </w:rPr>
              <w:t>GPRNK Index</w:t>
            </w:r>
            <w:bookmarkEnd w:id="28"/>
            <w:bookmarkEnd w:id="29"/>
          </w:p>
        </w:tc>
      </w:tr>
      <w:tr w:rsidR="000F24CC" w:rsidRPr="0053126D" w14:paraId="7A626D8B" w14:textId="77777777" w:rsidTr="008814F3">
        <w:trPr>
          <w:trHeight w:val="2051"/>
          <w:jc w:val="center"/>
        </w:trPr>
        <w:tc>
          <w:tcPr>
            <w:tcW w:w="5000" w:type="pct"/>
          </w:tcPr>
          <w:p w14:paraId="67B73468" w14:textId="77777777" w:rsidR="008814F3" w:rsidRPr="0053126D" w:rsidRDefault="008814F3" w:rsidP="0007534C">
            <w:pPr>
              <w:spacing w:line="360" w:lineRule="auto"/>
              <w:jc w:val="center"/>
              <w:rPr>
                <w:rFonts w:ascii="Times New Roman" w:eastAsia="FangSong" w:hAnsi="Times New Roman" w:cs="Times New Roman"/>
                <w:color w:val="000000" w:themeColor="text1"/>
                <w:sz w:val="18"/>
                <w:szCs w:val="18"/>
              </w:rPr>
            </w:pPr>
            <w:r w:rsidRPr="0053126D">
              <w:rPr>
                <w:rFonts w:ascii="Times New Roman" w:eastAsia="FangSong" w:hAnsi="Times New Roman" w:cs="Times New Roman"/>
                <w:noProof/>
                <w:color w:val="000000" w:themeColor="text1"/>
                <w:sz w:val="18"/>
                <w:szCs w:val="18"/>
              </w:rPr>
              <w:drawing>
                <wp:inline distT="0" distB="0" distL="0" distR="0" wp14:anchorId="4E35CABC" wp14:editId="0B30C8A0">
                  <wp:extent cx="4646105" cy="1764000"/>
                  <wp:effectExtent l="0" t="0" r="2540" b="1905"/>
                  <wp:docPr id="24361499"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1499" name="图片 2" descr="图表, 折线图&#10;&#10;AI 生成的内容可能不正确。"/>
                          <pic:cNvPicPr/>
                        </pic:nvPicPr>
                        <pic:blipFill rotWithShape="1">
                          <a:blip r:embed="rId10" cstate="print">
                            <a:extLst>
                              <a:ext uri="{28A0092B-C50C-407E-A947-70E740481C1C}">
                                <a14:useLocalDpi xmlns:a14="http://schemas.microsoft.com/office/drawing/2010/main" val="0"/>
                              </a:ext>
                            </a:extLst>
                          </a:blip>
                          <a:srcRect t="8949"/>
                          <a:stretch/>
                        </pic:blipFill>
                        <pic:spPr bwMode="auto">
                          <a:xfrm>
                            <a:off x="0" y="0"/>
                            <a:ext cx="4646105" cy="1764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0E90B5E3" w14:textId="77777777" w:rsidTr="008814F3">
        <w:trPr>
          <w:trHeight w:val="129"/>
          <w:jc w:val="center"/>
        </w:trPr>
        <w:tc>
          <w:tcPr>
            <w:tcW w:w="5000" w:type="pct"/>
          </w:tcPr>
          <w:p w14:paraId="2D115FB0" w14:textId="77777777" w:rsidR="008814F3" w:rsidRPr="0053126D" w:rsidRDefault="008814F3" w:rsidP="0007534C">
            <w:pPr>
              <w:spacing w:line="0" w:lineRule="atLeast"/>
              <w:jc w:val="center"/>
              <w:rPr>
                <w:rFonts w:ascii="Times New Roman" w:eastAsia="FangSong" w:hAnsi="Times New Roman" w:cs="Times New Roman"/>
                <w:color w:val="000000" w:themeColor="text1"/>
                <w:sz w:val="18"/>
                <w:szCs w:val="18"/>
              </w:rPr>
            </w:pPr>
            <m:oMathPara>
              <m:oMath>
                <m:r>
                  <m:rPr>
                    <m:sty m:val="p"/>
                  </m:rPr>
                  <w:rPr>
                    <w:rFonts w:ascii="Cambria Math" w:eastAsia="FangSong" w:hAnsi="Cambria Math" w:cs="Times New Roman"/>
                    <w:color w:val="000000" w:themeColor="text1"/>
                    <w:sz w:val="18"/>
                    <w:szCs w:val="18"/>
                  </w:rPr>
                  <m:t>ΔGPRNK</m:t>
                </m:r>
              </m:oMath>
            </m:oMathPara>
          </w:p>
        </w:tc>
      </w:tr>
    </w:tbl>
    <w:p w14:paraId="3F113E8F" w14:textId="7F9E4BD3" w:rsidR="00800EEB" w:rsidRPr="0053126D" w:rsidRDefault="00800EEB" w:rsidP="00800EEB">
      <w:pPr>
        <w:pStyle w:val="Caption"/>
        <w:jc w:val="center"/>
        <w:rPr>
          <w:rFonts w:ascii="Times New Roman" w:eastAsia="FangSong" w:hAnsi="Times New Roman" w:cs="Times New Roman"/>
          <w:b/>
          <w:bCs/>
          <w:color w:val="000000" w:themeColor="text1"/>
          <w:sz w:val="18"/>
          <w:szCs w:val="18"/>
        </w:rPr>
      </w:pPr>
      <w:bookmarkStart w:id="30" w:name="_Ref205215254"/>
      <w:bookmarkEnd w:id="24"/>
      <w:bookmarkEnd w:id="25"/>
      <w:r w:rsidRPr="0053126D">
        <w:rPr>
          <w:rFonts w:ascii="Times New Roman" w:eastAsia="FangSong" w:hAnsi="Times New Roman" w:cs="Times New Roman"/>
          <w:b/>
          <w:bCs/>
          <w:color w:val="000000" w:themeColor="text1"/>
          <w:sz w:val="18"/>
          <w:szCs w:val="18"/>
        </w:rPr>
        <w:t>Figure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Figure_A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noProof/>
          <w:color w:val="000000" w:themeColor="text1"/>
          <w:sz w:val="18"/>
          <w:szCs w:val="18"/>
        </w:rPr>
        <w:t>2</w:t>
      </w:r>
      <w:r w:rsidRPr="0053126D">
        <w:rPr>
          <w:rFonts w:ascii="Times New Roman" w:eastAsia="FangSong" w:hAnsi="Times New Roman" w:cs="Times New Roman"/>
          <w:b/>
          <w:bCs/>
          <w:color w:val="000000" w:themeColor="text1"/>
          <w:sz w:val="18"/>
          <w:szCs w:val="18"/>
        </w:rPr>
        <w:fldChar w:fldCharType="end"/>
      </w:r>
      <w:bookmarkEnd w:id="30"/>
      <w:r w:rsidRPr="0053126D">
        <w:rPr>
          <w:rFonts w:ascii="Times New Roman" w:eastAsia="FangSong" w:hAnsi="Times New Roman" w:cs="Times New Roman"/>
          <w:b/>
          <w:bCs/>
          <w:color w:val="000000" w:themeColor="text1"/>
          <w:sz w:val="18"/>
          <w:szCs w:val="18"/>
        </w:rPr>
        <w:t xml:space="preserve">. </w:t>
      </w:r>
      <w:r w:rsidRPr="0053126D">
        <w:rPr>
          <w:rFonts w:ascii="Times New Roman" w:eastAsia="FangSong" w:hAnsi="Times New Roman" w:cs="Times New Roman"/>
          <w:color w:val="000000" w:themeColor="text1"/>
          <w:sz w:val="18"/>
          <w:szCs w:val="18"/>
        </w:rPr>
        <w:t>GPRNK time series and its rate of change</w:t>
      </w:r>
    </w:p>
    <w:p w14:paraId="570864D0" w14:textId="00B34471" w:rsidR="00800EEB" w:rsidRPr="0053126D" w:rsidRDefault="008814F3" w:rsidP="00800EE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31" w:name="OLE_LINK271"/>
      <w:bookmarkStart w:id="32" w:name="OLE_LINK272"/>
      <w:r w:rsidRPr="0053126D">
        <w:rPr>
          <w:rFonts w:ascii="Times New Roman" w:eastAsia="FangSong" w:hAnsi="Times New Roman" w:cs="Times New Roman"/>
          <w:color w:val="000000" w:themeColor="text1"/>
          <w:szCs w:val="22"/>
          <w14:ligatures w14:val="none"/>
        </w:rPr>
        <w:t xml:space="preserve">The descriptive statistical results are shown in </w:t>
      </w:r>
      <w:r w:rsidR="00800EEB" w:rsidRPr="0053126D">
        <w:rPr>
          <w:rFonts w:ascii="Times New Roman" w:eastAsia="FangSong" w:hAnsi="Times New Roman" w:cs="Times New Roman"/>
          <w:color w:val="000000" w:themeColor="text1"/>
          <w:szCs w:val="22"/>
          <w14:ligatures w14:val="none"/>
        </w:rPr>
        <w:fldChar w:fldCharType="begin"/>
      </w:r>
      <w:r w:rsidR="00800EEB" w:rsidRPr="0053126D">
        <w:rPr>
          <w:rFonts w:ascii="Times New Roman" w:eastAsia="FangSong" w:hAnsi="Times New Roman" w:cs="Times New Roman"/>
          <w:color w:val="000000" w:themeColor="text1"/>
          <w:szCs w:val="22"/>
          <w14:ligatures w14:val="none"/>
        </w:rPr>
        <w:instrText xml:space="preserve"> REF _Ref205215377 \h  \* MERGEFORMAT </w:instrText>
      </w:r>
      <w:r w:rsidR="00800EEB" w:rsidRPr="0053126D">
        <w:rPr>
          <w:rFonts w:ascii="Times New Roman" w:eastAsia="FangSong" w:hAnsi="Times New Roman" w:cs="Times New Roman"/>
          <w:color w:val="000000" w:themeColor="text1"/>
          <w:szCs w:val="22"/>
          <w14:ligatures w14:val="none"/>
        </w:rPr>
      </w:r>
      <w:r w:rsidR="00800EEB" w:rsidRPr="0053126D">
        <w:rPr>
          <w:rFonts w:ascii="Times New Roman" w:eastAsia="FangSong" w:hAnsi="Times New Roman" w:cs="Times New Roman"/>
          <w:color w:val="000000" w:themeColor="text1"/>
          <w:szCs w:val="22"/>
          <w14:ligatures w14:val="none"/>
        </w:rPr>
        <w:fldChar w:fldCharType="separate"/>
      </w:r>
      <w:r w:rsidR="00800EEB" w:rsidRPr="0053126D">
        <w:rPr>
          <w:rFonts w:ascii="Times New Roman" w:eastAsia="FangSong" w:hAnsi="Times New Roman" w:cs="Times New Roman"/>
          <w:color w:val="000000" w:themeColor="text1"/>
          <w:szCs w:val="22"/>
          <w14:ligatures w14:val="none"/>
        </w:rPr>
        <w:t>Table A1</w:t>
      </w:r>
      <w:r w:rsidR="00800EE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The analysis </w:t>
      </w:r>
      <w:r w:rsidR="00C911DE" w:rsidRPr="0053126D">
        <w:rPr>
          <w:rFonts w:ascii="Times New Roman" w:eastAsia="FangSong" w:hAnsi="Times New Roman" w:cs="Times New Roman" w:hint="eastAsia"/>
          <w:color w:val="000000" w:themeColor="text1"/>
          <w:szCs w:val="22"/>
          <w14:ligatures w14:val="none"/>
        </w:rPr>
        <w:t>reveals that all variables exhibit significant deviations</w:t>
      </w:r>
      <w:r w:rsidRPr="0053126D">
        <w:rPr>
          <w:rFonts w:ascii="Times New Roman" w:eastAsia="FangSong" w:hAnsi="Times New Roman" w:cs="Times New Roman"/>
          <w:color w:val="000000" w:themeColor="text1"/>
          <w:szCs w:val="22"/>
          <w14:ligatures w14:val="none"/>
        </w:rPr>
        <w:t xml:space="preserve"> from a normal distribution. The mean value of the return rate (R) is close to zero; the distribution is left-skewed (skewness of -0.558), and it has the characteristics of a thick-tailed spike (kurtosis of 7.071). The Jarque-Bera test significantly rejects the </w:t>
      </w:r>
      <w:r w:rsidR="00C911DE" w:rsidRPr="0053126D">
        <w:rPr>
          <w:rFonts w:ascii="Times New Roman" w:eastAsia="FangSong" w:hAnsi="Times New Roman" w:cs="Times New Roman" w:hint="eastAsia"/>
          <w:color w:val="000000" w:themeColor="text1"/>
          <w:szCs w:val="22"/>
          <w14:ligatures w14:val="none"/>
        </w:rPr>
        <w:t>hypothesis of a normal distribution, indicat</w:t>
      </w:r>
      <w:r w:rsidRPr="0053126D">
        <w:rPr>
          <w:rFonts w:ascii="Times New Roman" w:eastAsia="FangSong" w:hAnsi="Times New Roman" w:cs="Times New Roman"/>
          <w:color w:val="000000" w:themeColor="text1"/>
          <w:szCs w:val="22"/>
          <w14:ligatures w14:val="none"/>
        </w:rPr>
        <w:t xml:space="preserve">ing typical characteristics of financial time series. The realized volatility (RV) has a high mean value, a right-skewed distribution (skewness of 4.331), and a kurtosis of 28.290, which indicates significantly high volatility and extreme value characteristics. The mean of the North Korea political risk change rate (ΔGPRNK) is low, </w:t>
      </w:r>
      <w:r w:rsidR="00C911DE" w:rsidRPr="0053126D">
        <w:rPr>
          <w:rFonts w:ascii="Times New Roman" w:eastAsia="FangSong" w:hAnsi="Times New Roman" w:cs="Times New Roman" w:hint="eastAsia"/>
          <w:color w:val="000000" w:themeColor="text1"/>
          <w:szCs w:val="22"/>
          <w14:ligatures w14:val="none"/>
        </w:rPr>
        <w:t>with a skewness of -0.470 and a kurtosis of 0.986, indicating a distribution</w:t>
      </w:r>
      <w:r w:rsidRPr="0053126D">
        <w:rPr>
          <w:rFonts w:ascii="Times New Roman" w:eastAsia="FangSong" w:hAnsi="Times New Roman" w:cs="Times New Roman"/>
          <w:color w:val="000000" w:themeColor="text1"/>
          <w:szCs w:val="22"/>
          <w14:ligatures w14:val="none"/>
        </w:rPr>
        <w:t xml:space="preserve"> close to the normal distribution level. However, the Jarque-Bera test still rejects the normality hypothesis. In addition, all series passed the ADF stationarity test, indicating that the data do not contain unit roots and are suitable for further econometric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960"/>
        <w:gridCol w:w="952"/>
        <w:gridCol w:w="921"/>
        <w:gridCol w:w="1006"/>
        <w:gridCol w:w="1086"/>
        <w:gridCol w:w="889"/>
        <w:gridCol w:w="1449"/>
        <w:gridCol w:w="1209"/>
      </w:tblGrid>
      <w:tr w:rsidR="000F24CC" w:rsidRPr="0053126D" w14:paraId="757ED1EA" w14:textId="77777777" w:rsidTr="00736C21">
        <w:trPr>
          <w:trHeight w:val="454"/>
        </w:trPr>
        <w:tc>
          <w:tcPr>
            <w:tcW w:w="5000" w:type="pct"/>
            <w:gridSpan w:val="9"/>
            <w:tcBorders>
              <w:bottom w:val="single" w:sz="4" w:space="0" w:color="auto"/>
            </w:tcBorders>
            <w:vAlign w:val="bottom"/>
          </w:tcPr>
          <w:p w14:paraId="03051838" w14:textId="1626BE57" w:rsidR="008814F3" w:rsidRPr="0053126D" w:rsidRDefault="00800EEB" w:rsidP="00736C21">
            <w:pPr>
              <w:spacing w:beforeLines="100" w:before="312"/>
              <w:contextualSpacing/>
              <w:jc w:val="both"/>
              <w:rPr>
                <w:rFonts w:ascii="Times New Roman" w:eastAsia="FangSong" w:hAnsi="Times New Roman" w:cs="Times New Roman"/>
                <w:color w:val="000000" w:themeColor="text1"/>
                <w:sz w:val="18"/>
                <w:szCs w:val="18"/>
              </w:rPr>
            </w:pPr>
            <w:bookmarkStart w:id="33" w:name="_Ref205215377"/>
            <w:bookmarkEnd w:id="31"/>
            <w:bookmarkEnd w:id="32"/>
            <w:r w:rsidRPr="0053126D">
              <w:rPr>
                <w:rFonts w:ascii="Times New Roman" w:eastAsia="FangSong" w:hAnsi="Times New Roman" w:cs="Times New Roman"/>
                <w:b/>
                <w:bCs/>
                <w:color w:val="000000" w:themeColor="text1"/>
                <w:sz w:val="18"/>
                <w:szCs w:val="18"/>
              </w:rPr>
              <w:lastRenderedPageBreak/>
              <w:t>Table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Table_A \* ARABIC </w:instrText>
            </w:r>
            <w:r w:rsidRPr="0053126D">
              <w:rPr>
                <w:rFonts w:ascii="Times New Roman" w:eastAsia="FangSong" w:hAnsi="Times New Roman" w:cs="Times New Roman"/>
                <w:b/>
                <w:bCs/>
                <w:color w:val="000000" w:themeColor="text1"/>
                <w:sz w:val="18"/>
                <w:szCs w:val="18"/>
              </w:rPr>
              <w:fldChar w:fldCharType="separate"/>
            </w:r>
            <w:r w:rsidR="006B1A22" w:rsidRPr="0053126D">
              <w:rPr>
                <w:rFonts w:ascii="Times New Roman" w:eastAsia="FangSong" w:hAnsi="Times New Roman" w:cs="Times New Roman"/>
                <w:b/>
                <w:bCs/>
                <w:noProof/>
                <w:color w:val="000000" w:themeColor="text1"/>
                <w:sz w:val="18"/>
                <w:szCs w:val="18"/>
              </w:rPr>
              <w:t>1</w:t>
            </w:r>
            <w:r w:rsidRPr="0053126D">
              <w:rPr>
                <w:rFonts w:ascii="Times New Roman" w:eastAsia="FangSong" w:hAnsi="Times New Roman" w:cs="Times New Roman"/>
                <w:b/>
                <w:bCs/>
                <w:color w:val="000000" w:themeColor="text1"/>
                <w:sz w:val="18"/>
                <w:szCs w:val="18"/>
              </w:rPr>
              <w:fldChar w:fldCharType="end"/>
            </w:r>
            <w:bookmarkEnd w:id="33"/>
            <w:r w:rsidRPr="0053126D">
              <w:rPr>
                <w:rFonts w:ascii="Times New Roman" w:eastAsia="FangSong" w:hAnsi="Times New Roman" w:cs="Times New Roman"/>
                <w:b/>
                <w:bCs/>
                <w:color w:val="000000" w:themeColor="text1"/>
                <w:sz w:val="18"/>
                <w:szCs w:val="18"/>
              </w:rPr>
              <w:t xml:space="preserve">. </w:t>
            </w:r>
            <w:r w:rsidRPr="0053126D">
              <w:rPr>
                <w:rFonts w:ascii="Times New Roman" w:eastAsia="FangSong" w:hAnsi="Times New Roman" w:cs="Times New Roman"/>
                <w:color w:val="000000" w:themeColor="text1"/>
                <w:sz w:val="18"/>
                <w:szCs w:val="18"/>
              </w:rPr>
              <w:t>Descriptive statistics</w:t>
            </w:r>
          </w:p>
        </w:tc>
      </w:tr>
      <w:tr w:rsidR="000F24CC" w:rsidRPr="0053126D" w14:paraId="58434847" w14:textId="77777777" w:rsidTr="0007534C">
        <w:tc>
          <w:tcPr>
            <w:tcW w:w="656" w:type="pct"/>
            <w:tcBorders>
              <w:top w:val="single" w:sz="12" w:space="0" w:color="auto"/>
              <w:bottom w:val="single" w:sz="12" w:space="0" w:color="auto"/>
            </w:tcBorders>
          </w:tcPr>
          <w:p w14:paraId="1D47F958"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p>
        </w:tc>
        <w:tc>
          <w:tcPr>
            <w:tcW w:w="492" w:type="pct"/>
            <w:tcBorders>
              <w:top w:val="single" w:sz="12" w:space="0" w:color="auto"/>
              <w:bottom w:val="single" w:sz="12" w:space="0" w:color="auto"/>
            </w:tcBorders>
          </w:tcPr>
          <w:p w14:paraId="6D356E9F"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Mean</w:t>
            </w:r>
          </w:p>
        </w:tc>
        <w:tc>
          <w:tcPr>
            <w:tcW w:w="488" w:type="pct"/>
            <w:tcBorders>
              <w:top w:val="single" w:sz="12" w:space="0" w:color="auto"/>
              <w:bottom w:val="single" w:sz="12" w:space="0" w:color="auto"/>
            </w:tcBorders>
          </w:tcPr>
          <w:p w14:paraId="35E1B8CE"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Std.dev</w:t>
            </w:r>
          </w:p>
        </w:tc>
        <w:tc>
          <w:tcPr>
            <w:tcW w:w="472" w:type="pct"/>
            <w:tcBorders>
              <w:top w:val="single" w:sz="12" w:space="0" w:color="auto"/>
              <w:bottom w:val="single" w:sz="12" w:space="0" w:color="auto"/>
            </w:tcBorders>
          </w:tcPr>
          <w:p w14:paraId="2F7B9805"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Max</w:t>
            </w:r>
          </w:p>
        </w:tc>
        <w:tc>
          <w:tcPr>
            <w:tcW w:w="516" w:type="pct"/>
            <w:tcBorders>
              <w:top w:val="single" w:sz="12" w:space="0" w:color="auto"/>
              <w:bottom w:val="single" w:sz="12" w:space="0" w:color="auto"/>
            </w:tcBorders>
          </w:tcPr>
          <w:p w14:paraId="3383C1D9"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Min</w:t>
            </w:r>
          </w:p>
        </w:tc>
        <w:tc>
          <w:tcPr>
            <w:tcW w:w="557" w:type="pct"/>
            <w:tcBorders>
              <w:top w:val="single" w:sz="12" w:space="0" w:color="auto"/>
              <w:bottom w:val="single" w:sz="12" w:space="0" w:color="auto"/>
            </w:tcBorders>
          </w:tcPr>
          <w:p w14:paraId="60B066FD"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skewness</w:t>
            </w:r>
          </w:p>
        </w:tc>
        <w:tc>
          <w:tcPr>
            <w:tcW w:w="456" w:type="pct"/>
            <w:tcBorders>
              <w:top w:val="single" w:sz="12" w:space="0" w:color="auto"/>
              <w:bottom w:val="single" w:sz="12" w:space="0" w:color="auto"/>
            </w:tcBorders>
          </w:tcPr>
          <w:p w14:paraId="6A6BEAD9"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kurtosis</w:t>
            </w:r>
          </w:p>
        </w:tc>
        <w:tc>
          <w:tcPr>
            <w:tcW w:w="743" w:type="pct"/>
            <w:tcBorders>
              <w:top w:val="single" w:sz="12" w:space="0" w:color="auto"/>
              <w:bottom w:val="single" w:sz="12" w:space="0" w:color="auto"/>
            </w:tcBorders>
          </w:tcPr>
          <w:p w14:paraId="491D7919"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J-B</w:t>
            </w:r>
          </w:p>
        </w:tc>
        <w:tc>
          <w:tcPr>
            <w:tcW w:w="618" w:type="pct"/>
            <w:tcBorders>
              <w:top w:val="single" w:sz="12" w:space="0" w:color="auto"/>
              <w:bottom w:val="single" w:sz="12" w:space="0" w:color="auto"/>
            </w:tcBorders>
          </w:tcPr>
          <w:p w14:paraId="0ABB8E00"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ADF</w:t>
            </w:r>
          </w:p>
        </w:tc>
      </w:tr>
      <w:tr w:rsidR="000F24CC" w:rsidRPr="0053126D" w14:paraId="52388BA6" w14:textId="77777777" w:rsidTr="0007534C">
        <w:tc>
          <w:tcPr>
            <w:tcW w:w="656" w:type="pct"/>
            <w:tcBorders>
              <w:top w:val="single" w:sz="12" w:space="0" w:color="auto"/>
            </w:tcBorders>
          </w:tcPr>
          <w:p w14:paraId="2838A110"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R</w:t>
            </w:r>
          </w:p>
        </w:tc>
        <w:tc>
          <w:tcPr>
            <w:tcW w:w="492" w:type="pct"/>
            <w:tcBorders>
              <w:top w:val="single" w:sz="12" w:space="0" w:color="auto"/>
            </w:tcBorders>
          </w:tcPr>
          <w:p w14:paraId="1F87B16A"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0.020</w:t>
            </w:r>
          </w:p>
        </w:tc>
        <w:tc>
          <w:tcPr>
            <w:tcW w:w="488" w:type="pct"/>
            <w:tcBorders>
              <w:top w:val="single" w:sz="12" w:space="0" w:color="auto"/>
            </w:tcBorders>
          </w:tcPr>
          <w:p w14:paraId="33ADF7BD"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1.479</w:t>
            </w:r>
          </w:p>
        </w:tc>
        <w:tc>
          <w:tcPr>
            <w:tcW w:w="472" w:type="pct"/>
            <w:tcBorders>
              <w:top w:val="single" w:sz="12" w:space="0" w:color="auto"/>
            </w:tcBorders>
          </w:tcPr>
          <w:p w14:paraId="3405EB66"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11.284</w:t>
            </w:r>
          </w:p>
        </w:tc>
        <w:tc>
          <w:tcPr>
            <w:tcW w:w="516" w:type="pct"/>
            <w:tcBorders>
              <w:top w:val="single" w:sz="12" w:space="0" w:color="auto"/>
            </w:tcBorders>
          </w:tcPr>
          <w:p w14:paraId="62246472"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-12.805</w:t>
            </w:r>
          </w:p>
        </w:tc>
        <w:tc>
          <w:tcPr>
            <w:tcW w:w="557" w:type="pct"/>
            <w:tcBorders>
              <w:top w:val="single" w:sz="12" w:space="0" w:color="auto"/>
            </w:tcBorders>
          </w:tcPr>
          <w:p w14:paraId="292E52B1"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-0.558</w:t>
            </w:r>
          </w:p>
        </w:tc>
        <w:tc>
          <w:tcPr>
            <w:tcW w:w="456" w:type="pct"/>
            <w:tcBorders>
              <w:top w:val="single" w:sz="12" w:space="0" w:color="auto"/>
            </w:tcBorders>
          </w:tcPr>
          <w:p w14:paraId="71270BA4"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7.071</w:t>
            </w:r>
          </w:p>
        </w:tc>
        <w:tc>
          <w:tcPr>
            <w:tcW w:w="743" w:type="pct"/>
            <w:tcBorders>
              <w:top w:val="single" w:sz="12" w:space="0" w:color="auto"/>
            </w:tcBorders>
          </w:tcPr>
          <w:p w14:paraId="01F68D64"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11463.999***</w:t>
            </w:r>
          </w:p>
        </w:tc>
        <w:tc>
          <w:tcPr>
            <w:tcW w:w="618" w:type="pct"/>
            <w:tcBorders>
              <w:top w:val="single" w:sz="12" w:space="0" w:color="auto"/>
            </w:tcBorders>
          </w:tcPr>
          <w:p w14:paraId="6A9ADDB6"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-34.082***</w:t>
            </w:r>
          </w:p>
        </w:tc>
      </w:tr>
      <w:tr w:rsidR="000F24CC" w:rsidRPr="0053126D" w14:paraId="7C53161E" w14:textId="77777777" w:rsidTr="0007534C">
        <w:tc>
          <w:tcPr>
            <w:tcW w:w="656" w:type="pct"/>
          </w:tcPr>
          <w:p w14:paraId="5E524BCD"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RV</w:t>
            </w:r>
          </w:p>
        </w:tc>
        <w:tc>
          <w:tcPr>
            <w:tcW w:w="492" w:type="pct"/>
          </w:tcPr>
          <w:p w14:paraId="1632D1EA"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44.993</w:t>
            </w:r>
          </w:p>
        </w:tc>
        <w:tc>
          <w:tcPr>
            <w:tcW w:w="488" w:type="pct"/>
          </w:tcPr>
          <w:p w14:paraId="36ABBAB3"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64.509</w:t>
            </w:r>
          </w:p>
        </w:tc>
        <w:tc>
          <w:tcPr>
            <w:tcW w:w="472" w:type="pct"/>
          </w:tcPr>
          <w:p w14:paraId="752643CF"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627.862</w:t>
            </w:r>
          </w:p>
        </w:tc>
        <w:tc>
          <w:tcPr>
            <w:tcW w:w="516" w:type="pct"/>
          </w:tcPr>
          <w:p w14:paraId="580453C9"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2.906</w:t>
            </w:r>
          </w:p>
        </w:tc>
        <w:tc>
          <w:tcPr>
            <w:tcW w:w="557" w:type="pct"/>
          </w:tcPr>
          <w:p w14:paraId="390F1BF7"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4.331</w:t>
            </w:r>
          </w:p>
        </w:tc>
        <w:tc>
          <w:tcPr>
            <w:tcW w:w="456" w:type="pct"/>
          </w:tcPr>
          <w:p w14:paraId="13B09352"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28.290</w:t>
            </w:r>
          </w:p>
        </w:tc>
        <w:tc>
          <w:tcPr>
            <w:tcW w:w="743" w:type="pct"/>
          </w:tcPr>
          <w:p w14:paraId="78107A4A"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9519.721***</w:t>
            </w:r>
          </w:p>
        </w:tc>
        <w:tc>
          <w:tcPr>
            <w:tcW w:w="618" w:type="pct"/>
          </w:tcPr>
          <w:p w14:paraId="2B30705B"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-5.268***</w:t>
            </w:r>
          </w:p>
        </w:tc>
      </w:tr>
      <w:tr w:rsidR="000F24CC" w:rsidRPr="0053126D" w14:paraId="5741A582" w14:textId="77777777" w:rsidTr="0007534C">
        <w:tc>
          <w:tcPr>
            <w:tcW w:w="656" w:type="pct"/>
            <w:tcBorders>
              <w:bottom w:val="single" w:sz="12" w:space="0" w:color="auto"/>
            </w:tcBorders>
          </w:tcPr>
          <w:p w14:paraId="1A846C8B"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m:oMathPara>
              <m:oMath>
                <m:r>
                  <m:rPr>
                    <m:sty m:val="p"/>
                  </m:rPr>
                  <w:rPr>
                    <w:rFonts w:ascii="Cambria Math" w:eastAsia="FangSong" w:hAnsi="Cambria Math" w:cs="Times New Roman"/>
                    <w:color w:val="000000" w:themeColor="text1"/>
                    <w:sz w:val="16"/>
                    <w:szCs w:val="16"/>
                  </w:rPr>
                  <m:t>ΔGPRNK</m:t>
                </m:r>
              </m:oMath>
            </m:oMathPara>
          </w:p>
        </w:tc>
        <w:tc>
          <w:tcPr>
            <w:tcW w:w="492" w:type="pct"/>
            <w:tcBorders>
              <w:bottom w:val="single" w:sz="12" w:space="0" w:color="auto"/>
            </w:tcBorders>
          </w:tcPr>
          <w:p w14:paraId="6544DCB2"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0.176</w:t>
            </w:r>
          </w:p>
        </w:tc>
        <w:tc>
          <w:tcPr>
            <w:tcW w:w="488" w:type="pct"/>
            <w:tcBorders>
              <w:bottom w:val="single" w:sz="12" w:space="0" w:color="auto"/>
            </w:tcBorders>
          </w:tcPr>
          <w:p w14:paraId="1DD38E74"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27.603</w:t>
            </w:r>
          </w:p>
        </w:tc>
        <w:tc>
          <w:tcPr>
            <w:tcW w:w="472" w:type="pct"/>
            <w:tcBorders>
              <w:bottom w:val="single" w:sz="12" w:space="0" w:color="auto"/>
            </w:tcBorders>
          </w:tcPr>
          <w:p w14:paraId="580CC04C"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70.220</w:t>
            </w:r>
          </w:p>
        </w:tc>
        <w:tc>
          <w:tcPr>
            <w:tcW w:w="516" w:type="pct"/>
            <w:tcBorders>
              <w:bottom w:val="single" w:sz="12" w:space="0" w:color="auto"/>
            </w:tcBorders>
          </w:tcPr>
          <w:p w14:paraId="7C39FA5F"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-109.861</w:t>
            </w:r>
          </w:p>
        </w:tc>
        <w:tc>
          <w:tcPr>
            <w:tcW w:w="557" w:type="pct"/>
            <w:tcBorders>
              <w:bottom w:val="single" w:sz="12" w:space="0" w:color="auto"/>
            </w:tcBorders>
          </w:tcPr>
          <w:p w14:paraId="57471BC0"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-0.470</w:t>
            </w:r>
          </w:p>
        </w:tc>
        <w:tc>
          <w:tcPr>
            <w:tcW w:w="456" w:type="pct"/>
            <w:tcBorders>
              <w:bottom w:val="single" w:sz="12" w:space="0" w:color="auto"/>
            </w:tcBorders>
          </w:tcPr>
          <w:p w14:paraId="5E007DB9"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0.986</w:t>
            </w:r>
          </w:p>
        </w:tc>
        <w:tc>
          <w:tcPr>
            <w:tcW w:w="743" w:type="pct"/>
            <w:tcBorders>
              <w:bottom w:val="single" w:sz="12" w:space="0" w:color="auto"/>
            </w:tcBorders>
          </w:tcPr>
          <w:p w14:paraId="53E40E67"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20.159***</w:t>
            </w:r>
          </w:p>
        </w:tc>
        <w:tc>
          <w:tcPr>
            <w:tcW w:w="618" w:type="pct"/>
            <w:tcBorders>
              <w:bottom w:val="single" w:sz="12" w:space="0" w:color="auto"/>
            </w:tcBorders>
          </w:tcPr>
          <w:p w14:paraId="6F096A58" w14:textId="77777777" w:rsidR="008814F3" w:rsidRPr="0053126D" w:rsidRDefault="008814F3" w:rsidP="0007534C">
            <w:pPr>
              <w:spacing w:before="120" w:after="120"/>
              <w:contextualSpacing/>
              <w:jc w:val="center"/>
              <w:rPr>
                <w:rFonts w:ascii="Times New Roman" w:eastAsia="FangSong" w:hAnsi="Times New Roman" w:cs="Times New Roman"/>
                <w:color w:val="000000" w:themeColor="text1"/>
                <w:sz w:val="16"/>
                <w:szCs w:val="16"/>
              </w:rPr>
            </w:pPr>
            <w:r w:rsidRPr="0053126D">
              <w:rPr>
                <w:rFonts w:ascii="Times New Roman" w:eastAsia="FangSong" w:hAnsi="Times New Roman" w:cs="Times New Roman"/>
                <w:color w:val="000000" w:themeColor="text1"/>
                <w:sz w:val="16"/>
                <w:szCs w:val="16"/>
              </w:rPr>
              <w:t>-14.744***</w:t>
            </w:r>
          </w:p>
        </w:tc>
      </w:tr>
      <w:tr w:rsidR="000F24CC" w:rsidRPr="0053126D" w14:paraId="574C05E6" w14:textId="77777777" w:rsidTr="0007534C">
        <w:tc>
          <w:tcPr>
            <w:tcW w:w="5000" w:type="pct"/>
            <w:gridSpan w:val="9"/>
            <w:tcBorders>
              <w:top w:val="single" w:sz="12" w:space="0" w:color="auto"/>
            </w:tcBorders>
          </w:tcPr>
          <w:p w14:paraId="0C774984" w14:textId="77777777" w:rsidR="008814F3" w:rsidRPr="0053126D" w:rsidRDefault="008814F3" w:rsidP="0007534C">
            <w:pPr>
              <w:spacing w:before="120" w:after="120" w:line="0" w:lineRule="atLeast"/>
              <w:contextualSpacing/>
              <w:jc w:val="both"/>
              <w:rPr>
                <w:rFonts w:ascii="Times New Roman" w:eastAsia="Batang" w:hAnsi="Times New Roman" w:cs="Times New Roman"/>
                <w:color w:val="000000" w:themeColor="text1"/>
                <w:sz w:val="16"/>
                <w:szCs w:val="16"/>
              </w:rPr>
            </w:pPr>
            <w:r w:rsidRPr="0053126D">
              <w:rPr>
                <w:rFonts w:ascii="Times New Roman" w:eastAsia="SimSun" w:hAnsi="Times New Roman" w:cs="Times New Roman"/>
                <w:color w:val="000000" w:themeColor="text1"/>
                <w:sz w:val="16"/>
                <w:szCs w:val="16"/>
              </w:rPr>
              <w:t xml:space="preserve">Note: </w:t>
            </w:r>
            <w:r w:rsidRPr="0053126D">
              <w:rPr>
                <w:rFonts w:ascii="Times New Roman" w:eastAsia="Batang" w:hAnsi="Times New Roman" w:cs="Times New Roman"/>
                <w:color w:val="000000" w:themeColor="text1"/>
                <w:sz w:val="16"/>
                <w:szCs w:val="16"/>
              </w:rPr>
              <w:t xml:space="preserve">J-B </w:t>
            </w:r>
            <w:r w:rsidRPr="0053126D">
              <w:rPr>
                <w:rFonts w:ascii="Times New Roman" w:eastAsia="SimSun" w:hAnsi="Times New Roman" w:cs="Times New Roman"/>
                <w:color w:val="000000" w:themeColor="text1"/>
                <w:sz w:val="16"/>
                <w:szCs w:val="16"/>
              </w:rPr>
              <w:t xml:space="preserve">stands for </w:t>
            </w:r>
            <w:r w:rsidRPr="0053126D">
              <w:rPr>
                <w:rFonts w:ascii="Times New Roman" w:eastAsia="Batang" w:hAnsi="Times New Roman" w:cs="Times New Roman"/>
                <w:color w:val="000000" w:themeColor="text1"/>
                <w:sz w:val="16"/>
                <w:szCs w:val="16"/>
              </w:rPr>
              <w:t xml:space="preserve">Jarque-Bera </w:t>
            </w:r>
            <w:r w:rsidRPr="0053126D">
              <w:rPr>
                <w:rFonts w:ascii="Times New Roman" w:eastAsia="SimSun" w:hAnsi="Times New Roman" w:cs="Times New Roman"/>
                <w:color w:val="000000" w:themeColor="text1"/>
                <w:sz w:val="16"/>
                <w:szCs w:val="16"/>
              </w:rPr>
              <w:t xml:space="preserve">test for normal distribution, whose original hypothesis is that the series obeys normal distribution; </w:t>
            </w:r>
            <w:r w:rsidRPr="0053126D">
              <w:rPr>
                <w:rFonts w:ascii="Times New Roman" w:eastAsia="Batang" w:hAnsi="Times New Roman" w:cs="Times New Roman"/>
                <w:color w:val="000000" w:themeColor="text1"/>
                <w:sz w:val="16"/>
                <w:szCs w:val="16"/>
              </w:rPr>
              <w:t xml:space="preserve">ADF </w:t>
            </w:r>
            <w:r w:rsidRPr="0053126D">
              <w:rPr>
                <w:rFonts w:ascii="Times New Roman" w:eastAsia="SimSun" w:hAnsi="Times New Roman" w:cs="Times New Roman"/>
                <w:color w:val="000000" w:themeColor="text1"/>
                <w:sz w:val="16"/>
                <w:szCs w:val="16"/>
              </w:rPr>
              <w:t xml:space="preserve">stands for </w:t>
            </w:r>
            <w:r w:rsidRPr="0053126D">
              <w:rPr>
                <w:rFonts w:ascii="Times New Roman" w:eastAsia="Batang" w:hAnsi="Times New Roman" w:cs="Times New Roman"/>
                <w:color w:val="000000" w:themeColor="text1"/>
                <w:sz w:val="16"/>
                <w:szCs w:val="16"/>
              </w:rPr>
              <w:t xml:space="preserve">Augmented Dickey-Fuller </w:t>
            </w:r>
            <w:r w:rsidRPr="0053126D">
              <w:rPr>
                <w:rFonts w:ascii="Times New Roman" w:eastAsia="SimSun" w:hAnsi="Times New Roman" w:cs="Times New Roman"/>
                <w:color w:val="000000" w:themeColor="text1"/>
                <w:sz w:val="16"/>
                <w:szCs w:val="16"/>
              </w:rPr>
              <w:t>unit root test, whose null hypothesis is that the series contains a unit root, i.e., is non-stationary</w:t>
            </w:r>
            <w:r w:rsidRPr="0053126D">
              <w:rPr>
                <w:rFonts w:ascii="Times New Roman" w:eastAsia="Batang" w:hAnsi="Times New Roman" w:cs="Times New Roman"/>
                <w:color w:val="000000" w:themeColor="text1"/>
                <w:sz w:val="16"/>
                <w:szCs w:val="16"/>
              </w:rPr>
              <w:t xml:space="preserve">. ***,**,* </w:t>
            </w:r>
            <w:r w:rsidRPr="0053126D">
              <w:rPr>
                <w:rFonts w:ascii="Times New Roman" w:eastAsia="SimSun" w:hAnsi="Times New Roman" w:cs="Times New Roman"/>
                <w:color w:val="000000" w:themeColor="text1"/>
                <w:sz w:val="16"/>
                <w:szCs w:val="16"/>
              </w:rPr>
              <w:t xml:space="preserve">denote the rejection of the original hypothesis at the </w:t>
            </w:r>
            <w:r w:rsidRPr="0053126D">
              <w:rPr>
                <w:rFonts w:ascii="Times New Roman" w:eastAsia="Batang" w:hAnsi="Times New Roman" w:cs="Times New Roman"/>
                <w:color w:val="000000" w:themeColor="text1"/>
                <w:sz w:val="16"/>
                <w:szCs w:val="16"/>
              </w:rPr>
              <w:t xml:space="preserve">1%, 5% and 10% </w:t>
            </w:r>
            <w:r w:rsidRPr="0053126D">
              <w:rPr>
                <w:rFonts w:ascii="Times New Roman" w:eastAsia="SimSun" w:hAnsi="Times New Roman" w:cs="Times New Roman"/>
                <w:color w:val="000000" w:themeColor="text1"/>
                <w:sz w:val="16"/>
                <w:szCs w:val="16"/>
              </w:rPr>
              <w:t>significance levels, respectively.</w:t>
            </w:r>
          </w:p>
        </w:tc>
      </w:tr>
    </w:tbl>
    <w:p w14:paraId="4B6AE61C" w14:textId="2FF3B611" w:rsidR="005D502C" w:rsidRPr="0053126D" w:rsidRDefault="005D502C" w:rsidP="005D502C">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 xml:space="preserve">Appendix D: </w:t>
      </w:r>
      <w:r w:rsidR="00A52487" w:rsidRPr="0053126D">
        <w:rPr>
          <w:rFonts w:ascii="Times New Roman" w:hAnsi="Times New Roman" w:cs="Times New Roman"/>
          <w:b/>
          <w:snapToGrid w:val="0"/>
          <w:color w:val="000000" w:themeColor="text1"/>
          <w:kern w:val="0"/>
          <w:sz w:val="22"/>
          <w:szCs w:val="22"/>
          <w:lang w:bidi="en-US"/>
        </w:rPr>
        <w:t>In-Sample Prediction Test</w:t>
      </w:r>
    </w:p>
    <w:p w14:paraId="77B35308" w14:textId="597A422E"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This study constructs a stock market volatility model suitable for </w:t>
      </w:r>
      <w:r w:rsidR="00403730" w:rsidRPr="0053126D">
        <w:rPr>
          <w:rFonts w:ascii="Times New Roman" w:eastAsia="FangSong" w:hAnsi="Times New Roman"/>
          <w:color w:val="000000" w:themeColor="text1"/>
        </w:rPr>
        <w:t>GPR</w:t>
      </w:r>
      <w:r w:rsidRPr="0053126D">
        <w:rPr>
          <w:rFonts w:ascii="Times New Roman" w:eastAsia="FangSong" w:hAnsi="Times New Roman" w:cs="Times New Roman"/>
          <w:color w:val="000000" w:themeColor="text1"/>
          <w:szCs w:val="22"/>
          <w14:ligatures w14:val="none"/>
        </w:rPr>
        <w:t xml:space="preserve"> analysis based on the GARCH-MIDAS framework proposed by </w:t>
      </w:r>
      <w:r w:rsidR="00226262"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 AuthorYear="1"&gt;&lt;Author&gt;Engle&lt;/Author&gt;&lt;Year&gt;2013&lt;/Year&gt;&lt;RecNum&gt;3&lt;/RecNum&gt;&lt;DisplayText&gt;Engle et al. (2013)&lt;/DisplayText&gt;&lt;record&gt;&lt;rec-number&gt;3&lt;/rec-number&gt;&lt;foreign-keys&gt;&lt;key app="EN" db-id="v0ffzw0attzvegext9k5ed51e5az2zvssta9" timestamp="1754277683"&gt;3&lt;/key&gt;&lt;/foreign-keys&gt;&lt;ref-type name="Journal Article"&gt;17&lt;/ref-type&gt;&lt;contributors&gt;&lt;authors&gt;&lt;author&gt;Engle, Robert F.&lt;/author&gt;&lt;author&gt;Ghysels, Eric&lt;/author&gt;&lt;author&gt;Sohn, Bumjean&lt;/author&gt;&lt;/authors&gt;&lt;/contributors&gt;&lt;titles&gt;&lt;title&gt;Stock Market Volatility and Macroeconomic Fundamentals&lt;/title&gt;&lt;secondary-title&gt;The Review of Economics and Statistics&lt;/secondary-title&gt;&lt;/titles&gt;&lt;periodical&gt;&lt;full-title&gt;The Review of Economics and Statistics&lt;/full-title&gt;&lt;/periodical&gt;&lt;pages&gt;776-797&lt;/pages&gt;&lt;volume&gt;95&lt;/volume&gt;&lt;number&gt;3&lt;/number&gt;&lt;dates&gt;&lt;year&gt;2013&lt;/year&gt;&lt;/dates&gt;&lt;isbn&gt;0034-6535&lt;/isbn&gt;&lt;urls&gt;&lt;related-urls&gt;&lt;url&gt;https://doi.org/10.1162/REST_a_00300&lt;/url&gt;&lt;/related-urls&gt;&lt;/urls&gt;&lt;electronic-resource-num&gt;https://doi.org/10.1162/REST_a_00300&lt;/electronic-resource-num&gt;&lt;access-date&gt;8/4/2025&lt;/access-date&gt;&lt;/record&gt;&lt;/Cite&gt;&lt;/EndNote&gt;</w:instrText>
      </w:r>
      <w:r w:rsidR="00226262" w:rsidRPr="0053126D">
        <w:rPr>
          <w:rFonts w:ascii="Times New Roman" w:eastAsia="FangSong" w:hAnsi="Times New Roman" w:cs="Times New Roman"/>
          <w:color w:val="000000" w:themeColor="text1"/>
          <w:szCs w:val="22"/>
          <w14:ligatures w14:val="none"/>
        </w:rPr>
        <w:fldChar w:fldCharType="separate"/>
      </w:r>
      <w:r w:rsidR="00226262" w:rsidRPr="0053126D">
        <w:rPr>
          <w:rFonts w:ascii="Times New Roman" w:eastAsia="FangSong" w:hAnsi="Times New Roman" w:cs="Times New Roman"/>
          <w:noProof/>
          <w:color w:val="000000" w:themeColor="text1"/>
          <w:szCs w:val="22"/>
          <w14:ligatures w14:val="none"/>
        </w:rPr>
        <w:t>Engle et al. (2013)</w:t>
      </w:r>
      <w:r w:rsidR="00226262"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By decomposing the volatility of stock market returns into short-term and long-term components, this model can systematically examine the impact of </w:t>
      </w:r>
      <w:r w:rsidR="00403730" w:rsidRPr="0053126D">
        <w:rPr>
          <w:rFonts w:ascii="Times New Roman" w:eastAsia="FangSong" w:hAnsi="Times New Roman"/>
          <w:color w:val="000000" w:themeColor="text1"/>
        </w:rPr>
        <w:t>GPR</w:t>
      </w:r>
      <w:r w:rsidRPr="0053126D">
        <w:rPr>
          <w:rFonts w:ascii="Times New Roman" w:eastAsia="FangSong" w:hAnsi="Times New Roman" w:cs="Times New Roman"/>
          <w:color w:val="000000" w:themeColor="text1"/>
          <w:szCs w:val="22"/>
          <w14:ligatures w14:val="none"/>
        </w:rPr>
        <w:t xml:space="preserve"> on the stock market's long-term volatility.</w:t>
      </w:r>
    </w:p>
    <w:p w14:paraId="04A59305" w14:textId="61EFE8CF" w:rsidR="00646BFC" w:rsidRPr="0053126D" w:rsidRDefault="00646BFC" w:rsidP="00646BFC">
      <w:pPr>
        <w:pStyle w:val="MDPI22heading2"/>
        <w:spacing w:before="240"/>
        <w:ind w:left="0"/>
        <w:rPr>
          <w:rFonts w:ascii="Times New Roman" w:hAnsi="Times New Roman"/>
          <w:b/>
          <w:bCs/>
          <w:color w:val="000000" w:themeColor="text1"/>
          <w:sz w:val="22"/>
          <w:szCs w:val="28"/>
          <w:lang w:eastAsia="zh-CN"/>
        </w:rPr>
      </w:pPr>
      <w:r w:rsidRPr="0053126D">
        <w:rPr>
          <w:rFonts w:ascii="Times New Roman" w:hAnsi="Times New Roman"/>
          <w:b/>
          <w:bCs/>
          <w:color w:val="000000" w:themeColor="text1"/>
          <w:sz w:val="22"/>
          <w:szCs w:val="28"/>
          <w:lang w:eastAsia="zh-CN"/>
        </w:rPr>
        <w:t>Fixed Window Model</w:t>
      </w:r>
    </w:p>
    <w:p w14:paraId="562129E3"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Considering the return on the KOSPI index, the model is set up as follows:</w:t>
      </w:r>
    </w:p>
    <w:p w14:paraId="5150DBCE" w14:textId="4AD681F0"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color w:val="000000" w:themeColor="text1"/>
                </w:rPr>
              </m:ctrlPr>
            </m:eqArr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r</m:t>
                  </m:r>
                </m:e>
                <m:sub>
                  <m:r>
                    <w:rPr>
                      <w:rFonts w:ascii="Cambria Math" w:eastAsia="FangSong" w:hAnsi="Cambria Math" w:cs="Times New Roman"/>
                      <w:color w:val="000000" w:themeColor="text1"/>
                    </w:rPr>
                    <m:t>i,t</m:t>
                  </m:r>
                </m:sub>
              </m:sSub>
              <m:r>
                <w:rPr>
                  <w:rFonts w:ascii="Cambria Math" w:eastAsia="FangSong" w:hAnsi="Cambria Math" w:cs="Times New Roman"/>
                  <w:color w:val="000000" w:themeColor="text1"/>
                </w:rPr>
                <m:t>=μ+</m:t>
              </m:r>
              <m:rad>
                <m:radPr>
                  <m:degHide m:val="1"/>
                  <m:ctrlPr>
                    <w:rPr>
                      <w:rFonts w:ascii="Cambria Math" w:eastAsia="FangSong" w:hAnsi="Cambria Math" w:cs="Times New Roman"/>
                      <w:i/>
                      <w:color w:val="000000" w:themeColor="text1"/>
                    </w:rPr>
                  </m:ctrlPr>
                </m:radPr>
                <m:deg/>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τ</m:t>
                      </m:r>
                    </m:e>
                    <m:sub>
                      <m:r>
                        <w:rPr>
                          <w:rFonts w:ascii="Cambria Math" w:eastAsia="FangSong" w:hAnsi="Cambria Math" w:cs="Times New Roman"/>
                          <w:color w:val="000000" w:themeColor="text1"/>
                        </w:rPr>
                        <m:t>t</m:t>
                      </m:r>
                    </m:sub>
                  </m:sSub>
                  <m:r>
                    <w:rPr>
                      <w:rFonts w:ascii="Cambria Math" w:eastAsia="FangSong" w:hAnsi="Cambria Math" w:cs="Times New Roman"/>
                      <w:color w:val="000000" w:themeColor="text1"/>
                    </w:rPr>
                    <m:t>*</m:t>
                  </m:r>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g</m:t>
                      </m:r>
                    </m:e>
                    <m:sub>
                      <m:r>
                        <w:rPr>
                          <w:rFonts w:ascii="Cambria Math" w:eastAsia="FangSong" w:hAnsi="Cambria Math" w:cs="Times New Roman"/>
                          <w:color w:val="000000" w:themeColor="text1"/>
                        </w:rPr>
                        <m:t>i,t</m:t>
                      </m:r>
                    </m:sub>
                  </m:sSub>
                </m:e>
              </m:rad>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ε</m:t>
                  </m:r>
                </m:e>
                <m:sub>
                  <m:r>
                    <w:rPr>
                      <w:rFonts w:ascii="Cambria Math" w:eastAsia="FangSong" w:hAnsi="Cambria Math" w:cs="Times New Roman"/>
                      <w:color w:val="000000" w:themeColor="text1"/>
                    </w:rPr>
                    <m:t>i,t</m:t>
                  </m:r>
                </m:sub>
              </m:sSub>
              <m:r>
                <w:rPr>
                  <w:rFonts w:ascii="Cambria Math" w:eastAsia="FangSong" w:hAnsi="Cambria Math" w:cs="Times New Roman"/>
                  <w:color w:val="000000" w:themeColor="text1"/>
                </w:rPr>
                <m:t xml:space="preserve">           </m:t>
              </m:r>
              <m:r>
                <m:rPr>
                  <m:sty m:val="p"/>
                </m:rPr>
                <w:rPr>
                  <w:rFonts w:ascii="Cambria Math" w:eastAsia="FangSong" w:hAnsi="Cambria Math" w:cs="Times New Roman"/>
                  <w:color w:val="000000" w:themeColor="text1"/>
                </w:rPr>
                <m:t>∀i=1,…,</m:t>
              </m:r>
              <m:sSub>
                <m:sSubPr>
                  <m:ctrlPr>
                    <w:rPr>
                      <w:rFonts w:ascii="Cambria Math" w:eastAsia="FangSong" w:hAnsi="Cambria Math" w:cs="Times New Roman"/>
                      <w:color w:val="000000" w:themeColor="text1"/>
                    </w:rPr>
                  </m:ctrlPr>
                </m:sSubPr>
                <m:e>
                  <m:r>
                    <m:rPr>
                      <m:sty m:val="p"/>
                    </m:rPr>
                    <w:rPr>
                      <w:rFonts w:ascii="Cambria Math" w:eastAsia="FangSong" w:hAnsi="Cambria Math" w:cs="Times New Roman"/>
                      <w:color w:val="000000" w:themeColor="text1"/>
                    </w:rPr>
                    <m:t>N</m:t>
                  </m:r>
                </m:e>
                <m:sub>
                  <m:r>
                    <m:rPr>
                      <m:sty m:val="p"/>
                    </m:rPr>
                    <w:rPr>
                      <w:rFonts w:ascii="Cambria Math" w:eastAsia="FangSong" w:hAnsi="Cambria Math" w:cs="Times New Roman"/>
                      <w:color w:val="000000" w:themeColor="text1"/>
                    </w:rPr>
                    <m:t>t</m:t>
                  </m:r>
                </m:sub>
              </m:sSub>
              <m:r>
                <w:rPr>
                  <w:rFonts w:ascii="Cambria Math" w:eastAsia="FangSong" w:hAnsi="Cambria Math" w:cs="Times New Roman"/>
                  <w:color w:val="000000" w:themeColor="text1"/>
                </w:rPr>
                <m:t>#</m:t>
              </m:r>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A1</m:t>
                  </m:r>
                </m:e>
              </m:d>
            </m:e>
          </m:eqArr>
        </m:oMath>
      </m:oMathPara>
    </w:p>
    <w:p w14:paraId="260D4EB8"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Where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denotes the log return of the KOSPI index and t is the time-frequency (in months); </w:t>
      </w:r>
      <m:oMath>
        <m:r>
          <w:rPr>
            <w:rFonts w:ascii="Cambria Math" w:eastAsia="FangSong" w:hAnsi="Cambria Math" w:cs="Times New Roman"/>
            <w:color w:val="000000" w:themeColor="text1"/>
            <w:szCs w:val="22"/>
            <w14:ligatures w14:val="none"/>
          </w:rPr>
          <m:t>μ</m:t>
        </m:r>
      </m:oMath>
      <w:r w:rsidRPr="0053126D">
        <w:rPr>
          <w:rFonts w:ascii="Times New Roman" w:eastAsia="FangSong" w:hAnsi="Times New Roman" w:cs="Times New Roman"/>
          <w:color w:val="000000" w:themeColor="text1"/>
          <w:szCs w:val="22"/>
          <w14:ligatures w14:val="none"/>
        </w:rPr>
        <w:t xml:space="preserve"> is the conditional expectation;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τ</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denotes the long-term volatility component and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g</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denotes the short-term volatility component; and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ε</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is a standard normal white noise series that satisfies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ϵ</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r>
          <m:rPr>
            <m:sty m:val="p"/>
          </m:rPr>
          <w:rPr>
            <w:rFonts w:ascii="Cambria Math" w:eastAsia="FangSong" w:hAnsi="Cambria Math" w:cs="Times New Roman"/>
            <w:color w:val="000000" w:themeColor="text1"/>
            <w:szCs w:val="22"/>
            <w14:ligatures w14:val="none"/>
          </w:rPr>
          <m:t>|</m:t>
        </m:r>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ϕ</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-1,</m:t>
            </m:r>
            <m:r>
              <w:rPr>
                <w:rFonts w:ascii="Cambria Math" w:eastAsia="FangSong" w:hAnsi="Cambria Math" w:cs="Times New Roman"/>
                <w:color w:val="000000" w:themeColor="text1"/>
                <w:szCs w:val="22"/>
                <w14:ligatures w14:val="none"/>
              </w:rPr>
              <m:t>t</m:t>
            </m:r>
          </m:sub>
        </m:sSub>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N</m:t>
        </m:r>
        <m:r>
          <m:rPr>
            <m:sty m:val="p"/>
          </m:rPr>
          <w:rPr>
            <w:rFonts w:ascii="Cambria Math" w:eastAsia="FangSong" w:hAnsi="Cambria Math" w:cs="Times New Roman"/>
            <w:color w:val="000000" w:themeColor="text1"/>
            <w:szCs w:val="22"/>
            <w14:ligatures w14:val="none"/>
          </w:rPr>
          <m:t>(0,1)</m:t>
        </m:r>
      </m:oMath>
      <w:r w:rsidRPr="0053126D">
        <w:rPr>
          <w:rFonts w:ascii="Times New Roman" w:eastAsia="FangSong" w:hAnsi="Times New Roman" w:cs="Times New Roman"/>
          <w:color w:val="000000" w:themeColor="text1"/>
          <w:szCs w:val="22"/>
          <w14:ligatures w14:val="none"/>
        </w:rPr>
        <w:t xml:space="preserve"> . In addition, the logarithmic rate of return is calculated as:</w:t>
      </w:r>
    </w:p>
    <w:p w14:paraId="6791BD5C" w14:textId="2243BF7D"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color w:val="000000" w:themeColor="text1"/>
                </w:rPr>
              </m:ctrlPr>
            </m:eqArr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r</m:t>
                  </m:r>
                </m:e>
                <m:sub>
                  <m:r>
                    <w:rPr>
                      <w:rFonts w:ascii="Cambria Math" w:eastAsia="FangSong" w:hAnsi="Cambria Math" w:cs="Times New Roman"/>
                      <w:color w:val="000000" w:themeColor="text1"/>
                    </w:rPr>
                    <m:t>i,t</m:t>
                  </m:r>
                </m:sub>
              </m:sSub>
              <m:r>
                <w:rPr>
                  <w:rFonts w:ascii="Cambria Math" w:eastAsia="FangSong" w:hAnsi="Cambria Math" w:cs="Times New Roman"/>
                  <w:color w:val="000000" w:themeColor="text1"/>
                </w:rPr>
                <m:t>=</m:t>
              </m:r>
              <m:func>
                <m:funcPr>
                  <m:ctrlPr>
                    <w:rPr>
                      <w:rFonts w:ascii="Cambria Math" w:eastAsia="FangSong" w:hAnsi="Cambria Math" w:cs="Times New Roman"/>
                      <w:i/>
                      <w:color w:val="000000" w:themeColor="text1"/>
                    </w:rPr>
                  </m:ctrlPr>
                </m:funcPr>
                <m:fName>
                  <m:r>
                    <m:rPr>
                      <m:sty m:val="p"/>
                    </m:rPr>
                    <w:rPr>
                      <w:rFonts w:ascii="Cambria Math" w:eastAsia="FangSong" w:hAnsi="Cambria Math" w:cs="Times New Roman"/>
                      <w:color w:val="000000" w:themeColor="text1"/>
                    </w:rPr>
                    <m:t>ln</m:t>
                  </m:r>
                </m:fName>
                <m:e>
                  <m:d>
                    <m:dPr>
                      <m:ctrlPr>
                        <w:rPr>
                          <w:rFonts w:ascii="Cambria Math" w:eastAsia="FangSong" w:hAnsi="Cambria Math" w:cs="Times New Roman"/>
                          <w:i/>
                          <w:color w:val="000000" w:themeColor="text1"/>
                        </w:rPr>
                      </m:ctrlPr>
                    </m:dPr>
                    <m:e>
                      <m:f>
                        <m:fPr>
                          <m:ctrlPr>
                            <w:rPr>
                              <w:rFonts w:ascii="Cambria Math" w:eastAsia="FangSong" w:hAnsi="Cambria Math" w:cs="Times New Roman"/>
                              <w:i/>
                              <w:color w:val="000000" w:themeColor="text1"/>
                            </w:rPr>
                          </m:ctrlPr>
                        </m:fPr>
                        <m:num>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P</m:t>
                              </m:r>
                            </m:e>
                            <m:sub>
                              <m:r>
                                <w:rPr>
                                  <w:rFonts w:ascii="Cambria Math" w:eastAsia="FangSong" w:hAnsi="Cambria Math" w:cs="Times New Roman"/>
                                  <w:color w:val="000000" w:themeColor="text1"/>
                                </w:rPr>
                                <m:t>i,t</m:t>
                              </m:r>
                            </m:sub>
                          </m:sSub>
                        </m:num>
                        <m:den>
                          <m:sSub>
                            <m:sSubPr>
                              <m:ctrlPr>
                                <w:rPr>
                                  <w:rFonts w:ascii="Cambria Math" w:eastAsia="FangSong" w:hAnsi="Cambria Math" w:cs="Times New Roman"/>
                                  <w:i/>
                                  <w:color w:val="000000" w:themeColor="text1"/>
                                </w:rPr>
                              </m:ctrlPr>
                            </m:sSubPr>
                            <m:e>
                              <w:bookmarkStart w:id="34" w:name="OLE_LINK114"/>
                              <w:bookmarkStart w:id="35" w:name="OLE_LINK115"/>
                              <m:r>
                                <w:rPr>
                                  <w:rFonts w:ascii="Cambria Math" w:eastAsia="FangSong" w:hAnsi="Cambria Math" w:cs="Times New Roman"/>
                                  <w:color w:val="000000" w:themeColor="text1"/>
                                </w:rPr>
                                <m:t>P</m:t>
                              </m:r>
                            </m:e>
                            <m:sub>
                              <m:r>
                                <w:rPr>
                                  <w:rFonts w:ascii="Cambria Math" w:eastAsia="FangSong" w:hAnsi="Cambria Math" w:cs="Times New Roman"/>
                                  <w:color w:val="000000" w:themeColor="text1"/>
                                </w:rPr>
                                <m:t>i-1,t</m:t>
                              </m:r>
                              <w:bookmarkEnd w:id="34"/>
                              <w:bookmarkEnd w:id="35"/>
                            </m:sub>
                          </m:sSub>
                        </m:den>
                      </m:f>
                    </m:e>
                  </m:d>
                </m:e>
              </m:func>
              <m:r>
                <w:rPr>
                  <w:rFonts w:ascii="Cambria Math" w:eastAsia="FangSong" w:hAnsi="Cambria Math" w:cs="Times New Roman"/>
                  <w:color w:val="000000" w:themeColor="text1"/>
                </w:rPr>
                <m:t>*100#(A2)</m:t>
              </m:r>
            </m:e>
          </m:eqArr>
        </m:oMath>
      </m:oMathPara>
    </w:p>
    <w:p w14:paraId="5D1A6E6D"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Where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P</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and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P</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-1,</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are the stock market closing prices on day i and i-1 of month t, respectively.</w:t>
      </w:r>
    </w:p>
    <w:p w14:paraId="5A0B3D0A" w14:textId="7E291DF8" w:rsidR="003809E8" w:rsidRPr="0053126D" w:rsidRDefault="003809E8" w:rsidP="003809E8">
      <w:pPr>
        <w:pStyle w:val="MDPI22heading2"/>
        <w:spacing w:before="240"/>
        <w:ind w:left="0"/>
        <w:rPr>
          <w:rFonts w:ascii="Times New Roman" w:hAnsi="Times New Roman"/>
          <w:color w:val="000000" w:themeColor="text1"/>
          <w:sz w:val="22"/>
          <w:szCs w:val="28"/>
        </w:rPr>
      </w:pPr>
      <w:r w:rsidRPr="0053126D">
        <w:rPr>
          <w:rFonts w:ascii="Times New Roman" w:hAnsi="Times New Roman"/>
          <w:color w:val="000000" w:themeColor="text1"/>
          <w:sz w:val="22"/>
          <w:szCs w:val="28"/>
        </w:rPr>
        <w:t>Modelling short-term volatility</w:t>
      </w:r>
    </w:p>
    <w:p w14:paraId="7C31829E" w14:textId="1422E038"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The modeling approach for short-term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g</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refers to the research of </w:t>
      </w:r>
      <w:r w:rsidR="00226262" w:rsidRPr="0053126D">
        <w:rPr>
          <w:rFonts w:ascii="Times New Roman" w:eastAsia="FangSong" w:hAnsi="Times New Roman" w:cs="Times New Roman"/>
          <w:color w:val="000000" w:themeColor="text1"/>
          <w:szCs w:val="22"/>
          <w14:ligatures w14:val="none"/>
        </w:rPr>
        <w:fldChar w:fldCharType="begin"/>
      </w:r>
      <w:r w:rsidR="00226262" w:rsidRPr="0053126D">
        <w:rPr>
          <w:rFonts w:ascii="Times New Roman" w:eastAsia="FangSong" w:hAnsi="Times New Roman" w:cs="Times New Roman"/>
          <w:color w:val="000000" w:themeColor="text1"/>
          <w:szCs w:val="22"/>
          <w14:ligatures w14:val="none"/>
        </w:rPr>
        <w:instrText xml:space="preserve"> ADDIN EN.CITE &lt;EndNote&gt;&lt;Cite AuthorYear="1"&gt;&lt;Author&gt;Conrad&lt;/Author&gt;&lt;Year&gt;2020&lt;/Year&gt;&lt;RecNum&gt;17&lt;/RecNum&gt;&lt;DisplayText&gt;Conrad and Kleen (2020)&lt;/DisplayText&gt;&lt;record&gt;&lt;rec-number&gt;17&lt;/rec-number&gt;&lt;foreign-keys&gt;&lt;key app="EN" db-id="v0ffzw0attzvegext9k5ed51e5az2zvssta9" timestamp="1754288417"&gt;17&lt;/key&gt;&lt;/foreign-keys&gt;&lt;ref-type name="Journal Article"&gt;17&lt;/ref-type&gt;&lt;contributors&gt;&lt;authors&gt;&lt;author&gt;Conrad, Christian&lt;/author&gt;&lt;author&gt;Kleen, Onno&lt;/author&gt;&lt;/authors&gt;&lt;/contributors&gt;&lt;titles&gt;&lt;title&gt;Two are better than one: Volatility forecasting using multiplicative component GARCH-MIDAS models&lt;/title&gt;&lt;secondary-title&gt;Journal of Applied Econometrics&lt;/secondary-title&gt;&lt;/titles&gt;&lt;periodical&gt;&lt;full-title&gt;Journal of Applied Econometrics&lt;/full-title&gt;&lt;/periodical&gt;&lt;pages&gt;19-45&lt;/pages&gt;&lt;volume&gt;35&lt;/volume&gt;&lt;number&gt;1&lt;/number&gt;&lt;dates&gt;&lt;year&gt;2020&lt;/year&gt;&lt;pub-dates&gt;&lt;date&gt;2020/01/01&lt;/date&gt;&lt;/pub-dates&gt;&lt;/dates&gt;&lt;publisher&gt;John Wiley &amp;amp; Sons, Ltd&lt;/publisher&gt;&lt;isbn&gt;0883-7252&lt;/isbn&gt;&lt;urls&gt;&lt;related-urls&gt;&lt;url&gt;https://doi.org/10.1002/jae.2742&lt;/url&gt;&lt;/related-urls&gt;&lt;/urls&gt;&lt;electronic-resource-num&gt;https://doi.org/10.1002/jae.2742&lt;/electronic-resource-num&gt;&lt;access-date&gt;2025/08/03&lt;/access-date&gt;&lt;/record&gt;&lt;/Cite&gt;&lt;/EndNote&gt;</w:instrText>
      </w:r>
      <w:r w:rsidR="00226262" w:rsidRPr="0053126D">
        <w:rPr>
          <w:rFonts w:ascii="Times New Roman" w:eastAsia="FangSong" w:hAnsi="Times New Roman" w:cs="Times New Roman"/>
          <w:color w:val="000000" w:themeColor="text1"/>
          <w:szCs w:val="22"/>
          <w14:ligatures w14:val="none"/>
        </w:rPr>
        <w:fldChar w:fldCharType="separate"/>
      </w:r>
      <w:r w:rsidR="00226262" w:rsidRPr="0053126D">
        <w:rPr>
          <w:rFonts w:ascii="Times New Roman" w:eastAsia="FangSong" w:hAnsi="Times New Roman" w:cs="Times New Roman"/>
          <w:noProof/>
          <w:color w:val="000000" w:themeColor="text1"/>
          <w:szCs w:val="22"/>
          <w14:ligatures w14:val="none"/>
        </w:rPr>
        <w:t>Conrad and Kleen (2020)</w:t>
      </w:r>
      <w:r w:rsidR="00226262"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adopts the GJR-GARCH(1,1) model definition, which is expressed as follows:</w:t>
      </w:r>
    </w:p>
    <w:p w14:paraId="126CED60" w14:textId="1C15D616" w:rsidR="003809E8" w:rsidRPr="0053126D" w:rsidRDefault="00000000" w:rsidP="003809E8">
      <w:pPr>
        <w:spacing w:line="360" w:lineRule="auto"/>
        <w:ind w:firstLine="420"/>
        <w:rPr>
          <w:rFonts w:ascii="Times New Roman" w:eastAsia="SimSun" w:hAnsi="Times New Roman" w:cs="Times New Roman"/>
          <w:color w:val="000000" w:themeColor="text1"/>
        </w:rPr>
      </w:pPr>
      <m:oMathPara>
        <m:oMath>
          <m:eqArr>
            <m:eqArrPr>
              <m:maxDist m:val="1"/>
              <m:ctrlPr>
                <w:rPr>
                  <w:rFonts w:ascii="Cambria Math" w:hAnsi="Cambria Math" w:cs="Times New Roman"/>
                  <w:i/>
                  <w:color w:val="000000" w:themeColor="text1"/>
                </w:rPr>
              </m:ctrlPr>
            </m:eqArrPr>
            <m:e>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i,t</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1-α-</m:t>
                  </m:r>
                  <m:f>
                    <m:fPr>
                      <m:ctrlPr>
                        <w:rPr>
                          <w:rFonts w:ascii="Cambria Math" w:hAnsi="Cambria Math" w:cs="Times New Roman"/>
                          <w:i/>
                          <w:color w:val="000000" w:themeColor="text1"/>
                        </w:rPr>
                      </m:ctrlPr>
                    </m:fPr>
                    <m:num>
                      <m:r>
                        <w:rPr>
                          <w:rFonts w:ascii="Cambria Math" w:hAnsi="Cambria Math" w:cs="Times New Roman"/>
                          <w:color w:val="000000" w:themeColor="text1"/>
                        </w:rPr>
                        <m:t>γ</m:t>
                      </m:r>
                    </m:num>
                    <m:den>
                      <m:r>
                        <w:rPr>
                          <w:rFonts w:ascii="Cambria Math" w:hAnsi="Cambria Math" w:cs="Times New Roman"/>
                          <w:color w:val="000000" w:themeColor="text1"/>
                        </w:rPr>
                        <m:t>2</m:t>
                      </m:r>
                    </m:den>
                  </m:f>
                  <m:r>
                    <w:rPr>
                      <w:rFonts w:ascii="Cambria Math" w:hAnsi="Cambria Math" w:cs="Times New Roman"/>
                      <w:color w:val="000000" w:themeColor="text1"/>
                    </w:rPr>
                    <m:t>-β</m:t>
                  </m:r>
                </m:e>
              </m:d>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α+γ*</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d>
                        <m:dPr>
                          <m:begChr m:val="{"/>
                          <m:endChr m:val="}"/>
                          <m:ctrlPr>
                            <w:rPr>
                              <w:rFonts w:ascii="Cambria Math" w:hAnsi="Cambria Math" w:cs="Times New Roman"/>
                              <w:i/>
                              <w:color w:val="000000" w:themeColor="text1"/>
                            </w:rPr>
                          </m:ctrlPr>
                        </m:dPr>
                        <m:e>
                          <w:bookmarkStart w:id="36" w:name="OLE_LINK116"/>
                          <w:bookmarkStart w:id="37" w:name="OLE_LINK117"/>
                          <m:sSub>
                            <m:sSubPr>
                              <m:ctrlPr>
                                <w:rPr>
                                  <w:rFonts w:ascii="Cambria Math" w:hAnsi="Cambria Math" w:cs="Times New Roman"/>
                                  <w:i/>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i-1,t</m:t>
                              </m:r>
                            </m:sub>
                          </m:sSub>
                          <m:r>
                            <w:rPr>
                              <w:rFonts w:ascii="Cambria Math" w:hAnsi="Cambria Math" w:cs="Times New Roman"/>
                              <w:color w:val="000000" w:themeColor="text1"/>
                            </w:rPr>
                            <m:t>&lt;0</m:t>
                          </m:r>
                          <w:bookmarkEnd w:id="36"/>
                          <w:bookmarkEnd w:id="37"/>
                        </m:e>
                      </m:d>
                    </m:sub>
                  </m:sSub>
                </m:e>
              </m:d>
              <m:f>
                <m:fPr>
                  <m:ctrlPr>
                    <w:rPr>
                      <w:rFonts w:ascii="Cambria Math" w:hAnsi="Cambria Math" w:cs="Times New Roman"/>
                      <w:i/>
                      <w:color w:val="000000" w:themeColor="text1"/>
                    </w:rPr>
                  </m:ctrlPr>
                </m:fPr>
                <m:num>
                  <m:sSubSup>
                    <m:sSubSupPr>
                      <m:ctrlPr>
                        <w:rPr>
                          <w:rFonts w:ascii="Cambria Math" w:hAnsi="Cambria Math" w:cs="Times New Roman"/>
                          <w:i/>
                          <w:color w:val="000000" w:themeColor="text1"/>
                        </w:rPr>
                      </m:ctrlPr>
                    </m:sSubSupPr>
                    <m:e>
                      <m:r>
                        <w:rPr>
                          <w:rFonts w:ascii="Cambria Math" w:hAnsi="Cambria Math" w:cs="Times New Roman"/>
                          <w:color w:val="000000" w:themeColor="text1"/>
                        </w:rPr>
                        <m:t>ε</m:t>
                      </m:r>
                    </m:e>
                    <m:sub>
                      <m:r>
                        <w:rPr>
                          <w:rFonts w:ascii="Cambria Math" w:hAnsi="Cambria Math" w:cs="Times New Roman"/>
                          <w:color w:val="000000" w:themeColor="text1"/>
                        </w:rPr>
                        <m:t>i-1,t</m:t>
                      </m:r>
                    </m:sub>
                    <m:sup>
                      <m:r>
                        <w:rPr>
                          <w:rFonts w:ascii="Cambria Math" w:hAnsi="Cambria Math" w:cs="Times New Roman"/>
                          <w:color w:val="000000" w:themeColor="text1"/>
                        </w:rPr>
                        <m:t>2</m:t>
                      </m:r>
                    </m:sup>
                  </m:sSubSup>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den>
              </m:f>
              <m:r>
                <w:rPr>
                  <w:rFonts w:ascii="Cambria Math" w:hAnsi="Cambria Math" w:cs="Times New Roman"/>
                  <w:color w:val="000000" w:themeColor="text1"/>
                </w:rPr>
                <m:t>+β</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i-1,t</m:t>
                  </m:r>
                </m:sub>
              </m:sSub>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A3</m:t>
                  </m:r>
                </m:e>
              </m:d>
            </m:e>
          </m:eqArr>
        </m:oMath>
      </m:oMathPara>
    </w:p>
    <w:p w14:paraId="77DB26A8" w14:textId="09F0DF5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38" w:name="OLE_LINK97"/>
      <w:bookmarkStart w:id="39" w:name="OLE_LINK96"/>
      <w:bookmarkStart w:id="40" w:name="OLE_LINK99"/>
      <w:bookmarkStart w:id="41" w:name="OLE_LINK98"/>
      <w:r w:rsidRPr="0053126D">
        <w:rPr>
          <w:rFonts w:ascii="Times New Roman" w:eastAsia="FangSong" w:hAnsi="Times New Roman" w:cs="Times New Roman"/>
          <w:color w:val="000000" w:themeColor="text1"/>
          <w:szCs w:val="22"/>
          <w14:ligatures w14:val="none"/>
        </w:rPr>
        <w:t xml:space="preserve">Where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i-1,t</m:t>
                    </m:r>
                  </m:sub>
                </m:sSub>
                <m:r>
                  <w:rPr>
                    <w:rFonts w:ascii="Cambria Math" w:hAnsi="Cambria Math" w:cs="Times New Roman"/>
                    <w:color w:val="000000" w:themeColor="text1"/>
                  </w:rPr>
                  <m:t>&lt;0</m:t>
                </m:r>
              </m:e>
            </m:d>
          </m:sub>
        </m:sSub>
      </m:oMath>
      <w:r w:rsidR="00E27840" w:rsidRPr="0053126D">
        <w:rPr>
          <w:rFonts w:ascii="Times New Roman" w:eastAsia="FangSong" w:hAnsi="Times New Roman" w:cs="Times New Roman"/>
          <w:color w:val="000000" w:themeColor="text1"/>
        </w:rPr>
        <w:t xml:space="preserve"> </w:t>
      </w:r>
      <w:r w:rsidRPr="0053126D">
        <w:rPr>
          <w:rFonts w:ascii="Times New Roman" w:eastAsia="FangSong" w:hAnsi="Times New Roman" w:cs="Times New Roman"/>
          <w:color w:val="000000" w:themeColor="text1"/>
          <w:szCs w:val="22"/>
          <w14:ligatures w14:val="none"/>
        </w:rPr>
        <w:t xml:space="preserve">is the indicator function, which takes the value of 1 when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ε</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-1,</m:t>
            </m:r>
            <m:r>
              <w:rPr>
                <w:rFonts w:ascii="Cambria Math" w:eastAsia="FangSong" w:hAnsi="Cambria Math" w:cs="Times New Roman"/>
                <w:color w:val="000000" w:themeColor="text1"/>
                <w:szCs w:val="22"/>
                <w14:ligatures w14:val="none"/>
              </w:rPr>
              <m:t>t</m:t>
            </m:r>
          </m:sub>
        </m:sSub>
        <m:r>
          <m:rPr>
            <m:sty m:val="p"/>
          </m:rPr>
          <w:rPr>
            <w:rFonts w:ascii="Cambria Math" w:eastAsia="FangSong" w:hAnsi="Cambria Math" w:cs="Times New Roman"/>
            <w:color w:val="000000" w:themeColor="text1"/>
            <w:szCs w:val="22"/>
            <w14:ligatures w14:val="none"/>
          </w:rPr>
          <m:t>&lt;0</m:t>
        </m:r>
      </m:oMath>
      <w:r w:rsidRPr="0053126D">
        <w:rPr>
          <w:rFonts w:ascii="Times New Roman" w:eastAsia="FangSong" w:hAnsi="Times New Roman" w:cs="Times New Roman"/>
          <w:color w:val="000000" w:themeColor="text1"/>
          <w:szCs w:val="22"/>
          <w14:ligatures w14:val="none"/>
        </w:rPr>
        <w:t>, otherwise it is 0. The model parameters need to meet</w:t>
      </w:r>
      <w:r w:rsidR="0059251C" w:rsidRPr="0053126D">
        <w:rPr>
          <w:rFonts w:ascii="Times New Roman" w:eastAsia="FangSong" w:hAnsi="Times New Roman" w:cs="Times New Roman"/>
          <w:color w:val="000000" w:themeColor="text1"/>
          <w:szCs w:val="22"/>
          <w14:ligatures w14:val="none"/>
        </w:rPr>
        <w:t xml:space="preserve"> </w:t>
      </w:r>
      <m:oMath>
        <m:r>
          <w:rPr>
            <w:rFonts w:ascii="Cambria Math" w:eastAsia="FangSong" w:hAnsi="Cambria Math" w:cs="Times New Roman"/>
            <w:color w:val="000000" w:themeColor="text1"/>
            <w:szCs w:val="22"/>
            <w14:ligatures w14:val="none"/>
          </w:rPr>
          <m:t>α</m:t>
        </m:r>
        <m:r>
          <m:rPr>
            <m:sty m:val="p"/>
          </m:rPr>
          <w:rPr>
            <w:rFonts w:ascii="Cambria Math" w:eastAsia="FangSong" w:hAnsi="Cambria Math" w:cs="Times New Roman"/>
            <w:color w:val="000000" w:themeColor="text1"/>
            <w:szCs w:val="22"/>
            <w14:ligatures w14:val="none"/>
          </w:rPr>
          <m:t xml:space="preserve">&gt;0; </m:t>
        </m:r>
        <m:r>
          <w:rPr>
            <w:rFonts w:ascii="Cambria Math" w:eastAsia="FangSong" w:hAnsi="Cambria Math" w:cs="Times New Roman"/>
            <w:color w:val="000000" w:themeColor="text1"/>
            <w:szCs w:val="22"/>
            <w14:ligatures w14:val="none"/>
          </w:rPr>
          <m:t>β</m:t>
        </m:r>
        <m:r>
          <m:rPr>
            <m:sty m:val="p"/>
          </m:rPr>
          <w:rPr>
            <w:rFonts w:ascii="Cambria Math" w:eastAsia="FangSong" w:hAnsi="Cambria Math" w:cs="Times New Roman"/>
            <w:color w:val="000000" w:themeColor="text1"/>
            <w:szCs w:val="22"/>
            <w14:ligatures w14:val="none"/>
          </w:rPr>
          <m:t>≥0</m:t>
        </m:r>
      </m:oMath>
      <w:r w:rsidR="0059251C" w:rsidRPr="0053126D">
        <w:rPr>
          <w:rFonts w:ascii="Times New Roman" w:eastAsia="FangSong" w:hAnsi="Times New Roman" w:cs="Times New Roman"/>
          <w:color w:val="000000" w:themeColor="text1"/>
          <w:szCs w:val="22"/>
          <w14:ligatures w14:val="none"/>
        </w:rPr>
        <w:t>, and</w:t>
      </w:r>
      <w:r w:rsidRPr="0053126D">
        <w:rPr>
          <w:rFonts w:ascii="Times New Roman" w:eastAsia="FangSong" w:hAnsi="Times New Roman" w:cs="Times New Roman"/>
          <w:color w:val="000000" w:themeColor="text1"/>
          <w:szCs w:val="22"/>
          <w14:ligatures w14:val="none"/>
        </w:rPr>
        <w:t xml:space="preserve"> </w:t>
      </w:r>
      <m:oMath>
        <m:r>
          <w:rPr>
            <w:rFonts w:ascii="Cambria Math" w:eastAsia="FangSong" w:hAnsi="Cambria Math" w:cs="Times New Roman"/>
            <w:color w:val="000000" w:themeColor="text1"/>
            <w:szCs w:val="22"/>
            <w14:ligatures w14:val="none"/>
          </w:rPr>
          <m:t>α</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β</m:t>
        </m:r>
        <m:r>
          <m:rPr>
            <m:sty m:val="p"/>
          </m:rPr>
          <w:rPr>
            <w:rFonts w:ascii="Cambria Math" w:eastAsia="FangSong" w:hAnsi="Cambria Math" w:cs="Times New Roman"/>
            <w:color w:val="000000" w:themeColor="text1"/>
            <w:szCs w:val="22"/>
            <w14:ligatures w14:val="none"/>
          </w:rPr>
          <m:t xml:space="preserve"> +</m:t>
        </m:r>
        <m:f>
          <m:fPr>
            <m:ctrlPr>
              <w:rPr>
                <w:rFonts w:ascii="Cambria Math" w:eastAsia="FangSong" w:hAnsi="Cambria Math" w:cs="Times New Roman"/>
                <w:color w:val="000000" w:themeColor="text1"/>
                <w:szCs w:val="22"/>
                <w14:ligatures w14:val="none"/>
              </w:rPr>
            </m:ctrlPr>
          </m:fPr>
          <m:num>
            <m:r>
              <w:rPr>
                <w:rFonts w:ascii="Cambria Math" w:eastAsia="FangSong" w:hAnsi="Cambria Math" w:cs="Times New Roman"/>
                <w:color w:val="000000" w:themeColor="text1"/>
                <w:szCs w:val="22"/>
                <w14:ligatures w14:val="none"/>
              </w:rPr>
              <m:t>γ</m:t>
            </m:r>
          </m:num>
          <m:den>
            <m:r>
              <m:rPr>
                <m:sty m:val="p"/>
              </m:rPr>
              <w:rPr>
                <w:rFonts w:ascii="Cambria Math" w:eastAsia="FangSong" w:hAnsi="Cambria Math" w:cs="Times New Roman"/>
                <w:color w:val="000000" w:themeColor="text1"/>
                <w:szCs w:val="22"/>
                <w14:ligatures w14:val="none"/>
              </w:rPr>
              <m:t>2</m:t>
            </m:r>
          </m:den>
        </m:f>
        <m:r>
          <m:rPr>
            <m:sty m:val="p"/>
          </m:rPr>
          <w:rPr>
            <w:rFonts w:ascii="Cambria Math" w:eastAsia="FangSong" w:hAnsi="Cambria Math" w:cs="Times New Roman"/>
            <w:color w:val="000000" w:themeColor="text1"/>
            <w:szCs w:val="22"/>
            <w14:ligatures w14:val="none"/>
          </w:rPr>
          <m:t>&lt;1</m:t>
        </m:r>
      </m:oMath>
      <w:r w:rsidRPr="0053126D">
        <w:rPr>
          <w:rFonts w:ascii="Times New Roman" w:eastAsia="FangSong" w:hAnsi="Times New Roman" w:cs="Times New Roman"/>
          <w:color w:val="000000" w:themeColor="text1"/>
          <w:szCs w:val="22"/>
          <w14:ligatures w14:val="none"/>
        </w:rPr>
        <w:t xml:space="preserve"> to ensure the stability of the model. The parameter </w:t>
      </w:r>
      <m:oMath>
        <m:r>
          <w:rPr>
            <w:rFonts w:ascii="Cambria Math" w:eastAsia="FangSong" w:hAnsi="Cambria Math" w:cs="Times New Roman"/>
            <w:color w:val="000000" w:themeColor="text1"/>
            <w:szCs w:val="22"/>
            <w14:ligatures w14:val="none"/>
          </w:rPr>
          <m:t>γ</m:t>
        </m:r>
      </m:oMath>
      <w:r w:rsidRPr="0053126D">
        <w:rPr>
          <w:rFonts w:ascii="Times New Roman" w:eastAsia="FangSong" w:hAnsi="Times New Roman" w:cs="Times New Roman"/>
          <w:color w:val="000000" w:themeColor="text1"/>
          <w:szCs w:val="22"/>
          <w14:ligatures w14:val="none"/>
        </w:rPr>
        <w:t xml:space="preserve"> is used to measure the asymmetric effect of volatility. When </w:t>
      </w:r>
      <m:oMath>
        <m:r>
          <w:rPr>
            <w:rFonts w:ascii="Cambria Math" w:eastAsia="FangSong" w:hAnsi="Cambria Math" w:cs="Times New Roman"/>
            <w:color w:val="000000" w:themeColor="text1"/>
            <w:szCs w:val="22"/>
            <w14:ligatures w14:val="none"/>
          </w:rPr>
          <m:t>γ</m:t>
        </m:r>
        <m:r>
          <m:rPr>
            <m:sty m:val="p"/>
          </m:rPr>
          <w:rPr>
            <w:rFonts w:ascii="Cambria Math" w:eastAsia="FangSong" w:hAnsi="Cambria Math" w:cs="Times New Roman"/>
            <w:color w:val="000000" w:themeColor="text1"/>
            <w:szCs w:val="22"/>
            <w14:ligatures w14:val="none"/>
          </w:rPr>
          <m:t>&gt;0</m:t>
        </m:r>
      </m:oMath>
      <w:r w:rsidRPr="0053126D">
        <w:rPr>
          <w:rFonts w:ascii="Times New Roman" w:eastAsia="FangSong" w:hAnsi="Times New Roman" w:cs="Times New Roman"/>
          <w:color w:val="000000" w:themeColor="text1"/>
          <w:szCs w:val="22"/>
          <w14:ligatures w14:val="none"/>
        </w:rPr>
        <w:t xml:space="preserve"> and significant, it </w:t>
      </w:r>
      <w:r w:rsidRPr="0053126D">
        <w:rPr>
          <w:rFonts w:ascii="Times New Roman" w:eastAsia="FangSong" w:hAnsi="Times New Roman" w:cs="Times New Roman"/>
          <w:color w:val="000000" w:themeColor="text1"/>
          <w:szCs w:val="22"/>
          <w14:ligatures w14:val="none"/>
        </w:rPr>
        <w:lastRenderedPageBreak/>
        <w:t xml:space="preserve">indicates that </w:t>
      </w:r>
      <w:r w:rsidR="0059251C" w:rsidRPr="0053126D">
        <w:rPr>
          <w:rFonts w:ascii="Times New Roman" w:eastAsia="FangSong" w:hAnsi="Times New Roman" w:cs="Times New Roman"/>
          <w:color w:val="000000" w:themeColor="text1"/>
          <w:szCs w:val="22"/>
          <w14:ligatures w14:val="none"/>
        </w:rPr>
        <w:t xml:space="preserve">the </w:t>
      </w:r>
      <w:r w:rsidRPr="0053126D">
        <w:rPr>
          <w:rFonts w:ascii="Times New Roman" w:eastAsia="FangSong" w:hAnsi="Times New Roman" w:cs="Times New Roman"/>
          <w:color w:val="000000" w:themeColor="text1"/>
          <w:szCs w:val="22"/>
          <w14:ligatures w14:val="none"/>
        </w:rPr>
        <w:t xml:space="preserve">negative shocks </w:t>
      </w:r>
      <w:r w:rsidR="0059251C" w:rsidRPr="0053126D">
        <w:rPr>
          <w:rFonts w:ascii="Times New Roman" w:eastAsia="FangSong" w:hAnsi="Times New Roman" w:cs="Times New Roman"/>
          <w:color w:val="000000" w:themeColor="text1"/>
          <w:szCs w:val="22"/>
          <w14:ligatures w14:val="none"/>
        </w:rPr>
        <w:t xml:space="preserve">have a greater </w:t>
      </w:r>
      <w:r w:rsidRPr="0053126D">
        <w:rPr>
          <w:rFonts w:ascii="Times New Roman" w:eastAsia="FangSong" w:hAnsi="Times New Roman" w:cs="Times New Roman"/>
          <w:color w:val="000000" w:themeColor="text1"/>
          <w:szCs w:val="22"/>
          <w14:ligatures w14:val="none"/>
        </w:rPr>
        <w:t xml:space="preserve">impact on volatility than positive shocks. There is no linear asymmetric effect if </w:t>
      </w:r>
      <m:oMath>
        <m:r>
          <w:rPr>
            <w:rFonts w:ascii="Cambria Math" w:eastAsia="FangSong" w:hAnsi="Cambria Math" w:cs="Times New Roman"/>
            <w:color w:val="000000" w:themeColor="text1"/>
            <w:szCs w:val="22"/>
            <w14:ligatures w14:val="none"/>
          </w:rPr>
          <m:t>γ</m:t>
        </m:r>
        <m:r>
          <m:rPr>
            <m:sty m:val="p"/>
          </m:rPr>
          <w:rPr>
            <w:rFonts w:ascii="Cambria Math" w:eastAsia="FangSong" w:hAnsi="Cambria Math" w:cs="Times New Roman"/>
            <w:color w:val="000000" w:themeColor="text1"/>
            <w:szCs w:val="22"/>
            <w14:ligatures w14:val="none"/>
          </w:rPr>
          <m:t>&gt;0</m:t>
        </m:r>
      </m:oMath>
      <w:r w:rsidR="0059251C" w:rsidRPr="0053126D">
        <w:rPr>
          <w:rFonts w:ascii="Times New Roman" w:eastAsia="FangSong" w:hAnsi="Times New Roman" w:cs="Times New Roman"/>
          <w:color w:val="000000" w:themeColor="text1"/>
          <w:szCs w:val="22"/>
          <w14:ligatures w14:val="none"/>
        </w:rPr>
        <w:t xml:space="preserve">, which is </w:t>
      </w:r>
      <w:r w:rsidRPr="0053126D">
        <w:rPr>
          <w:rFonts w:ascii="Times New Roman" w:eastAsia="FangSong" w:hAnsi="Times New Roman" w:cs="Times New Roman"/>
          <w:color w:val="000000" w:themeColor="text1"/>
          <w:szCs w:val="22"/>
          <w14:ligatures w14:val="none"/>
        </w:rPr>
        <w:t>insignificant.</w:t>
      </w:r>
    </w:p>
    <w:bookmarkEnd w:id="38"/>
    <w:bookmarkEnd w:id="39"/>
    <w:p w14:paraId="61203138" w14:textId="12D498A4"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Long-term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τ</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can be expressed through the realized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or the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index (GPRNK). Considering that exogenous variables may positively or negatively impact volatility, this study uses logarithmically treated variables to ensure that the value of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oMath>
      <w:r w:rsidR="007A759B"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is always positive. It is expressed as follows:</w:t>
      </w:r>
    </w:p>
    <w:p w14:paraId="2B0D20D7" w14:textId="3297D12F" w:rsidR="003809E8" w:rsidRPr="0053126D" w:rsidRDefault="00000000" w:rsidP="003809E8">
      <w:pPr>
        <w:spacing w:line="360" w:lineRule="auto"/>
        <w:rPr>
          <w:rFonts w:ascii="Times New Roman" w:hAnsi="Times New Roman" w:cs="Times New Roman"/>
          <w:iCs/>
          <w:color w:val="000000" w:themeColor="text1"/>
        </w:rPr>
      </w:pPr>
      <m:oMathPara>
        <m:oMath>
          <m:eqArr>
            <m:eqArrPr>
              <m:maxDist m:val="1"/>
              <m:ctrlPr>
                <w:rPr>
                  <w:rFonts w:ascii="Cambria Math" w:hAnsi="Cambria Math" w:cs="Times New Roman"/>
                  <w:i/>
                  <w:iCs/>
                  <w:color w:val="000000" w:themeColor="text1"/>
                </w:rPr>
              </m:ctrlPr>
            </m:eqArrPr>
            <m:e>
              <m:r>
                <w:rPr>
                  <w:rFonts w:ascii="Cambria Math" w:hAnsi="Cambria Math" w:cs="Times New Roman"/>
                  <w:color w:val="000000" w:themeColor="text1"/>
                </w:rPr>
                <m:t>ln</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τ</m:t>
                  </m:r>
                </m:e>
                <m:sub>
                  <m:r>
                    <w:rPr>
                      <w:rFonts w:ascii="Cambria Math" w:hAnsi="Cambria Math" w:cs="Times New Roman"/>
                      <w:color w:val="000000" w:themeColor="text1"/>
                    </w:rPr>
                    <m:t>t</m:t>
                  </m:r>
                </m:sub>
              </m:sSub>
              <m:r>
                <w:rPr>
                  <w:rFonts w:ascii="Cambria Math" w:hAnsi="Cambria Math" w:cs="Times New Roman"/>
                  <w:color w:val="000000" w:themeColor="text1"/>
                </w:rPr>
                <m:t>=</m:t>
              </m:r>
              <w:bookmarkStart w:id="42" w:name="OLE_LINK100"/>
              <w:bookmarkStart w:id="43" w:name="OLE_LINK101"/>
              <m:r>
                <w:rPr>
                  <w:rFonts w:ascii="Cambria Math" w:hAnsi="Cambria Math" w:cs="Times New Roman"/>
                  <w:color w:val="000000" w:themeColor="text1"/>
                </w:rPr>
                <m:t>m</m:t>
              </m:r>
              <w:bookmarkEnd w:id="42"/>
              <w:bookmarkEnd w:id="43"/>
              <m:r>
                <w:rPr>
                  <w:rFonts w:ascii="Cambria Math" w:hAnsi="Cambria Math" w:cs="Times New Roman"/>
                  <w:color w:val="000000" w:themeColor="text1"/>
                </w:rPr>
                <m:t>+θ</m:t>
              </m:r>
              <m:nary>
                <m:naryPr>
                  <m:chr m:val="∑"/>
                  <m:limLoc m:val="undOvr"/>
                  <m:ctrlPr>
                    <w:rPr>
                      <w:rFonts w:ascii="Cambria Math" w:hAnsi="Cambria Math" w:cs="Times New Roman"/>
                      <w:i/>
                      <w:iCs/>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K</m:t>
                  </m:r>
                </m:sup>
                <m:e>
                  <m:sSub>
                    <m:sSubPr>
                      <m:ctrlPr>
                        <w:rPr>
                          <w:rFonts w:ascii="Cambria Math" w:hAnsi="Cambria Math" w:cs="Times New Roman"/>
                          <w:i/>
                          <w:iCs/>
                          <w:color w:val="000000" w:themeColor="text1"/>
                        </w:rPr>
                      </m:ctrlPr>
                    </m:sSubPr>
                    <m:e>
                      <m:r>
                        <w:rPr>
                          <w:rFonts w:ascii="Cambria Math" w:hAnsi="Cambria Math" w:cs="Times New Roman"/>
                          <w:color w:val="000000" w:themeColor="text1"/>
                        </w:rPr>
                        <m:t>φ</m:t>
                      </m:r>
                    </m:e>
                    <m:sub>
                      <m:r>
                        <w:rPr>
                          <w:rFonts w:ascii="Cambria Math" w:hAnsi="Cambria Math" w:cs="Times New Roman"/>
                          <w:color w:val="000000" w:themeColor="text1"/>
                        </w:rPr>
                        <m:t>k</m:t>
                      </m:r>
                    </m:sub>
                  </m:sSub>
                  <m:d>
                    <m:dPr>
                      <m:ctrlPr>
                        <w:rPr>
                          <w:rFonts w:ascii="Cambria Math" w:hAnsi="Cambria Math" w:cs="Times New Roman"/>
                          <w:i/>
                          <w:iCs/>
                          <w:color w:val="000000" w:themeColor="text1"/>
                        </w:rPr>
                      </m:ctrlPr>
                    </m:d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2</m:t>
                          </m:r>
                        </m:sub>
                      </m:sSub>
                    </m:e>
                  </m:d>
                  <w:bookmarkStart w:id="44" w:name="OLE_LINK121"/>
                  <w:bookmarkStart w:id="45" w:name="OLE_LINK120"/>
                  <m:sSub>
                    <m:sSubPr>
                      <m:ctrlPr>
                        <w:rPr>
                          <w:rFonts w:ascii="Cambria Math" w:hAnsi="Cambria Math" w:cs="Times New Roman"/>
                          <w:i/>
                          <w:iCs/>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t-k</m:t>
                      </m:r>
                    </m:sub>
                  </m:sSub>
                  <w:bookmarkEnd w:id="44"/>
                  <w:bookmarkEnd w:id="45"/>
                </m:e>
              </m:nary>
              <m:r>
                <w:rPr>
                  <w:rFonts w:ascii="Cambria Math" w:hAnsi="Cambria Math" w:cs="Times New Roman"/>
                  <w:color w:val="000000" w:themeColor="text1"/>
                </w:rPr>
                <m:t>#</m:t>
              </m:r>
              <m:d>
                <m:dPr>
                  <m:ctrlPr>
                    <w:rPr>
                      <w:rFonts w:ascii="Cambria Math" w:hAnsi="Cambria Math" w:cs="Times New Roman"/>
                      <w:i/>
                      <w:iCs/>
                      <w:color w:val="000000" w:themeColor="text1"/>
                    </w:rPr>
                  </m:ctrlPr>
                </m:dPr>
                <m:e>
                  <m:r>
                    <w:rPr>
                      <w:rFonts w:ascii="Cambria Math" w:hAnsi="Cambria Math" w:cs="Times New Roman"/>
                      <w:color w:val="000000" w:themeColor="text1"/>
                    </w:rPr>
                    <m:t>A4</m:t>
                  </m:r>
                </m:e>
              </m:d>
            </m:e>
          </m:eqArr>
        </m:oMath>
      </m:oMathPara>
    </w:p>
    <w:p w14:paraId="31B1965F" w14:textId="22A34576"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Among them, </w:t>
      </w:r>
      <m:oMath>
        <m:r>
          <w:rPr>
            <w:rFonts w:ascii="Cambria Math" w:eastAsia="FangSong" w:hAnsi="Cambria Math" w:cs="Times New Roman"/>
            <w:color w:val="000000" w:themeColor="text1"/>
            <w:szCs w:val="22"/>
            <w14:ligatures w14:val="none"/>
          </w:rPr>
          <m:t>m</m:t>
        </m:r>
      </m:oMath>
      <w:r w:rsidRPr="0053126D">
        <w:rPr>
          <w:rFonts w:ascii="Times New Roman" w:eastAsia="FangSong" w:hAnsi="Times New Roman" w:cs="Times New Roman"/>
          <w:color w:val="000000" w:themeColor="text1"/>
          <w:szCs w:val="22"/>
          <w14:ligatures w14:val="none"/>
        </w:rPr>
        <w:t xml:space="preserve"> is the constant term, </w:t>
      </w:r>
      <m:oMath>
        <m:r>
          <w:rPr>
            <w:rFonts w:ascii="Cambria Math" w:eastAsia="FangSong" w:hAnsi="Cambria Math" w:cs="Times New Roman"/>
            <w:color w:val="000000" w:themeColor="text1"/>
            <w:szCs w:val="22"/>
            <w14:ligatures w14:val="none"/>
          </w:rPr>
          <m:t>K</m:t>
        </m:r>
      </m:oMath>
      <w:r w:rsidRPr="0053126D">
        <w:rPr>
          <w:rFonts w:ascii="Times New Roman" w:eastAsia="FangSong" w:hAnsi="Times New Roman" w:cs="Times New Roman"/>
          <w:color w:val="000000" w:themeColor="text1"/>
          <w:szCs w:val="22"/>
          <w14:ligatures w14:val="none"/>
        </w:rPr>
        <w:t xml:space="preserve"> is the maximum lag order of the realized </w:t>
      </w:r>
      <w:bookmarkStart w:id="46" w:name="OLE_LINK230"/>
      <w:bookmarkStart w:id="47" w:name="OLE_LINK231"/>
      <w:r w:rsidRPr="0053126D">
        <w:rPr>
          <w:rFonts w:ascii="Times New Roman" w:eastAsia="FangSong" w:hAnsi="Times New Roman" w:cs="Times New Roman"/>
          <w:color w:val="000000" w:themeColor="text1"/>
          <w:szCs w:val="22"/>
          <w14:ligatures w14:val="none"/>
        </w:rPr>
        <w:t xml:space="preserve">volatility </w:t>
      </w:r>
      <w:bookmarkEnd w:id="46"/>
      <w:bookmarkEnd w:id="47"/>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w:t>
      </w:r>
      <m:oMath>
        <m:r>
          <w:rPr>
            <w:rFonts w:ascii="Cambria Math" w:eastAsia="FangSong" w:hAnsi="Cambria Math" w:cs="Times New Roman"/>
            <w:color w:val="000000" w:themeColor="text1"/>
            <w:szCs w:val="22"/>
            <w14:ligatures w14:val="none"/>
          </w:rPr>
          <m:t>θ</m:t>
        </m:r>
      </m:oMath>
      <w:r w:rsidRPr="0053126D">
        <w:rPr>
          <w:rFonts w:ascii="Times New Roman" w:eastAsia="FangSong" w:hAnsi="Times New Roman" w:cs="Times New Roman"/>
          <w:color w:val="000000" w:themeColor="text1"/>
          <w:szCs w:val="22"/>
          <w14:ligatures w14:val="none"/>
        </w:rPr>
        <w:t xml:space="preserve"> is the long-term impact coefficient, and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X</m:t>
            </m:r>
          </m:e>
          <m:sub>
            <m:r>
              <w:rPr>
                <w:rFonts w:ascii="Cambria Math" w:eastAsia="FangSong" w:hAnsi="Cambria Math" w:cs="Times New Roman"/>
                <w:color w:val="000000" w:themeColor="text1"/>
                <w:szCs w:val="22"/>
                <w14:ligatures w14:val="none"/>
              </w:rPr>
              <m:t>t</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k</m:t>
            </m:r>
          </m:sub>
        </m:sSub>
      </m:oMath>
      <w:r w:rsidRPr="0053126D">
        <w:rPr>
          <w:rFonts w:ascii="Times New Roman" w:eastAsia="FangSong" w:hAnsi="Times New Roman" w:cs="Times New Roman"/>
          <w:color w:val="000000" w:themeColor="text1"/>
          <w:szCs w:val="22"/>
          <w14:ligatures w14:val="none"/>
        </w:rPr>
        <w:t xml:space="preserve"> is the lag value of the exogenous variable (such as the </w:t>
      </w:r>
      <w:r w:rsidR="00C75C7D" w:rsidRPr="0053126D">
        <w:rPr>
          <w:rFonts w:ascii="Times New Roman" w:eastAsia="FangSong" w:hAnsi="Times New Roman" w:cs="Times New Roman"/>
          <w:color w:val="000000" w:themeColor="text1"/>
          <w:szCs w:val="22"/>
          <w14:ligatures w14:val="none"/>
        </w:rPr>
        <w:t xml:space="preserve">GPR </w:t>
      </w:r>
      <w:r w:rsidRPr="0053126D">
        <w:rPr>
          <w:rFonts w:ascii="Times New Roman" w:eastAsia="FangSong" w:hAnsi="Times New Roman" w:cs="Times New Roman"/>
          <w:color w:val="000000" w:themeColor="text1"/>
          <w:szCs w:val="22"/>
          <w14:ligatures w14:val="none"/>
        </w:rPr>
        <w:t xml:space="preserve">index).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is calculated as follows:</w:t>
      </w:r>
    </w:p>
    <w:p w14:paraId="04E2922F" w14:textId="75896294" w:rsidR="003809E8" w:rsidRPr="0053126D" w:rsidRDefault="00000000" w:rsidP="003809E8">
      <w:pPr>
        <w:spacing w:line="360" w:lineRule="auto"/>
        <w:rPr>
          <w:rFonts w:ascii="Times New Roman" w:hAnsi="Times New Roman" w:cs="Times New Roman"/>
          <w:iCs/>
          <w:color w:val="000000" w:themeColor="text1"/>
        </w:rPr>
      </w:pPr>
      <m:oMathPara>
        <m:oMath>
          <m:eqArr>
            <m:eqArrPr>
              <m:maxDist m:val="1"/>
              <m:ctrlPr>
                <w:rPr>
                  <w:rFonts w:ascii="Cambria Math" w:hAnsi="Cambria Math" w:cs="Times New Roman"/>
                  <w:i/>
                  <w:iCs/>
                  <w:color w:val="000000" w:themeColor="text1"/>
                </w:rPr>
              </m:ctrlPr>
            </m:eqArr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RV</m:t>
                  </m:r>
                </m:e>
                <m:sub>
                  <m:r>
                    <w:rPr>
                      <w:rFonts w:ascii="Cambria Math" w:hAnsi="Cambria Math" w:cs="Times New Roman"/>
                      <w:color w:val="000000" w:themeColor="text1"/>
                    </w:rPr>
                    <m:t>t</m:t>
                  </m:r>
                </m:sub>
              </m:sSub>
              <m:r>
                <w:rPr>
                  <w:rFonts w:ascii="Cambria Math" w:hAnsi="Cambria Math" w:cs="Times New Roman"/>
                  <w:color w:val="000000" w:themeColor="text1"/>
                </w:rPr>
                <m:t>=</m:t>
              </m:r>
              <m:nary>
                <m:naryPr>
                  <m:chr m:val="∑"/>
                  <m:limLoc m:val="undOvr"/>
                  <m:ctrlPr>
                    <w:rPr>
                      <w:rFonts w:ascii="Cambria Math" w:hAnsi="Cambria Math" w:cs="Times New Roman"/>
                      <w:i/>
                      <w:iCs/>
                      <w:color w:val="000000" w:themeColor="text1"/>
                    </w:rPr>
                  </m:ctrlPr>
                </m:naryPr>
                <m:sub>
                  <m:r>
                    <w:rPr>
                      <w:rFonts w:ascii="Cambria Math" w:hAnsi="Cambria Math" w:cs="Times New Roman"/>
                      <w:color w:val="000000" w:themeColor="text1"/>
                    </w:rPr>
                    <m:t>i=1</m:t>
                  </m:r>
                </m:sub>
                <m:sup>
                  <m:sSub>
                    <m:sSubPr>
                      <m:ctrlPr>
                        <w:rPr>
                          <w:rFonts w:ascii="Cambria Math" w:hAnsi="Cambria Math" w:cs="Times New Roman"/>
                          <w:i/>
                          <w:iCs/>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t</m:t>
                      </m:r>
                    </m:sub>
                  </m:sSub>
                </m:sup>
                <m:e>
                  <m:sSubSup>
                    <m:sSubSupPr>
                      <m:ctrlPr>
                        <w:rPr>
                          <w:rFonts w:ascii="Cambria Math" w:hAnsi="Cambria Math" w:cs="Times New Roman"/>
                          <w:i/>
                          <w:iCs/>
                          <w:color w:val="000000" w:themeColor="text1"/>
                        </w:rPr>
                      </m:ctrlPr>
                    </m:sSubSupPr>
                    <m:e>
                      <m:r>
                        <w:rPr>
                          <w:rFonts w:ascii="Cambria Math" w:hAnsi="Cambria Math" w:cs="Times New Roman"/>
                          <w:color w:val="000000" w:themeColor="text1"/>
                        </w:rPr>
                        <m:t>r</m:t>
                      </m:r>
                    </m:e>
                    <m:sub>
                      <m:r>
                        <w:rPr>
                          <w:rFonts w:ascii="Cambria Math" w:hAnsi="Cambria Math" w:cs="Times New Roman"/>
                          <w:color w:val="000000" w:themeColor="text1"/>
                        </w:rPr>
                        <m:t>i,t</m:t>
                      </m:r>
                    </m:sub>
                    <m:sup>
                      <m:r>
                        <w:rPr>
                          <w:rFonts w:ascii="Cambria Math" w:hAnsi="Cambria Math" w:cs="Times New Roman"/>
                          <w:color w:val="000000" w:themeColor="text1"/>
                        </w:rPr>
                        <m:t>2</m:t>
                      </m:r>
                    </m:sup>
                  </m:sSubSup>
                </m:e>
              </m:nary>
              <m:r>
                <w:rPr>
                  <w:rFonts w:ascii="Cambria Math" w:hAnsi="Cambria Math" w:cs="Times New Roman"/>
                  <w:color w:val="000000" w:themeColor="text1"/>
                </w:rPr>
                <m:t>#</m:t>
              </m:r>
              <m:d>
                <m:dPr>
                  <m:ctrlPr>
                    <w:rPr>
                      <w:rFonts w:ascii="Cambria Math" w:hAnsi="Cambria Math" w:cs="Times New Roman"/>
                      <w:i/>
                      <w:iCs/>
                      <w:color w:val="000000" w:themeColor="text1"/>
                    </w:rPr>
                  </m:ctrlPr>
                </m:dPr>
                <m:e>
                  <m:r>
                    <w:rPr>
                      <w:rFonts w:ascii="Cambria Math" w:hAnsi="Cambria Math" w:cs="Times New Roman"/>
                      <w:color w:val="000000" w:themeColor="text1"/>
                    </w:rPr>
                    <m:t>A5</m:t>
                  </m:r>
                </m:e>
              </m:d>
            </m:e>
          </m:eqArr>
        </m:oMath>
      </m:oMathPara>
    </w:p>
    <w:bookmarkEnd w:id="40"/>
    <w:bookmarkEnd w:id="41"/>
    <w:p w14:paraId="030EB61F"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Here,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is the stock market return for each period, and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N</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is the total sample size over the period.</w:t>
      </w:r>
    </w:p>
    <w:p w14:paraId="666D7AB5"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48" w:name="OLE_LINK228"/>
      <w:bookmarkStart w:id="49" w:name="OLE_LINK229"/>
      <w:bookmarkStart w:id="50" w:name="OLE_LINK105"/>
      <w:bookmarkStart w:id="51" w:name="OLE_LINK104"/>
      <w:r w:rsidRPr="0053126D">
        <w:rPr>
          <w:rFonts w:ascii="Times New Roman" w:eastAsia="FangSong" w:hAnsi="Times New Roman" w:cs="Times New Roman"/>
          <w:color w:val="000000" w:themeColor="text1"/>
          <w:szCs w:val="22"/>
          <w14:ligatures w14:val="none"/>
        </w:rPr>
        <w:t xml:space="preserve">In the weight function,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w</m:t>
            </m:r>
          </m:e>
          <m:sub>
            <m:r>
              <m:rPr>
                <m:sty m:val="p"/>
              </m:rPr>
              <w:rPr>
                <w:rFonts w:ascii="Cambria Math" w:eastAsia="FangSong" w:hAnsi="Cambria Math" w:cs="Times New Roman"/>
                <w:color w:val="000000" w:themeColor="text1"/>
                <w:szCs w:val="22"/>
                <w14:ligatures w14:val="none"/>
              </w:rPr>
              <m:t>1</m:t>
            </m:r>
          </m:sub>
        </m:sSub>
      </m:oMath>
      <w:r w:rsidRPr="0053126D">
        <w:rPr>
          <w:rFonts w:ascii="Times New Roman" w:eastAsia="FangSong" w:hAnsi="Times New Roman" w:cs="Times New Roman"/>
          <w:color w:val="000000" w:themeColor="text1"/>
          <w:szCs w:val="22"/>
          <w14:ligatures w14:val="none"/>
        </w:rPr>
        <w:t xml:space="preserve"> = 1 is set to ensure that the impact of each exogenous variable on long-term volatility shows a monotonically decreasing trend. In this way, the weight function can be simplified as follows:</w:t>
      </w:r>
    </w:p>
    <w:bookmarkEnd w:id="48"/>
    <w:bookmarkEnd w:id="49"/>
    <w:p w14:paraId="11095B7C" w14:textId="423B3C69" w:rsidR="003809E8" w:rsidRPr="0053126D" w:rsidRDefault="00000000" w:rsidP="003809E8">
      <w:pPr>
        <w:spacing w:line="240" w:lineRule="auto"/>
        <w:rPr>
          <w:rFonts w:ascii="Times New Roman" w:eastAsia="SimSun" w:hAnsi="Times New Roman" w:cs="Times New Roman"/>
          <w:iCs/>
          <w:color w:val="000000" w:themeColor="text1"/>
        </w:rPr>
      </w:pPr>
      <m:oMathPara>
        <m:oMath>
          <m:eqArr>
            <m:eqArrPr>
              <m:maxDist m:val="1"/>
              <m:ctrlPr>
                <w:rPr>
                  <w:rFonts w:ascii="Cambria Math" w:hAnsi="Cambria Math" w:cs="Times New Roman"/>
                  <w:i/>
                  <w:iCs/>
                  <w:color w:val="000000" w:themeColor="text1"/>
                </w:rPr>
              </m:ctrlPr>
            </m:eqArr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φ</m:t>
                  </m:r>
                </m:e>
                <m:sub>
                  <m:r>
                    <w:rPr>
                      <w:rFonts w:ascii="Cambria Math" w:hAnsi="Cambria Math" w:cs="Times New Roman"/>
                      <w:color w:val="000000" w:themeColor="text1"/>
                    </w:rPr>
                    <m:t>k</m:t>
                  </m:r>
                </m:sub>
              </m:sSub>
              <m:d>
                <m:dPr>
                  <m:ctrlPr>
                    <w:rPr>
                      <w:rFonts w:ascii="Cambria Math" w:hAnsi="Cambria Math" w:cs="Times New Roman"/>
                      <w:i/>
                      <w:iCs/>
                      <w:color w:val="000000" w:themeColor="text1"/>
                    </w:rPr>
                  </m:ctrlPr>
                </m:dPr>
                <m:e>
                  <m:sSub>
                    <m:sSubPr>
                      <m:ctrlPr>
                        <w:rPr>
                          <w:rFonts w:ascii="Cambria Math" w:hAnsi="Cambria Math" w:cs="Times New Roman"/>
                          <w:i/>
                          <w:iCs/>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2</m:t>
                      </m:r>
                    </m:sub>
                  </m:sSub>
                </m:e>
              </m:d>
              <m:r>
                <w:rPr>
                  <w:rFonts w:ascii="Cambria Math" w:hAnsi="Cambria Math" w:cs="Times New Roman"/>
                  <w:color w:val="000000" w:themeColor="text1"/>
                </w:rPr>
                <m:t>=</m:t>
              </m:r>
              <m:f>
                <m:fPr>
                  <m:ctrlPr>
                    <w:rPr>
                      <w:rFonts w:ascii="Cambria Math" w:hAnsi="Cambria Math" w:cs="Times New Roman"/>
                      <w:i/>
                      <w:iCs/>
                      <w:color w:val="000000" w:themeColor="text1"/>
                    </w:rPr>
                  </m:ctrlPr>
                </m:fPr>
                <m:num>
                  <m:sSup>
                    <m:sSupPr>
                      <m:ctrlPr>
                        <w:rPr>
                          <w:rFonts w:ascii="Cambria Math" w:hAnsi="Cambria Math" w:cs="Times New Roman"/>
                          <w:i/>
                          <w:iCs/>
                          <w:color w:val="000000" w:themeColor="text1"/>
                        </w:rPr>
                      </m:ctrlPr>
                    </m:sSupPr>
                    <m:e>
                      <m:d>
                        <m:dPr>
                          <m:ctrlPr>
                            <w:rPr>
                              <w:rFonts w:ascii="Cambria Math" w:hAnsi="Cambria Math" w:cs="Times New Roman"/>
                              <w:i/>
                              <w:iCs/>
                              <w:color w:val="000000" w:themeColor="text1"/>
                            </w:rPr>
                          </m:ctrlPr>
                        </m:dPr>
                        <m:e>
                          <m:r>
                            <w:rPr>
                              <w:rFonts w:ascii="Cambria Math" w:hAnsi="Cambria Math" w:cs="Times New Roman"/>
                              <w:color w:val="000000" w:themeColor="text1"/>
                            </w:rPr>
                            <m:t>1-</m:t>
                          </m:r>
                          <m:f>
                            <m:fPr>
                              <m:ctrlPr>
                                <w:rPr>
                                  <w:rFonts w:ascii="Cambria Math" w:hAnsi="Cambria Math" w:cs="Times New Roman"/>
                                  <w:i/>
                                  <w:iCs/>
                                  <w:color w:val="000000" w:themeColor="text1"/>
                                </w:rPr>
                              </m:ctrlPr>
                            </m:fPr>
                            <m:num>
                              <m:r>
                                <w:rPr>
                                  <w:rFonts w:ascii="Cambria Math" w:hAnsi="Cambria Math" w:cs="Times New Roman"/>
                                  <w:color w:val="000000" w:themeColor="text1"/>
                                </w:rPr>
                                <m:t>k</m:t>
                              </m:r>
                            </m:num>
                            <m:den>
                              <m:r>
                                <w:rPr>
                                  <w:rFonts w:ascii="Cambria Math" w:hAnsi="Cambria Math" w:cs="Times New Roman"/>
                                  <w:color w:val="000000" w:themeColor="text1"/>
                                </w:rPr>
                                <m:t>K</m:t>
                              </m:r>
                            </m:den>
                          </m:f>
                        </m:e>
                      </m:d>
                    </m:e>
                    <m:sup>
                      <m:sSub>
                        <m:sSubPr>
                          <m:ctrlPr>
                            <w:rPr>
                              <w:rFonts w:ascii="Cambria Math" w:hAnsi="Cambria Math" w:cs="Times New Roman"/>
                              <w:i/>
                              <w:iCs/>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2</m:t>
                          </m:r>
                        </m:sub>
                      </m:sSub>
                      <m:r>
                        <w:rPr>
                          <w:rFonts w:ascii="Cambria Math" w:hAnsi="Cambria Math" w:cs="Times New Roman"/>
                          <w:color w:val="000000" w:themeColor="text1"/>
                        </w:rPr>
                        <m:t>-1</m:t>
                      </m:r>
                    </m:sup>
                  </m:sSup>
                </m:num>
                <m:den>
                  <m:nary>
                    <m:naryPr>
                      <m:chr m:val="∑"/>
                      <m:limLoc m:val="undOvr"/>
                      <m:ctrlPr>
                        <w:rPr>
                          <w:rFonts w:ascii="Cambria Math" w:hAnsi="Cambria Math" w:cs="Times New Roman"/>
                          <w:i/>
                          <w:iCs/>
                          <w:color w:val="000000" w:themeColor="text1"/>
                        </w:rPr>
                      </m:ctrlPr>
                    </m:naryPr>
                    <m:sub>
                      <m:r>
                        <w:rPr>
                          <w:rFonts w:ascii="Cambria Math" w:hAnsi="Cambria Math" w:cs="Times New Roman"/>
                          <w:color w:val="000000" w:themeColor="text1"/>
                        </w:rPr>
                        <m:t>j=1</m:t>
                      </m:r>
                    </m:sub>
                    <m:sup>
                      <m:r>
                        <w:rPr>
                          <w:rFonts w:ascii="Cambria Math" w:hAnsi="Cambria Math" w:cs="Times New Roman"/>
                          <w:color w:val="000000" w:themeColor="text1"/>
                        </w:rPr>
                        <m:t>K</m:t>
                      </m:r>
                    </m:sup>
                    <m:e>
                      <m:sSup>
                        <m:sSupPr>
                          <m:ctrlPr>
                            <w:rPr>
                              <w:rFonts w:ascii="Cambria Math" w:hAnsi="Cambria Math" w:cs="Times New Roman"/>
                              <w:i/>
                              <w:iCs/>
                              <w:color w:val="000000" w:themeColor="text1"/>
                            </w:rPr>
                          </m:ctrlPr>
                        </m:sSupPr>
                        <m:e>
                          <m:d>
                            <m:dPr>
                              <m:ctrlPr>
                                <w:rPr>
                                  <w:rFonts w:ascii="Cambria Math" w:hAnsi="Cambria Math" w:cs="Times New Roman"/>
                                  <w:i/>
                                  <w:iCs/>
                                  <w:color w:val="000000" w:themeColor="text1"/>
                                </w:rPr>
                              </m:ctrlPr>
                            </m:dPr>
                            <m:e>
                              <m:r>
                                <w:rPr>
                                  <w:rFonts w:ascii="Cambria Math" w:hAnsi="Cambria Math" w:cs="Times New Roman"/>
                                  <w:color w:val="000000" w:themeColor="text1"/>
                                </w:rPr>
                                <m:t>1-</m:t>
                              </m:r>
                              <m:f>
                                <m:fPr>
                                  <m:ctrlPr>
                                    <w:rPr>
                                      <w:rFonts w:ascii="Cambria Math" w:hAnsi="Cambria Math" w:cs="Times New Roman"/>
                                      <w:i/>
                                      <w:iCs/>
                                      <w:color w:val="000000" w:themeColor="text1"/>
                                    </w:rPr>
                                  </m:ctrlPr>
                                </m:fPr>
                                <m:num>
                                  <m:r>
                                    <w:rPr>
                                      <w:rFonts w:ascii="Cambria Math" w:hAnsi="Cambria Math" w:cs="Times New Roman"/>
                                      <w:color w:val="000000" w:themeColor="text1"/>
                                    </w:rPr>
                                    <m:t>j</m:t>
                                  </m:r>
                                </m:num>
                                <m:den>
                                  <m:r>
                                    <w:rPr>
                                      <w:rFonts w:ascii="Cambria Math" w:hAnsi="Cambria Math" w:cs="Times New Roman"/>
                                      <w:color w:val="000000" w:themeColor="text1"/>
                                    </w:rPr>
                                    <m:t>K</m:t>
                                  </m:r>
                                </m:den>
                              </m:f>
                            </m:e>
                          </m:d>
                        </m:e>
                        <m:sup>
                          <m:sSub>
                            <m:sSubPr>
                              <m:ctrlPr>
                                <w:rPr>
                                  <w:rFonts w:ascii="Cambria Math" w:hAnsi="Cambria Math" w:cs="Times New Roman"/>
                                  <w:i/>
                                  <w:iCs/>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2</m:t>
                              </m:r>
                            </m:sub>
                          </m:sSub>
                          <m:r>
                            <w:rPr>
                              <w:rFonts w:ascii="Cambria Math" w:hAnsi="Cambria Math" w:cs="Times New Roman"/>
                              <w:color w:val="000000" w:themeColor="text1"/>
                            </w:rPr>
                            <m:t>-1</m:t>
                          </m:r>
                        </m:sup>
                      </m:sSup>
                    </m:e>
                  </m:nary>
                </m:den>
              </m:f>
              <m:r>
                <w:rPr>
                  <w:rFonts w:ascii="Cambria Math" w:hAnsi="Cambria Math" w:cs="Times New Roman"/>
                  <w:color w:val="000000" w:themeColor="text1"/>
                </w:rPr>
                <m:t>#</m:t>
              </m:r>
              <m:d>
                <m:dPr>
                  <m:ctrlPr>
                    <w:rPr>
                      <w:rFonts w:ascii="Cambria Math" w:hAnsi="Cambria Math" w:cs="Times New Roman"/>
                      <w:i/>
                      <w:iCs/>
                      <w:color w:val="000000" w:themeColor="text1"/>
                    </w:rPr>
                  </m:ctrlPr>
                </m:dPr>
                <m:e>
                  <m:r>
                    <w:rPr>
                      <w:rFonts w:ascii="Cambria Math" w:hAnsi="Cambria Math" w:cs="Times New Roman"/>
                      <w:color w:val="000000" w:themeColor="text1"/>
                    </w:rPr>
                    <m:t>A6</m:t>
                  </m:r>
                </m:e>
              </m:d>
            </m:e>
          </m:eqArr>
        </m:oMath>
      </m:oMathPara>
    </w:p>
    <w:p w14:paraId="2F07537A" w14:textId="6D19B125"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According to </w:t>
      </w:r>
      <w:r w:rsidR="00226262" w:rsidRPr="0053126D">
        <w:rPr>
          <w:rFonts w:ascii="Times New Roman" w:eastAsia="FangSong" w:hAnsi="Times New Roman" w:cs="Times New Roman"/>
          <w:color w:val="000000" w:themeColor="text1"/>
          <w:szCs w:val="22"/>
          <w14:ligatures w14:val="none"/>
        </w:rPr>
        <w:fldChar w:fldCharType="begin"/>
      </w:r>
      <w:r w:rsidR="0034145E" w:rsidRPr="0053126D">
        <w:rPr>
          <w:rFonts w:ascii="Times New Roman" w:eastAsia="FangSong" w:hAnsi="Times New Roman" w:cs="Times New Roman"/>
          <w:color w:val="000000" w:themeColor="text1"/>
          <w:szCs w:val="22"/>
          <w14:ligatures w14:val="none"/>
        </w:rPr>
        <w:instrText xml:space="preserve"> ADDIN EN.CITE &lt;EndNote&gt;&lt;Cite AuthorYear="1"&gt;&lt;Author&gt;Engle&lt;/Author&gt;&lt;Year&gt;2013&lt;/Year&gt;&lt;RecNum&gt;3&lt;/RecNum&gt;&lt;DisplayText&gt;Engle et al. (2013)&lt;/DisplayText&gt;&lt;record&gt;&lt;rec-number&gt;3&lt;/rec-number&gt;&lt;foreign-keys&gt;&lt;key app="EN" db-id="v0ffzw0attzvegext9k5ed51e5az2zvssta9" timestamp="1754277683"&gt;3&lt;/key&gt;&lt;/foreign-keys&gt;&lt;ref-type name="Journal Article"&gt;17&lt;/ref-type&gt;&lt;contributors&gt;&lt;authors&gt;&lt;author&gt;Engle, Robert F.&lt;/author&gt;&lt;author&gt;Ghysels, Eric&lt;/author&gt;&lt;author&gt;Sohn, Bumjean&lt;/author&gt;&lt;/authors&gt;&lt;/contributors&gt;&lt;titles&gt;&lt;title&gt;Stock Market Volatility and Macroeconomic Fundamentals&lt;/title&gt;&lt;secondary-title&gt;The Review of Economics and Statistics&lt;/secondary-title&gt;&lt;/titles&gt;&lt;periodical&gt;&lt;full-title&gt;The Review of Economics and Statistics&lt;/full-title&gt;&lt;/periodical&gt;&lt;pages&gt;776-797&lt;/pages&gt;&lt;volume&gt;95&lt;/volume&gt;&lt;number&gt;3&lt;/number&gt;&lt;dates&gt;&lt;year&gt;2013&lt;/year&gt;&lt;/dates&gt;&lt;isbn&gt;0034-6535&lt;/isbn&gt;&lt;urls&gt;&lt;related-urls&gt;&lt;url&gt;https://doi.org/10.1162/REST_a_00300&lt;/url&gt;&lt;/related-urls&gt;&lt;/urls&gt;&lt;electronic-resource-num&gt;https://doi.org/10.1162/REST_a_00300&lt;/electronic-resource-num&gt;&lt;access-date&gt;8/4/2025&lt;/access-date&gt;&lt;/record&gt;&lt;/Cite&gt;&lt;/EndNote&gt;</w:instrText>
      </w:r>
      <w:r w:rsidR="00226262" w:rsidRPr="0053126D">
        <w:rPr>
          <w:rFonts w:ascii="Times New Roman" w:eastAsia="FangSong" w:hAnsi="Times New Roman" w:cs="Times New Roman"/>
          <w:color w:val="000000" w:themeColor="text1"/>
          <w:szCs w:val="22"/>
          <w14:ligatures w14:val="none"/>
        </w:rPr>
        <w:fldChar w:fldCharType="separate"/>
      </w:r>
      <w:r w:rsidR="00226262" w:rsidRPr="0053126D">
        <w:rPr>
          <w:rFonts w:ascii="Times New Roman" w:eastAsia="FangSong" w:hAnsi="Times New Roman" w:cs="Times New Roman"/>
          <w:noProof/>
          <w:color w:val="000000" w:themeColor="text1"/>
          <w:szCs w:val="22"/>
          <w14:ligatures w14:val="none"/>
        </w:rPr>
        <w:t>Engle et al. (2013)</w:t>
      </w:r>
      <w:r w:rsidR="00226262"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for variables with daily and monthly frequencies, selecting K</w:t>
      </w:r>
      <w:r w:rsidR="00C75C7D"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w:t>
      </w:r>
      <w:r w:rsidR="00C75C7D"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36 as the lag order can significantly improve the model's predictive power. Therefore, in this study, the lag order is set to K</w:t>
      </w:r>
      <w:r w:rsidR="00C75C7D" w:rsidRPr="0053126D">
        <w:rPr>
          <w:rFonts w:ascii="Times New Roman" w:eastAsia="FangSong" w:hAnsi="Times New Roman" w:cs="Times New Roman"/>
          <w:color w:val="000000" w:themeColor="text1"/>
          <w:szCs w:val="22"/>
          <w14:ligatures w14:val="none"/>
        </w:rPr>
        <w:t xml:space="preserve"> = 36 to ensure that the model can capture the dynamic characteristics of long-term volatility more effectivel</w:t>
      </w:r>
      <w:r w:rsidRPr="0053126D">
        <w:rPr>
          <w:rFonts w:ascii="Times New Roman" w:eastAsia="FangSong" w:hAnsi="Times New Roman" w:cs="Times New Roman"/>
          <w:color w:val="000000" w:themeColor="text1"/>
          <w:szCs w:val="22"/>
          <w14:ligatures w14:val="none"/>
        </w:rPr>
        <w:t>y.</w:t>
      </w:r>
    </w:p>
    <w:p w14:paraId="5655DCFD" w14:textId="28CB576B"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52" w:name="OLE_LINK111"/>
      <w:bookmarkStart w:id="53" w:name="OLE_LINK110"/>
      <w:bookmarkEnd w:id="50"/>
      <w:bookmarkEnd w:id="51"/>
      <w:r w:rsidRPr="0053126D">
        <w:rPr>
          <w:rFonts w:ascii="Times New Roman" w:eastAsia="FangSong" w:hAnsi="Times New Roman" w:cs="Times New Roman"/>
          <w:color w:val="000000" w:themeColor="text1"/>
          <w:szCs w:val="22"/>
          <w14:ligatures w14:val="none"/>
        </w:rPr>
        <w:t>Through Equations (</w:t>
      </w:r>
      <w:r w:rsidR="00634957"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1), (</w:t>
      </w:r>
      <w:r w:rsidR="00634957"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3), (</w:t>
      </w:r>
      <w:r w:rsidR="00634957"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4), and (</w:t>
      </w:r>
      <w:r w:rsidR="00634957"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 xml:space="preserve">6), a fixed-window version of the univariate GJR-GARCH-MIDAS model is constructed. This model can stably process both short-term and long-term volatility components, providing a theoretical framework and empirical basis for analyzing the impact of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on stock market volatility.</w:t>
      </w:r>
    </w:p>
    <w:p w14:paraId="4341EF88" w14:textId="34B94A86" w:rsidR="00646BFC" w:rsidRPr="0053126D" w:rsidRDefault="00646BFC" w:rsidP="00646BFC">
      <w:pPr>
        <w:pStyle w:val="MDPI22heading2"/>
        <w:spacing w:before="240"/>
        <w:ind w:left="0"/>
        <w:rPr>
          <w:rFonts w:ascii="Times New Roman" w:hAnsi="Times New Roman"/>
          <w:b/>
          <w:bCs/>
          <w:color w:val="000000" w:themeColor="text1"/>
          <w:sz w:val="22"/>
          <w:szCs w:val="28"/>
          <w:lang w:eastAsia="zh-CN"/>
        </w:rPr>
      </w:pPr>
      <w:r w:rsidRPr="0053126D">
        <w:rPr>
          <w:rFonts w:ascii="Times New Roman" w:hAnsi="Times New Roman"/>
          <w:b/>
          <w:bCs/>
          <w:color w:val="000000" w:themeColor="text1"/>
          <w:sz w:val="22"/>
          <w:szCs w:val="28"/>
          <w:lang w:eastAsia="zh-CN"/>
        </w:rPr>
        <w:t>Rolling Window Model</w:t>
      </w:r>
    </w:p>
    <w:p w14:paraId="370BB645" w14:textId="453F534F"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Meanwhile, to further improve the model's flexibility, this study also considers a rolling window prediction version of the univariate model</w:t>
      </w:r>
      <w:r w:rsidR="009E201B" w:rsidRPr="0053126D">
        <w:rPr>
          <w:rFonts w:ascii="Times New Roman" w:eastAsia="FangSong" w:hAnsi="Times New Roman" w:cs="Times New Roman"/>
          <w:color w:val="000000" w:themeColor="text1"/>
          <w:szCs w:val="22"/>
          <w14:ligatures w14:val="none"/>
        </w:rPr>
        <w:t xml:space="preserve"> </w:t>
      </w:r>
      <w:r w:rsidR="009E201B" w:rsidRPr="0053126D">
        <w:rPr>
          <w:rFonts w:ascii="Times New Roman" w:eastAsia="FangSong" w:hAnsi="Times New Roman" w:cs="Times New Roman"/>
          <w:color w:val="000000" w:themeColor="text1"/>
          <w:szCs w:val="22"/>
          <w14:ligatures w14:val="none"/>
        </w:rPr>
        <w:fldChar w:fldCharType="begin"/>
      </w:r>
      <w:r w:rsidR="009E201B" w:rsidRPr="0053126D">
        <w:rPr>
          <w:rFonts w:ascii="Times New Roman" w:eastAsia="FangSong" w:hAnsi="Times New Roman" w:cs="Times New Roman"/>
          <w:color w:val="000000" w:themeColor="text1"/>
          <w:szCs w:val="22"/>
          <w14:ligatures w14:val="none"/>
        </w:rPr>
        <w:instrText xml:space="preserve"> ADDIN EN.CITE &lt;EndNote&gt;&lt;Cite&gt;&lt;Author&gt;Dai&lt;/Author&gt;&lt;Year&gt;2022&lt;/Year&gt;&lt;RecNum&gt;2&lt;/RecNum&gt;&lt;DisplayText&gt;(Dai et al., 2022)&lt;/DisplayText&gt;&lt;record&gt;&lt;rec-number&gt;2&lt;/rec-number&gt;&lt;foreign-keys&gt;&lt;key app="EN" db-id="v0ffzw0attzvegext9k5ed51e5az2zvssta9" timestamp="1754277621"&gt;2&lt;/key&gt;&lt;/foreign-keys&gt;&lt;ref-type name="Journal Article"&gt;17&lt;/ref-type&gt;&lt;contributors&gt;&lt;authors&gt;&lt;author&gt;Dai, Peng-Fei&lt;/author&gt;&lt;author&gt;Xiong, Xiong&lt;/author&gt;&lt;author&gt;Zhang, Jin&lt;/author&gt;&lt;author&gt;Zhou, Wei-Xing&lt;/author&gt;&lt;/authors&gt;&lt;/contributors&gt;&lt;titles&gt;&lt;title&gt;The role of global economic policy uncertainty in predicting crude oil futures volatility: Evidence from a two-factor GARCH-MIDAS model&lt;/title&gt;&lt;secondary-title&gt;Resources Policy&lt;/secondary-title&gt;&lt;/titles&gt;&lt;periodical&gt;&lt;full-title&gt;Resources Policy&lt;/full-title&gt;&lt;/periodical&gt;&lt;pages&gt;102849&lt;/pages&gt;&lt;volume&gt;78&lt;/volume&gt;&lt;keywords&gt;&lt;keyword&gt;Crude oil futures&lt;/keyword&gt;&lt;keyword&gt;Global economic policy uncertainty&lt;/keyword&gt;&lt;keyword&gt;Volatility forecasting&lt;/keyword&gt;&lt;keyword&gt;GARCH-MIDAS&lt;/keyword&gt;&lt;keyword&gt;Two-factor model&lt;/keyword&gt;&lt;/keywords&gt;&lt;dates&gt;&lt;year&gt;2022&lt;/year&gt;&lt;pub-dates&gt;&lt;date&gt;2022/09/01/&lt;/date&gt;&lt;/pub-dates&gt;&lt;/dates&gt;&lt;isbn&gt;0301-4207&lt;/isbn&gt;&lt;urls&gt;&lt;related-urls&gt;&lt;url&gt;https://www.sciencedirect.com/science/article/pii/S0301420722002951&lt;/url&gt;&lt;/related-urls&gt;&lt;/urls&gt;&lt;electronic-resource-num&gt;https://doi.org/10.1016/j.resourpol.2022.102849&lt;/electronic-resource-num&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(Dai et al., 2022)</w:t>
      </w:r>
      <w:r w:rsidR="009E20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In this version, the model for short-term volatility remains unchanged</w:t>
      </w:r>
      <w:r w:rsidR="00646BFC" w:rsidRPr="0053126D">
        <w:rPr>
          <w:rFonts w:ascii="Times New Roman" w:eastAsia="FangSong" w:hAnsi="Times New Roman" w:cs="Times New Roman"/>
          <w:color w:val="000000" w:themeColor="text1"/>
          <w:szCs w:val="22"/>
          <w14:ligatures w14:val="none"/>
        </w:rPr>
        <w:t>. In contrast,</w:t>
      </w:r>
      <w:r w:rsidRPr="0053126D">
        <w:rPr>
          <w:rFonts w:ascii="Times New Roman" w:eastAsia="FangSong" w:hAnsi="Times New Roman" w:cs="Times New Roman"/>
          <w:color w:val="000000" w:themeColor="text1"/>
          <w:szCs w:val="22"/>
          <w14:ligatures w14:val="none"/>
        </w:rPr>
        <w:t xml:space="preserve"> the realized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is dynamically adjusted by a rolling window. The rolling </w:t>
      </w:r>
      <w:r w:rsidRPr="0053126D">
        <w:rPr>
          <w:rFonts w:ascii="Times New Roman" w:eastAsia="FangSong" w:hAnsi="Times New Roman" w:cs="Times New Roman"/>
          <w:color w:val="000000" w:themeColor="text1"/>
          <w:szCs w:val="22"/>
          <w14:ligatures w14:val="none"/>
        </w:rPr>
        <w:lastRenderedPageBreak/>
        <w:t xml:space="preserve">window version can adjust the model in real time according to the latest changes in the market, thereby enhancing its adaptability and forecasting ability. Specifically, the realized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calculation formula is modified as follows:</w:t>
      </w:r>
    </w:p>
    <w:p w14:paraId="575C3F2B" w14:textId="14F97CF3"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iCs/>
                  <w:color w:val="000000" w:themeColor="text1"/>
                </w:rPr>
              </m:ctrlPr>
            </m:eqArrPr>
            <m:e>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RV</m:t>
                  </m:r>
                </m:e>
                <m:sub>
                  <m:r>
                    <w:rPr>
                      <w:rFonts w:ascii="Cambria Math" w:eastAsia="FangSong" w:hAnsi="Cambria Math" w:cs="Times New Roman"/>
                      <w:color w:val="000000" w:themeColor="text1"/>
                    </w:rPr>
                    <m:t>t</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r>
                <w:rPr>
                  <w:rFonts w:ascii="Cambria Math" w:eastAsia="FangSong" w:hAnsi="Cambria Math" w:cs="Times New Roman"/>
                  <w:color w:val="000000" w:themeColor="text1"/>
                </w:rPr>
                <m:t>=</m:t>
              </m:r>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j=1</m:t>
                  </m:r>
                </m:sub>
                <m:sup>
                  <m:sSup>
                    <m:sSupPr>
                      <m:ctrlPr>
                        <w:rPr>
                          <w:rFonts w:ascii="Cambria Math" w:eastAsia="FangSong" w:hAnsi="Cambria Math" w:cs="Times New Roman"/>
                          <w:i/>
                          <w:iCs/>
                          <w:color w:val="000000" w:themeColor="text1"/>
                        </w:rPr>
                      </m:ctrlPr>
                    </m:sSupPr>
                    <m:e>
                      <m:r>
                        <w:rPr>
                          <w:rFonts w:ascii="Cambria Math" w:eastAsia="FangSong" w:hAnsi="Cambria Math" w:cs="Times New Roman"/>
                          <w:color w:val="000000" w:themeColor="text1"/>
                        </w:rPr>
                        <m:t>N</m:t>
                      </m:r>
                    </m:e>
                    <m:sup>
                      <m:r>
                        <w:rPr>
                          <w:rFonts w:ascii="Cambria Math" w:eastAsia="FangSong" w:hAnsi="Cambria Math" w:cs="Times New Roman"/>
                          <w:color w:val="000000" w:themeColor="text1"/>
                        </w:rPr>
                        <m:t>'</m:t>
                      </m:r>
                    </m:sup>
                  </m:sSup>
                </m:sup>
                <m:e>
                  <m:sSubSup>
                    <m:sSubSupPr>
                      <m:ctrlPr>
                        <w:rPr>
                          <w:rFonts w:ascii="Cambria Math" w:eastAsia="FangSong" w:hAnsi="Cambria Math" w:cs="Times New Roman"/>
                          <w:i/>
                          <w:iCs/>
                          <w:color w:val="000000" w:themeColor="text1"/>
                        </w:rPr>
                      </m:ctrlPr>
                    </m:sSubSupPr>
                    <m:e>
                      <m:r>
                        <w:rPr>
                          <w:rFonts w:ascii="Cambria Math" w:eastAsia="FangSong" w:hAnsi="Cambria Math" w:cs="Times New Roman"/>
                          <w:color w:val="000000" w:themeColor="text1"/>
                        </w:rPr>
                        <m:t>r</m:t>
                      </m:r>
                    </m:e>
                    <m:sub>
                      <m:r>
                        <w:rPr>
                          <w:rFonts w:ascii="Cambria Math" w:eastAsia="FangSong" w:hAnsi="Cambria Math" w:cs="Times New Roman"/>
                          <w:color w:val="000000" w:themeColor="text1"/>
                        </w:rPr>
                        <m:t>i-j,</m:t>
                      </m:r>
                    </m:sub>
                    <m:sup>
                      <m:r>
                        <w:rPr>
                          <w:rFonts w:ascii="Cambria Math" w:eastAsia="FangSong" w:hAnsi="Cambria Math" w:cs="Times New Roman"/>
                          <w:color w:val="000000" w:themeColor="text1"/>
                        </w:rPr>
                        <m:t>2</m:t>
                      </m:r>
                    </m:sup>
                  </m:sSubSup>
                </m:e>
              </m:nary>
              <m:r>
                <w:rPr>
                  <w:rFonts w:ascii="Cambria Math" w:eastAsia="FangSong" w:hAnsi="Cambria Math" w:cs="Times New Roman"/>
                  <w:color w:val="000000" w:themeColor="text1"/>
                </w:rPr>
                <m:t>#</m:t>
              </m:r>
              <m:d>
                <m:dPr>
                  <m:ctrlPr>
                    <w:rPr>
                      <w:rFonts w:ascii="Cambria Math" w:eastAsia="FangSong" w:hAnsi="Cambria Math" w:cs="Times New Roman"/>
                      <w:i/>
                      <w:iCs/>
                      <w:color w:val="000000" w:themeColor="text1"/>
                    </w:rPr>
                  </m:ctrlPr>
                </m:dPr>
                <m:e>
                  <m:r>
                    <w:rPr>
                      <w:rFonts w:ascii="Cambria Math" w:eastAsia="FangSong" w:hAnsi="Cambria Math" w:cs="Times New Roman"/>
                      <w:color w:val="000000" w:themeColor="text1"/>
                    </w:rPr>
                    <m:t>A7</m:t>
                  </m:r>
                </m:e>
              </m:d>
              <m:ctrlPr>
                <w:rPr>
                  <w:rFonts w:ascii="Cambria Math" w:eastAsia="FangSong" w:hAnsi="Cambria Math" w:cs="Times New Roman"/>
                  <w:i/>
                  <w:color w:val="000000" w:themeColor="text1"/>
                </w:rPr>
              </m:ctrlPr>
            </m:e>
          </m:eqArr>
        </m:oMath>
      </m:oMathPara>
    </w:p>
    <w:bookmarkEnd w:id="52"/>
    <w:bookmarkEnd w:id="53"/>
    <w:p w14:paraId="08F0471D" w14:textId="77777777" w:rsidR="003809E8" w:rsidRPr="0053126D" w:rsidRDefault="00000000"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m:t>
            </m:r>
          </m:e>
          <m:sub>
            <m:r>
              <w:rPr>
                <w:rFonts w:ascii="Cambria Math" w:eastAsia="FangSong" w:hAnsi="Cambria Math" w:cs="Times New Roman"/>
                <w:color w:val="000000" w:themeColor="text1"/>
                <w:szCs w:val="22"/>
                <w14:ligatures w14:val="none"/>
              </w:rPr>
              <m:t>i</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j</m:t>
            </m:r>
          </m:sub>
        </m:sSub>
      </m:oMath>
      <w:r w:rsidR="003809E8" w:rsidRPr="0053126D">
        <w:rPr>
          <w:rFonts w:ascii="Times New Roman" w:eastAsia="FangSong" w:hAnsi="Times New Roman" w:cs="Times New Roman"/>
          <w:color w:val="000000" w:themeColor="text1"/>
          <w:szCs w:val="22"/>
          <w14:ligatures w14:val="none"/>
        </w:rPr>
        <w:t xml:space="preserve"> is the backward rolling daily return, and </w:t>
      </w:r>
      <m:oMath>
        <m:sSup>
          <m:sSupPr>
            <m:ctrlPr>
              <w:rPr>
                <w:rFonts w:ascii="Cambria Math" w:eastAsia="FangSong" w:hAnsi="Cambria Math" w:cs="Times New Roman"/>
                <w:color w:val="000000" w:themeColor="text1"/>
                <w:szCs w:val="22"/>
                <w14:ligatures w14:val="none"/>
              </w:rPr>
            </m:ctrlPr>
          </m:sSupPr>
          <m:e>
            <m:r>
              <w:rPr>
                <w:rFonts w:ascii="Cambria Math" w:eastAsia="FangSong" w:hAnsi="Cambria Math" w:cs="Times New Roman"/>
                <w:color w:val="000000" w:themeColor="text1"/>
                <w:szCs w:val="22"/>
                <w14:ligatures w14:val="none"/>
              </w:rPr>
              <m:t>N</m:t>
            </m:r>
          </m:e>
          <m:sup>
            <m:r>
              <m:rPr>
                <m:sty m:val="p"/>
              </m:rPr>
              <w:rPr>
                <w:rFonts w:ascii="Cambria Math" w:eastAsia="FangSong" w:hAnsi="Cambria Math" w:cs="Times New Roman"/>
                <w:color w:val="000000" w:themeColor="text1"/>
                <w:szCs w:val="22"/>
                <w14:ligatures w14:val="none"/>
              </w:rPr>
              <m:t>'</m:t>
            </m:r>
          </m:sup>
        </m:sSup>
      </m:oMath>
      <w:r w:rsidR="003809E8" w:rsidRPr="0053126D">
        <w:rPr>
          <w:rFonts w:ascii="Times New Roman" w:eastAsia="FangSong" w:hAnsi="Times New Roman" w:cs="Times New Roman"/>
          <w:color w:val="000000" w:themeColor="text1"/>
          <w:szCs w:val="22"/>
          <w14:ligatures w14:val="none"/>
        </w:rPr>
        <w:t xml:space="preserve">is the number of monthly trading days, and for simplicity of calculation, we set it to </w:t>
      </w:r>
      <m:oMath>
        <m:sSup>
          <m:sSupPr>
            <m:ctrlPr>
              <w:rPr>
                <w:rFonts w:ascii="Cambria Math" w:eastAsia="FangSong" w:hAnsi="Cambria Math" w:cs="Times New Roman"/>
                <w:color w:val="000000" w:themeColor="text1"/>
                <w:szCs w:val="22"/>
                <w14:ligatures w14:val="none"/>
              </w:rPr>
            </m:ctrlPr>
          </m:sSupPr>
          <m:e>
            <m:r>
              <w:rPr>
                <w:rFonts w:ascii="Cambria Math" w:eastAsia="FangSong" w:hAnsi="Cambria Math" w:cs="Times New Roman"/>
                <w:color w:val="000000" w:themeColor="text1"/>
                <w:szCs w:val="22"/>
                <w14:ligatures w14:val="none"/>
              </w:rPr>
              <m:t>N</m:t>
            </m:r>
          </m:e>
          <m:sup>
            <m:r>
              <m:rPr>
                <m:sty m:val="p"/>
              </m:rPr>
              <w:rPr>
                <w:rFonts w:ascii="Cambria Math" w:eastAsia="FangSong" w:hAnsi="Cambria Math" w:cs="Times New Roman"/>
                <w:color w:val="000000" w:themeColor="text1"/>
                <w:szCs w:val="22"/>
                <w14:ligatures w14:val="none"/>
              </w:rPr>
              <m:t>'</m:t>
            </m:r>
          </m:sup>
        </m:sSup>
        <m:r>
          <m:rPr>
            <m:sty m:val="p"/>
          </m:rPr>
          <w:rPr>
            <w:rFonts w:ascii="Cambria Math" w:eastAsia="FangSong" w:hAnsi="Cambria Math" w:cs="Times New Roman"/>
            <w:color w:val="000000" w:themeColor="text1"/>
            <w:szCs w:val="22"/>
            <w14:ligatures w14:val="none"/>
          </w:rPr>
          <m:t>=22</m:t>
        </m:r>
      </m:oMath>
      <w:r w:rsidR="003809E8" w:rsidRPr="0053126D">
        <w:rPr>
          <w:rFonts w:ascii="Times New Roman" w:eastAsia="FangSong" w:hAnsi="Times New Roman" w:cs="Times New Roman"/>
          <w:color w:val="000000" w:themeColor="text1"/>
          <w:szCs w:val="22"/>
          <w14:ligatures w14:val="none"/>
        </w:rPr>
        <w:t xml:space="preserve"> in the model.</w:t>
      </w:r>
    </w:p>
    <w:p w14:paraId="04E4EBFF"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Then the formula for GPRNK is:</w:t>
      </w:r>
    </w:p>
    <w:p w14:paraId="5D3E3B8D" w14:textId="155C6774"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color w:val="000000" w:themeColor="text1"/>
                </w:rPr>
              </m:ctrlPr>
            </m:eqArrPr>
            <m:e>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X</m:t>
                  </m:r>
                </m:e>
                <m:sub>
                  <m:r>
                    <w:rPr>
                      <w:rFonts w:ascii="Cambria Math" w:eastAsia="FangSong" w:hAnsi="Cambria Math" w:cs="Times New Roman"/>
                      <w:color w:val="000000" w:themeColor="text1"/>
                    </w:rPr>
                    <m:t>i</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r>
                <w:rPr>
                  <w:rFonts w:ascii="Cambria Math" w:eastAsia="FangSong" w:hAnsi="Cambria Math" w:cs="Times New Roman"/>
                  <w:color w:val="000000" w:themeColor="text1"/>
                </w:rPr>
                <m:t>=</m:t>
              </m:r>
              <m:f>
                <m:fPr>
                  <m:ctrlPr>
                    <w:rPr>
                      <w:rFonts w:ascii="Cambria Math" w:eastAsia="FangSong" w:hAnsi="Cambria Math" w:cs="Times New Roman"/>
                      <w:i/>
                      <w:color w:val="000000" w:themeColor="text1"/>
                    </w:rPr>
                  </m:ctrlPr>
                </m:fPr>
                <m:num>
                  <m:r>
                    <w:rPr>
                      <w:rFonts w:ascii="Cambria Math" w:eastAsia="FangSong" w:hAnsi="Cambria Math" w:cs="Times New Roman"/>
                      <w:color w:val="000000" w:themeColor="text1"/>
                    </w:rPr>
                    <m:t>1</m:t>
                  </m:r>
                </m:num>
                <m:den>
                  <m:sSup>
                    <m:sSupPr>
                      <m:ctrlPr>
                        <w:rPr>
                          <w:rFonts w:ascii="Cambria Math" w:eastAsia="FangSong" w:hAnsi="Cambria Math" w:cs="Times New Roman"/>
                          <w:i/>
                          <w:color w:val="000000" w:themeColor="text1"/>
                        </w:rPr>
                      </m:ctrlPr>
                    </m:sSupPr>
                    <m:e>
                      <m:r>
                        <w:rPr>
                          <w:rFonts w:ascii="Cambria Math" w:eastAsia="FangSong" w:hAnsi="Cambria Math" w:cs="Times New Roman"/>
                          <w:color w:val="000000" w:themeColor="text1"/>
                        </w:rPr>
                        <m:t>N</m:t>
                      </m:r>
                    </m:e>
                    <m:sup>
                      <m:r>
                        <w:rPr>
                          <w:rFonts w:ascii="Cambria Math" w:eastAsia="FangSong" w:hAnsi="Cambria Math" w:cs="Times New Roman"/>
                          <w:color w:val="000000" w:themeColor="text1"/>
                        </w:rPr>
                        <m:t>'</m:t>
                      </m:r>
                    </m:sup>
                  </m:sSup>
                </m:den>
              </m:f>
              <m:nary>
                <m:naryPr>
                  <m:chr m:val="∑"/>
                  <m:limLoc m:val="undOvr"/>
                  <m:ctrlPr>
                    <w:rPr>
                      <w:rFonts w:ascii="Cambria Math" w:eastAsia="FangSong" w:hAnsi="Cambria Math" w:cs="Times New Roman"/>
                      <w:i/>
                      <w:color w:val="000000" w:themeColor="text1"/>
                    </w:rPr>
                  </m:ctrlPr>
                </m:naryPr>
                <m:sub>
                  <m:r>
                    <w:rPr>
                      <w:rFonts w:ascii="Cambria Math" w:eastAsia="FangSong" w:hAnsi="Cambria Math" w:cs="Times New Roman"/>
                      <w:color w:val="000000" w:themeColor="text1"/>
                    </w:rPr>
                    <m:t>j=1</m:t>
                  </m:r>
                </m:sub>
                <m:sup>
                  <m:sSup>
                    <m:sSupPr>
                      <m:ctrlPr>
                        <w:rPr>
                          <w:rFonts w:ascii="Cambria Math" w:eastAsia="FangSong" w:hAnsi="Cambria Math" w:cs="Times New Roman"/>
                          <w:i/>
                          <w:color w:val="000000" w:themeColor="text1"/>
                        </w:rPr>
                      </m:ctrlPr>
                    </m:sSupPr>
                    <m:e>
                      <m:r>
                        <w:rPr>
                          <w:rFonts w:ascii="Cambria Math" w:eastAsia="FangSong" w:hAnsi="Cambria Math" w:cs="Times New Roman"/>
                          <w:color w:val="000000" w:themeColor="text1"/>
                        </w:rPr>
                        <m:t>N</m:t>
                      </m:r>
                    </m:e>
                    <m:sup>
                      <m:r>
                        <w:rPr>
                          <w:rFonts w:ascii="Cambria Math" w:eastAsia="FangSong" w:hAnsi="Cambria Math" w:cs="Times New Roman"/>
                          <w:color w:val="000000" w:themeColor="text1"/>
                        </w:rPr>
                        <m:t>'</m:t>
                      </m:r>
                    </m:sup>
                  </m:sSup>
                </m:sup>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X</m:t>
                      </m:r>
                    </m:e>
                    <m:sub>
                      <m:r>
                        <w:rPr>
                          <w:rFonts w:ascii="Cambria Math" w:eastAsia="FangSong" w:hAnsi="Cambria Math" w:cs="Times New Roman"/>
                          <w:color w:val="000000" w:themeColor="text1"/>
                        </w:rPr>
                        <m:t>i-j,</m:t>
                      </m:r>
                    </m:sub>
                  </m:sSub>
                </m:e>
              </m:nary>
              <m:r>
                <w:rPr>
                  <w:rFonts w:ascii="Cambria Math" w:eastAsia="FangSong" w:hAnsi="Cambria Math" w:cs="Times New Roman"/>
                  <w:color w:val="000000" w:themeColor="text1"/>
                </w:rPr>
                <m:t>#</m:t>
              </m:r>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A8</m:t>
                  </m:r>
                </m:e>
              </m:d>
            </m:e>
          </m:eqArr>
        </m:oMath>
      </m:oMathPara>
    </w:p>
    <w:p w14:paraId="377F669E"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Where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X</m:t>
            </m:r>
          </m:e>
          <m:sub>
            <m:r>
              <w:rPr>
                <w:rFonts w:ascii="Cambria Math" w:eastAsia="FangSong" w:hAnsi="Cambria Math" w:cs="Times New Roman"/>
                <w:color w:val="000000" w:themeColor="text1"/>
                <w:szCs w:val="22"/>
                <w14:ligatures w14:val="none"/>
              </w:rPr>
              <m:t>i</m:t>
            </m:r>
          </m:sub>
        </m:sSub>
      </m:oMath>
      <w:r w:rsidRPr="0053126D">
        <w:rPr>
          <w:rFonts w:ascii="Times New Roman" w:eastAsia="FangSong" w:hAnsi="Times New Roman" w:cs="Times New Roman"/>
          <w:color w:val="000000" w:themeColor="text1"/>
          <w:szCs w:val="22"/>
          <w14:ligatures w14:val="none"/>
        </w:rPr>
        <w:t xml:space="preserve"> is a daily variable whose value is equal to the corresponding monthly value; </w:t>
      </w:r>
      <m:oMath>
        <m:sSubSup>
          <m:sSubSupPr>
            <m:ctrlPr>
              <w:rPr>
                <w:rFonts w:ascii="Cambria Math" w:eastAsia="FangSong" w:hAnsi="Cambria Math" w:cs="Times New Roman"/>
                <w:color w:val="000000" w:themeColor="text1"/>
                <w:szCs w:val="22"/>
                <w14:ligatures w14:val="none"/>
              </w:rPr>
            </m:ctrlPr>
          </m:sSubSupPr>
          <m:e>
            <m:r>
              <w:rPr>
                <w:rFonts w:ascii="Cambria Math" w:eastAsia="FangSong" w:hAnsi="Cambria Math" w:cs="Times New Roman"/>
                <w:color w:val="000000" w:themeColor="text1"/>
                <w:szCs w:val="22"/>
                <w14:ligatures w14:val="none"/>
              </w:rPr>
              <m:t>X</m:t>
            </m:r>
          </m:e>
          <m:sub>
            <m:r>
              <w:rPr>
                <w:rFonts w:ascii="Cambria Math" w:eastAsia="FangSong" w:hAnsi="Cambria Math" w:cs="Times New Roman"/>
                <w:color w:val="000000" w:themeColor="text1"/>
                <w:szCs w:val="22"/>
                <w14:ligatures w14:val="none"/>
              </w:rPr>
              <m:t>i</m:t>
            </m:r>
          </m:sub>
          <m:sup>
            <m:d>
              <m:dPr>
                <m:ctrlPr>
                  <w:rPr>
                    <w:rFonts w:ascii="Cambria Math" w:eastAsia="FangSong" w:hAnsi="Cambria Math" w:cs="Times New Roman"/>
                    <w:color w:val="000000" w:themeColor="text1"/>
                    <w:szCs w:val="22"/>
                    <w14:ligatures w14:val="none"/>
                  </w:rPr>
                </m:ctrlPr>
              </m:dPr>
              <m:e>
                <m:r>
                  <w:rPr>
                    <w:rFonts w:ascii="Cambria Math" w:eastAsia="FangSong" w:hAnsi="Cambria Math" w:cs="Times New Roman"/>
                    <w:color w:val="000000" w:themeColor="text1"/>
                    <w:szCs w:val="22"/>
                    <w14:ligatures w14:val="none"/>
                  </w:rPr>
                  <m:t>rw</m:t>
                </m:r>
              </m:e>
            </m:d>
          </m:sup>
        </m:sSubSup>
      </m:oMath>
      <w:r w:rsidRPr="0053126D">
        <w:rPr>
          <w:rFonts w:ascii="Times New Roman" w:eastAsia="FangSong" w:hAnsi="Times New Roman" w:cs="Times New Roman"/>
          <w:color w:val="000000" w:themeColor="text1"/>
          <w:szCs w:val="22"/>
          <w14:ligatures w14:val="none"/>
        </w:rPr>
        <w:t xml:space="preserve"> is the average value of a month before </w:t>
      </w:r>
      <m:oMath>
        <m:r>
          <w:rPr>
            <w:rFonts w:ascii="Cambria Math" w:eastAsia="FangSong" w:hAnsi="Cambria Math" w:cs="Times New Roman"/>
            <w:color w:val="000000" w:themeColor="text1"/>
            <w:szCs w:val="22"/>
            <w14:ligatures w14:val="none"/>
          </w:rPr>
          <m:t>i</m:t>
        </m:r>
      </m:oMath>
      <w:r w:rsidRPr="0053126D">
        <w:rPr>
          <w:rFonts w:ascii="Times New Roman" w:eastAsia="FangSong" w:hAnsi="Times New Roman" w:cs="Times New Roman"/>
          <w:color w:val="000000" w:themeColor="text1"/>
          <w:szCs w:val="22"/>
          <w14:ligatures w14:val="none"/>
        </w:rPr>
        <w:t xml:space="preserve"> day. The corresponding long-run volatility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τ</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can be rewritten as:</w:t>
      </w:r>
    </w:p>
    <w:p w14:paraId="2D907F6F" w14:textId="0352AA50" w:rsidR="003809E8" w:rsidRPr="0053126D" w:rsidRDefault="00000000" w:rsidP="003809E8">
      <w:pPr>
        <w:spacing w:line="360" w:lineRule="auto"/>
        <w:rPr>
          <w:rFonts w:ascii="Times New Roman" w:eastAsia="FangSong" w:hAnsi="Times New Roman" w:cs="Times New Roman"/>
          <w:iCs/>
          <w:color w:val="000000" w:themeColor="text1"/>
        </w:rPr>
      </w:pPr>
      <m:oMathPara>
        <m:oMath>
          <m:eqArr>
            <m:eqArrPr>
              <m:maxDist m:val="1"/>
              <m:ctrlPr>
                <w:rPr>
                  <w:rFonts w:ascii="Cambria Math" w:eastAsia="FangSong" w:hAnsi="Cambria Math" w:cs="Times New Roman"/>
                  <w:i/>
                  <w:iCs/>
                  <w:color w:val="000000" w:themeColor="text1"/>
                </w:rPr>
              </m:ctrlPr>
            </m:eqArrPr>
            <m:e>
              <m:r>
                <w:rPr>
                  <w:rFonts w:ascii="Cambria Math" w:eastAsia="FangSong" w:hAnsi="Cambria Math" w:cs="Times New Roman"/>
                  <w:color w:val="000000" w:themeColor="text1"/>
                </w:rPr>
                <m:t>ln</m:t>
              </m:r>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τ</m:t>
                  </m:r>
                </m:e>
                <m:sub>
                  <m:r>
                    <w:rPr>
                      <w:rFonts w:ascii="Cambria Math" w:eastAsia="FangSong" w:hAnsi="Cambria Math" w:cs="Times New Roman"/>
                      <w:color w:val="000000" w:themeColor="text1"/>
                    </w:rPr>
                    <m:t>t</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r>
                <w:rPr>
                  <w:rFonts w:ascii="Cambria Math" w:eastAsia="FangSong" w:hAnsi="Cambria Math" w:cs="Times New Roman"/>
                  <w:color w:val="000000" w:themeColor="text1"/>
                </w:rPr>
                <m:t>=</m:t>
              </m:r>
              <m:sSup>
                <m:sSupPr>
                  <m:ctrlPr>
                    <w:rPr>
                      <w:rFonts w:ascii="Cambria Math" w:eastAsia="FangSong" w:hAnsi="Cambria Math" w:cs="Times New Roman"/>
                      <w:i/>
                      <w:color w:val="000000" w:themeColor="text1"/>
                    </w:rPr>
                  </m:ctrlPr>
                </m:sSupPr>
                <m:e>
                  <m:r>
                    <w:rPr>
                      <w:rFonts w:ascii="Cambria Math" w:eastAsia="FangSong" w:hAnsi="Cambria Math" w:cs="Times New Roman"/>
                      <w:color w:val="000000" w:themeColor="text1"/>
                    </w:rPr>
                    <m:t>m</m:t>
                  </m:r>
                </m:e>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p>
              <m:r>
                <w:rPr>
                  <w:rFonts w:ascii="Cambria Math" w:eastAsia="FangSong" w:hAnsi="Cambria Math" w:cs="Times New Roman"/>
                  <w:color w:val="000000" w:themeColor="text1"/>
                </w:rPr>
                <m:t>+</m:t>
              </m:r>
              <m:sSup>
                <m:sSupPr>
                  <m:ctrlPr>
                    <w:rPr>
                      <w:rFonts w:ascii="Cambria Math" w:eastAsia="FangSong" w:hAnsi="Cambria Math" w:cs="Times New Roman"/>
                      <w:i/>
                      <w:color w:val="000000" w:themeColor="text1"/>
                    </w:rPr>
                  </m:ctrlPr>
                </m:sSupPr>
                <m:e>
                  <m:r>
                    <w:rPr>
                      <w:rFonts w:ascii="Cambria Math" w:eastAsia="FangSong" w:hAnsi="Cambria Math" w:cs="Times New Roman"/>
                      <w:color w:val="000000" w:themeColor="text1"/>
                    </w:rPr>
                    <m:t>θ</m:t>
                  </m:r>
                </m:e>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p>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k=1</m:t>
                  </m:r>
                </m:sub>
                <m:sup>
                  <m:r>
                    <w:rPr>
                      <w:rFonts w:ascii="Cambria Math" w:eastAsia="FangSong" w:hAnsi="Cambria Math" w:cs="Times New Roman"/>
                      <w:color w:val="000000" w:themeColor="text1"/>
                    </w:rPr>
                    <m:t>K</m:t>
                  </m:r>
                </m:sup>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φ</m:t>
                      </m:r>
                    </m:e>
                    <m:sub>
                      <m:r>
                        <w:rPr>
                          <w:rFonts w:ascii="Cambria Math" w:eastAsia="FangSong" w:hAnsi="Cambria Math" w:cs="Times New Roman"/>
                          <w:color w:val="000000" w:themeColor="text1"/>
                        </w:rPr>
                        <m:t>k</m:t>
                      </m:r>
                    </m:sub>
                  </m:sSub>
                  <m:d>
                    <m:dPr>
                      <m:ctrlPr>
                        <w:rPr>
                          <w:rFonts w:ascii="Cambria Math" w:eastAsia="FangSong" w:hAnsi="Cambria Math" w:cs="Times New Roman"/>
                          <w:i/>
                          <w:iCs/>
                          <w:color w:val="000000" w:themeColor="text1"/>
                        </w:rPr>
                      </m:ctrlPr>
                    </m:dPr>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1</m:t>
                          </m:r>
                        </m:sub>
                      </m:sSub>
                      <m:r>
                        <w:rPr>
                          <w:rFonts w:ascii="Cambria Math" w:eastAsia="FangSong" w:hAnsi="Cambria Math" w:cs="Times New Roman"/>
                          <w:color w:val="000000" w:themeColor="text1"/>
                        </w:rPr>
                        <m:t>,</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2</m:t>
                          </m:r>
                        </m:sub>
                      </m:sSub>
                    </m:e>
                  </m:d>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X</m:t>
                      </m:r>
                    </m:e>
                    <m:sub>
                      <m:r>
                        <w:rPr>
                          <w:rFonts w:ascii="Cambria Math" w:eastAsia="FangSong" w:hAnsi="Cambria Math" w:cs="Times New Roman"/>
                          <w:color w:val="000000" w:themeColor="text1"/>
                        </w:rPr>
                        <m:t>t-k</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e>
              </m:nary>
              <m:r>
                <w:rPr>
                  <w:rFonts w:ascii="Cambria Math" w:eastAsia="FangSong" w:hAnsi="Cambria Math" w:cs="Times New Roman"/>
                  <w:color w:val="000000" w:themeColor="text1"/>
                </w:rPr>
                <m:t>#</m:t>
              </m:r>
              <m:d>
                <m:dPr>
                  <m:ctrlPr>
                    <w:rPr>
                      <w:rFonts w:ascii="Cambria Math" w:eastAsia="FangSong" w:hAnsi="Cambria Math" w:cs="Times New Roman"/>
                      <w:i/>
                      <w:iCs/>
                      <w:color w:val="000000" w:themeColor="text1"/>
                    </w:rPr>
                  </m:ctrlPr>
                </m:dPr>
                <m:e>
                  <m:r>
                    <w:rPr>
                      <w:rFonts w:ascii="Cambria Math" w:eastAsia="FangSong" w:hAnsi="Cambria Math" w:cs="Times New Roman"/>
                      <w:color w:val="000000" w:themeColor="text1"/>
                    </w:rPr>
                    <m:t>A9</m:t>
                  </m:r>
                </m:e>
              </m:d>
            </m:e>
          </m:eqArr>
        </m:oMath>
      </m:oMathPara>
    </w:p>
    <w:p w14:paraId="1B759C78" w14:textId="2A5B6DEC"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Therefore, Equations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1),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3),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6), and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9) constitute the rolling window version of the univariate GJR-GARCH-MIDAS model.</w:t>
      </w:r>
    </w:p>
    <w:p w14:paraId="4C1FA2C9" w14:textId="657EE03B"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Based on the univariate GJR-GARCH-MIDAS model, this study further constructs a bivariate GJR-GARCH-MIDAS model. This model introduces two exogenous variables, realized volatility(</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RV</m:t>
            </m:r>
          </m:e>
          <m:sub>
            <m:r>
              <w:rPr>
                <w:rFonts w:ascii="Cambria Math" w:eastAsia="FangSong" w:hAnsi="Cambria Math" w:cs="Times New Roman"/>
                <w:color w:val="000000" w:themeColor="text1"/>
                <w:szCs w:val="22"/>
                <w14:ligatures w14:val="none"/>
              </w:rPr>
              <m:t>t</m:t>
            </m:r>
          </m:sub>
        </m:sSub>
      </m:oMath>
      <w:r w:rsidRPr="0053126D">
        <w:rPr>
          <w:rFonts w:ascii="Times New Roman" w:eastAsia="FangSong" w:hAnsi="Times New Roman" w:cs="Times New Roman"/>
          <w:color w:val="000000" w:themeColor="text1"/>
          <w:szCs w:val="22"/>
          <w14:ligatures w14:val="none"/>
        </w:rPr>
        <w:t xml:space="preserve">) and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index (GPRNK), to comprehensively capture the changes in long-term volatility. The long-term volatility component of the bivariate GJR-GARCH-MIDAS model is expressed as follows:</w:t>
      </w:r>
    </w:p>
    <w:p w14:paraId="74B4E01E" w14:textId="55DC6670"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iCs/>
                  <w:color w:val="000000" w:themeColor="text1"/>
                </w:rPr>
              </m:ctrlPr>
            </m:eqArrPr>
            <m:e>
              <m:r>
                <w:rPr>
                  <w:rFonts w:ascii="Cambria Math" w:eastAsia="FangSong" w:hAnsi="Cambria Math" w:cs="Times New Roman"/>
                  <w:color w:val="000000" w:themeColor="text1"/>
                </w:rPr>
                <m:t>ln</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τ</m:t>
                  </m:r>
                </m:e>
                <m:sub>
                  <m:r>
                    <w:rPr>
                      <w:rFonts w:ascii="Cambria Math" w:eastAsia="FangSong" w:hAnsi="Cambria Math" w:cs="Times New Roman"/>
                      <w:color w:val="000000" w:themeColor="text1"/>
                    </w:rPr>
                    <m:t>t</m:t>
                  </m:r>
                </m:sub>
              </m:sSub>
              <m:r>
                <w:rPr>
                  <w:rFonts w:ascii="Cambria Math" w:eastAsia="FangSong" w:hAnsi="Cambria Math" w:cs="Times New Roman"/>
                  <w:color w:val="000000" w:themeColor="text1"/>
                </w:rPr>
                <m:t>=m+</m:t>
              </m:r>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θ</m:t>
                  </m:r>
                </m:e>
                <m:sub>
                  <m:r>
                    <w:rPr>
                      <w:rFonts w:ascii="Cambria Math" w:eastAsia="FangSong" w:hAnsi="Cambria Math" w:cs="Times New Roman"/>
                      <w:color w:val="000000" w:themeColor="text1"/>
                    </w:rPr>
                    <m:t>1</m:t>
                  </m:r>
                </m:sub>
              </m:sSub>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k=1</m:t>
                  </m:r>
                </m:sub>
                <m:sup>
                  <m:r>
                    <w:rPr>
                      <w:rFonts w:ascii="Cambria Math" w:eastAsia="FangSong" w:hAnsi="Cambria Math" w:cs="Times New Roman"/>
                      <w:color w:val="000000" w:themeColor="text1"/>
                    </w:rPr>
                    <m:t>K</m:t>
                  </m:r>
                </m:sup>
                <m:e>
                  <m:sSub>
                    <m:sSubPr>
                      <m:ctrlPr>
                        <w:rPr>
                          <w:rFonts w:ascii="Cambria Math" w:eastAsia="FangSong" w:hAnsi="Cambria Math" w:cs="Times New Roman"/>
                          <w:i/>
                          <w:iCs/>
                          <w:color w:val="000000" w:themeColor="text1"/>
                        </w:rPr>
                      </m:ctrlPr>
                    </m:sSub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φ</m:t>
                          </m:r>
                        </m:e>
                        <m:sub>
                          <m:r>
                            <w:rPr>
                              <w:rFonts w:ascii="Cambria Math" w:eastAsia="FangSong" w:hAnsi="Cambria Math" w:cs="Times New Roman"/>
                              <w:color w:val="000000" w:themeColor="text1"/>
                            </w:rPr>
                            <m:t>1</m:t>
                          </m:r>
                        </m:sub>
                      </m:sSub>
                    </m:e>
                    <m:sub>
                      <m:r>
                        <w:rPr>
                          <w:rFonts w:ascii="Cambria Math" w:eastAsia="FangSong" w:hAnsi="Cambria Math" w:cs="Times New Roman"/>
                          <w:color w:val="000000" w:themeColor="text1"/>
                        </w:rPr>
                        <m:t>k</m:t>
                      </m:r>
                    </m:sub>
                  </m:sSub>
                  <m:d>
                    <m:dPr>
                      <m:ctrlPr>
                        <w:rPr>
                          <w:rFonts w:ascii="Cambria Math" w:eastAsia="FangSong" w:hAnsi="Cambria Math" w:cs="Times New Roman"/>
                          <w:i/>
                          <w:iCs/>
                          <w:color w:val="000000" w:themeColor="text1"/>
                        </w:rPr>
                      </m:ctrlPr>
                    </m:dPr>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1,1</m:t>
                          </m:r>
                        </m:sub>
                      </m:sSub>
                      <m:r>
                        <w:rPr>
                          <w:rFonts w:ascii="Cambria Math" w:eastAsia="FangSong" w:hAnsi="Cambria Math" w:cs="Times New Roman"/>
                          <w:color w:val="000000" w:themeColor="text1"/>
                        </w:rPr>
                        <m:t>,</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1,2</m:t>
                          </m:r>
                        </m:sub>
                      </m:sSub>
                    </m:e>
                  </m:d>
                  <m:sSub>
                    <m:sSubPr>
                      <m:ctrlPr>
                        <w:rPr>
                          <w:rFonts w:ascii="Cambria Math" w:eastAsia="FangSong" w:hAnsi="Cambria Math" w:cs="Times New Roman"/>
                          <w:i/>
                          <w:iCs/>
                          <w:color w:val="000000" w:themeColor="text1"/>
                        </w:rPr>
                      </m:ctrlPr>
                    </m:sSubPr>
                    <m:e>
                      <w:bookmarkStart w:id="54" w:name="OLE_LINK126"/>
                      <w:bookmarkStart w:id="55" w:name="OLE_LINK127"/>
                      <m:r>
                        <w:rPr>
                          <w:rFonts w:ascii="Cambria Math" w:eastAsia="FangSong" w:hAnsi="Cambria Math" w:cs="Times New Roman"/>
                          <w:color w:val="000000" w:themeColor="text1"/>
                        </w:rPr>
                        <m:t>RV</m:t>
                      </m:r>
                    </m:e>
                    <m:sub>
                      <m:r>
                        <w:rPr>
                          <w:rFonts w:ascii="Cambria Math" w:eastAsia="FangSong" w:hAnsi="Cambria Math" w:cs="Times New Roman"/>
                          <w:color w:val="000000" w:themeColor="text1"/>
                        </w:rPr>
                        <m:t>t</m:t>
                      </m:r>
                      <w:bookmarkEnd w:id="54"/>
                      <w:bookmarkEnd w:id="55"/>
                    </m:sub>
                  </m:sSub>
                </m:e>
              </m:nary>
              <m:r>
                <w:rPr>
                  <w:rFonts w:ascii="Cambria Math" w:eastAsia="FangSong" w:hAnsi="Cambria Math" w:cs="Times New Roman"/>
                  <w:color w:val="000000" w:themeColor="text1"/>
                </w:rPr>
                <m:t>+</m:t>
              </m:r>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θ</m:t>
                  </m:r>
                </m:e>
                <m:sub>
                  <m:r>
                    <w:rPr>
                      <w:rFonts w:ascii="Cambria Math" w:eastAsia="FangSong" w:hAnsi="Cambria Math" w:cs="Times New Roman"/>
                      <w:color w:val="000000" w:themeColor="text1"/>
                    </w:rPr>
                    <m:t>2</m:t>
                  </m:r>
                </m:sub>
              </m:sSub>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k=1</m:t>
                  </m:r>
                </m:sub>
                <m:sup>
                  <m:r>
                    <w:rPr>
                      <w:rFonts w:ascii="Cambria Math" w:eastAsia="FangSong" w:hAnsi="Cambria Math" w:cs="Times New Roman"/>
                      <w:color w:val="000000" w:themeColor="text1"/>
                    </w:rPr>
                    <m:t>K</m:t>
                  </m:r>
                </m:sup>
                <m:e>
                  <m:sSub>
                    <m:sSubPr>
                      <m:ctrlPr>
                        <w:rPr>
                          <w:rFonts w:ascii="Cambria Math" w:eastAsia="FangSong" w:hAnsi="Cambria Math" w:cs="Times New Roman"/>
                          <w:i/>
                          <w:iCs/>
                          <w:color w:val="000000" w:themeColor="text1"/>
                        </w:rPr>
                      </m:ctrlPr>
                    </m:sSub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φ</m:t>
                          </m:r>
                        </m:e>
                        <m:sub>
                          <m:r>
                            <w:rPr>
                              <w:rFonts w:ascii="Cambria Math" w:eastAsia="FangSong" w:hAnsi="Cambria Math" w:cs="Times New Roman"/>
                              <w:color w:val="000000" w:themeColor="text1"/>
                            </w:rPr>
                            <m:t>2</m:t>
                          </m:r>
                        </m:sub>
                      </m:sSub>
                    </m:e>
                    <m:sub>
                      <m:r>
                        <w:rPr>
                          <w:rFonts w:ascii="Cambria Math" w:eastAsia="FangSong" w:hAnsi="Cambria Math" w:cs="Times New Roman"/>
                          <w:color w:val="000000" w:themeColor="text1"/>
                        </w:rPr>
                        <m:t>k</m:t>
                      </m:r>
                    </m:sub>
                  </m:sSub>
                  <m:d>
                    <m:dPr>
                      <m:ctrlPr>
                        <w:rPr>
                          <w:rFonts w:ascii="Cambria Math" w:eastAsia="FangSong" w:hAnsi="Cambria Math" w:cs="Times New Roman"/>
                          <w:i/>
                          <w:iCs/>
                          <w:color w:val="000000" w:themeColor="text1"/>
                        </w:rPr>
                      </m:ctrlPr>
                    </m:dPr>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2,1</m:t>
                          </m:r>
                        </m:sub>
                      </m:sSub>
                      <m:r>
                        <w:rPr>
                          <w:rFonts w:ascii="Cambria Math" w:eastAsia="FangSong" w:hAnsi="Cambria Math" w:cs="Times New Roman"/>
                          <w:color w:val="000000" w:themeColor="text1"/>
                        </w:rPr>
                        <m:t>,</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2,2</m:t>
                          </m:r>
                        </m:sub>
                      </m:sSub>
                    </m:e>
                  </m:d>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X</m:t>
                      </m:r>
                    </m:e>
                    <m:sub>
                      <m:r>
                        <w:rPr>
                          <w:rFonts w:ascii="Cambria Math" w:eastAsia="FangSong" w:hAnsi="Cambria Math" w:cs="Times New Roman"/>
                          <w:color w:val="000000" w:themeColor="text1"/>
                        </w:rPr>
                        <m:t>1,t-k</m:t>
                      </m:r>
                    </m:sub>
                  </m:sSub>
                </m:e>
              </m:nary>
              <m:r>
                <w:rPr>
                  <w:rFonts w:ascii="Cambria Math" w:eastAsia="FangSong" w:hAnsi="Cambria Math" w:cs="Times New Roman"/>
                  <w:color w:val="000000" w:themeColor="text1"/>
                </w:rPr>
                <m:t>#</m:t>
              </m:r>
              <m:d>
                <m:dPr>
                  <m:ctrlPr>
                    <w:rPr>
                      <w:rFonts w:ascii="Cambria Math" w:eastAsia="FangSong" w:hAnsi="Cambria Math" w:cs="Times New Roman"/>
                      <w:i/>
                      <w:iCs/>
                      <w:color w:val="000000" w:themeColor="text1"/>
                    </w:rPr>
                  </m:ctrlPr>
                </m:dPr>
                <m:e>
                  <m:r>
                    <w:rPr>
                      <w:rFonts w:ascii="Cambria Math" w:eastAsia="FangSong" w:hAnsi="Cambria Math" w:cs="Times New Roman"/>
                      <w:color w:val="000000" w:themeColor="text1"/>
                    </w:rPr>
                    <m:t>A10</m:t>
                  </m:r>
                </m:e>
              </m:d>
              <m:ctrlPr>
                <w:rPr>
                  <w:rFonts w:ascii="Cambria Math" w:eastAsia="FangSong" w:hAnsi="Cambria Math" w:cs="Times New Roman"/>
                  <w:i/>
                  <w:color w:val="000000" w:themeColor="text1"/>
                </w:rPr>
              </m:ctrlPr>
            </m:e>
          </m:eqArr>
        </m:oMath>
      </m:oMathPara>
    </w:p>
    <w:p w14:paraId="5A06DCB4" w14:textId="77777777"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For the rolling window version, the expression for long-term volatility </w:t>
      </w:r>
      <m:oMath>
        <m:sSubSup>
          <m:sSubSupPr>
            <m:ctrlPr>
              <w:rPr>
                <w:rFonts w:ascii="Cambria Math" w:eastAsia="FangSong" w:hAnsi="Cambria Math" w:cs="Times New Roman"/>
                <w:color w:val="000000" w:themeColor="text1"/>
                <w:szCs w:val="22"/>
                <w14:ligatures w14:val="none"/>
              </w:rPr>
            </m:ctrlPr>
          </m:sSubSupPr>
          <m:e>
            <m:r>
              <w:rPr>
                <w:rFonts w:ascii="Cambria Math" w:eastAsia="FangSong" w:hAnsi="Cambria Math" w:cs="Times New Roman"/>
                <w:color w:val="000000" w:themeColor="text1"/>
                <w:szCs w:val="22"/>
                <w14:ligatures w14:val="none"/>
              </w:rPr>
              <m:t>τ</m:t>
            </m:r>
          </m:e>
          <m:sub>
            <m:r>
              <w:rPr>
                <w:rFonts w:ascii="Cambria Math" w:eastAsia="FangSong" w:hAnsi="Cambria Math" w:cs="Times New Roman"/>
                <w:color w:val="000000" w:themeColor="text1"/>
                <w:szCs w:val="22"/>
                <w14:ligatures w14:val="none"/>
              </w:rPr>
              <m:t>t</m:t>
            </m:r>
          </m:sub>
          <m:sup>
            <m:d>
              <m:dPr>
                <m:ctrlPr>
                  <w:rPr>
                    <w:rFonts w:ascii="Cambria Math" w:eastAsia="FangSong" w:hAnsi="Cambria Math" w:cs="Times New Roman"/>
                    <w:color w:val="000000" w:themeColor="text1"/>
                    <w:szCs w:val="22"/>
                    <w14:ligatures w14:val="none"/>
                  </w:rPr>
                </m:ctrlPr>
              </m:dPr>
              <m:e>
                <m:r>
                  <w:rPr>
                    <w:rFonts w:ascii="Cambria Math" w:eastAsia="FangSong" w:hAnsi="Cambria Math" w:cs="Times New Roman"/>
                    <w:color w:val="000000" w:themeColor="text1"/>
                    <w:szCs w:val="22"/>
                    <w14:ligatures w14:val="none"/>
                  </w:rPr>
                  <m:t>rw</m:t>
                </m:r>
              </m:e>
            </m:d>
          </m:sup>
        </m:sSubSup>
      </m:oMath>
      <w:r w:rsidRPr="0053126D">
        <w:rPr>
          <w:rFonts w:ascii="Times New Roman" w:eastAsia="FangSong" w:hAnsi="Times New Roman" w:cs="Times New Roman"/>
          <w:color w:val="000000" w:themeColor="text1"/>
          <w:szCs w:val="22"/>
          <w14:ligatures w14:val="none"/>
        </w:rPr>
        <w:t xml:space="preserve"> is:</w:t>
      </w:r>
    </w:p>
    <w:p w14:paraId="544DBE54" w14:textId="34BD1BB3" w:rsidR="003809E8" w:rsidRPr="0053126D" w:rsidRDefault="00000000" w:rsidP="003809E8">
      <w:pPr>
        <w:spacing w:line="360" w:lineRule="auto"/>
        <w:rPr>
          <w:rFonts w:ascii="Times New Roman" w:eastAsia="FangSong" w:hAnsi="Times New Roman" w:cs="Times New Roman"/>
          <w:color w:val="000000" w:themeColor="text1"/>
        </w:rPr>
      </w:pPr>
      <m:oMathPara>
        <m:oMath>
          <m:eqArr>
            <m:eqArrPr>
              <m:maxDist m:val="1"/>
              <m:ctrlPr>
                <w:rPr>
                  <w:rFonts w:ascii="Cambria Math" w:eastAsia="FangSong" w:hAnsi="Cambria Math" w:cs="Times New Roman"/>
                  <w:i/>
                  <w:iCs/>
                  <w:color w:val="000000" w:themeColor="text1"/>
                </w:rPr>
              </m:ctrlPr>
            </m:eqArrPr>
            <m:e>
              <m:r>
                <w:rPr>
                  <w:rFonts w:ascii="Cambria Math" w:eastAsia="FangSong" w:hAnsi="Cambria Math" w:cs="Times New Roman"/>
                  <w:color w:val="000000" w:themeColor="text1"/>
                </w:rPr>
                <m:t>ln</m:t>
              </m:r>
              <m:sSubSup>
                <m:sSubSupPr>
                  <m:ctrlPr>
                    <w:rPr>
                      <w:rFonts w:ascii="Cambria Math" w:eastAsia="FangSong" w:hAnsi="Cambria Math" w:cs="Times New Roman"/>
                      <w:i/>
                      <w:color w:val="000000" w:themeColor="text1"/>
                    </w:rPr>
                  </m:ctrlPr>
                </m:sSubSupPr>
                <m:e>
                  <w:bookmarkStart w:id="56" w:name="OLE_LINK129"/>
                  <w:bookmarkStart w:id="57" w:name="OLE_LINK128"/>
                  <m:r>
                    <w:rPr>
                      <w:rFonts w:ascii="Cambria Math" w:eastAsia="FangSong" w:hAnsi="Cambria Math" w:cs="Times New Roman"/>
                      <w:color w:val="000000" w:themeColor="text1"/>
                    </w:rPr>
                    <m:t>τ</m:t>
                  </m:r>
                </m:e>
                <m:sub>
                  <m:r>
                    <w:rPr>
                      <w:rFonts w:ascii="Cambria Math" w:eastAsia="FangSong" w:hAnsi="Cambria Math" w:cs="Times New Roman"/>
                      <w:color w:val="000000" w:themeColor="text1"/>
                    </w:rPr>
                    <m:t>t</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w:bookmarkEnd w:id="56"/>
                  <w:bookmarkEnd w:id="57"/>
                </m:sup>
              </m:sSubSup>
              <m:r>
                <w:rPr>
                  <w:rFonts w:ascii="Cambria Math" w:eastAsia="FangSong" w:hAnsi="Cambria Math" w:cs="Times New Roman"/>
                  <w:color w:val="000000" w:themeColor="text1"/>
                </w:rPr>
                <m:t>=</m:t>
              </m:r>
              <m:sSup>
                <m:sSupPr>
                  <m:ctrlPr>
                    <w:rPr>
                      <w:rFonts w:ascii="Cambria Math" w:eastAsia="FangSong" w:hAnsi="Cambria Math" w:cs="Times New Roman"/>
                      <w:i/>
                      <w:color w:val="000000" w:themeColor="text1"/>
                    </w:rPr>
                  </m:ctrlPr>
                </m:sSupPr>
                <m:e>
                  <m:r>
                    <w:rPr>
                      <w:rFonts w:ascii="Cambria Math" w:eastAsia="FangSong" w:hAnsi="Cambria Math" w:cs="Times New Roman"/>
                      <w:color w:val="000000" w:themeColor="text1"/>
                    </w:rPr>
                    <m:t>m</m:t>
                  </m:r>
                </m:e>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p>
              <m:r>
                <w:rPr>
                  <w:rFonts w:ascii="Cambria Math" w:eastAsia="FangSong" w:hAnsi="Cambria Math" w:cs="Times New Roman"/>
                  <w:color w:val="000000" w:themeColor="text1"/>
                </w:rPr>
                <m:t>+</m:t>
              </m:r>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θ</m:t>
                  </m:r>
                </m:e>
                <m:sub>
                  <m:r>
                    <w:rPr>
                      <w:rFonts w:ascii="Cambria Math" w:eastAsia="FangSong" w:hAnsi="Cambria Math" w:cs="Times New Roman"/>
                      <w:color w:val="000000" w:themeColor="text1"/>
                    </w:rPr>
                    <m:t>1</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k=1</m:t>
                  </m:r>
                </m:sub>
                <m:sup>
                  <m:r>
                    <w:rPr>
                      <w:rFonts w:ascii="Cambria Math" w:eastAsia="FangSong" w:hAnsi="Cambria Math" w:cs="Times New Roman"/>
                      <w:color w:val="000000" w:themeColor="text1"/>
                    </w:rPr>
                    <m:t>K</m:t>
                  </m:r>
                </m:sup>
                <m:e>
                  <m:sSub>
                    <m:sSubPr>
                      <m:ctrlPr>
                        <w:rPr>
                          <w:rFonts w:ascii="Cambria Math" w:eastAsia="FangSong" w:hAnsi="Cambria Math" w:cs="Times New Roman"/>
                          <w:i/>
                          <w:iCs/>
                          <w:color w:val="000000" w:themeColor="text1"/>
                        </w:rPr>
                      </m:ctrlPr>
                    </m:sSub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φ</m:t>
                          </m:r>
                        </m:e>
                        <m:sub>
                          <m:r>
                            <w:rPr>
                              <w:rFonts w:ascii="Cambria Math" w:eastAsia="FangSong" w:hAnsi="Cambria Math" w:cs="Times New Roman"/>
                              <w:color w:val="000000" w:themeColor="text1"/>
                            </w:rPr>
                            <m:t>1</m:t>
                          </m:r>
                        </m:sub>
                      </m:sSub>
                    </m:e>
                    <m:sub>
                      <m:r>
                        <w:rPr>
                          <w:rFonts w:ascii="Cambria Math" w:eastAsia="FangSong" w:hAnsi="Cambria Math" w:cs="Times New Roman"/>
                          <w:color w:val="000000" w:themeColor="text1"/>
                        </w:rPr>
                        <m:t>k</m:t>
                      </m:r>
                    </m:sub>
                  </m:sSub>
                  <m:d>
                    <m:dPr>
                      <m:ctrlPr>
                        <w:rPr>
                          <w:rFonts w:ascii="Cambria Math" w:eastAsia="FangSong" w:hAnsi="Cambria Math" w:cs="Times New Roman"/>
                          <w:i/>
                          <w:iCs/>
                          <w:color w:val="000000" w:themeColor="text1"/>
                        </w:rPr>
                      </m:ctrlPr>
                    </m:dPr>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1,1</m:t>
                          </m:r>
                        </m:sub>
                      </m:sSub>
                      <m:r>
                        <w:rPr>
                          <w:rFonts w:ascii="Cambria Math" w:eastAsia="FangSong" w:hAnsi="Cambria Math" w:cs="Times New Roman"/>
                          <w:color w:val="000000" w:themeColor="text1"/>
                        </w:rPr>
                        <m:t>,</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1,2</m:t>
                          </m:r>
                        </m:sub>
                      </m:sSub>
                    </m:e>
                  </m:d>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RV</m:t>
                      </m:r>
                    </m:e>
                    <m:sub>
                      <m:r>
                        <w:rPr>
                          <w:rFonts w:ascii="Cambria Math" w:eastAsia="FangSong" w:hAnsi="Cambria Math" w:cs="Times New Roman"/>
                          <w:color w:val="000000" w:themeColor="text1"/>
                        </w:rPr>
                        <m:t>t</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e>
              </m:nary>
              <m:r>
                <w:rPr>
                  <w:rFonts w:ascii="Cambria Math" w:eastAsia="FangSong" w:hAnsi="Cambria Math" w:cs="Times New Roman"/>
                  <w:color w:val="000000" w:themeColor="text1"/>
                </w:rPr>
                <m:t>+</m:t>
              </m:r>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θ</m:t>
                  </m:r>
                </m:e>
                <m:sub>
                  <m:r>
                    <w:rPr>
                      <w:rFonts w:ascii="Cambria Math" w:eastAsia="FangSong" w:hAnsi="Cambria Math" w:cs="Times New Roman"/>
                      <w:color w:val="000000" w:themeColor="text1"/>
                    </w:rPr>
                    <m:t>2</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nary>
                <m:naryPr>
                  <m:chr m:val="∑"/>
                  <m:limLoc m:val="undOvr"/>
                  <m:ctrlPr>
                    <w:rPr>
                      <w:rFonts w:ascii="Cambria Math" w:eastAsia="FangSong" w:hAnsi="Cambria Math" w:cs="Times New Roman"/>
                      <w:i/>
                      <w:iCs/>
                      <w:color w:val="000000" w:themeColor="text1"/>
                    </w:rPr>
                  </m:ctrlPr>
                </m:naryPr>
                <m:sub>
                  <m:r>
                    <w:rPr>
                      <w:rFonts w:ascii="Cambria Math" w:eastAsia="FangSong" w:hAnsi="Cambria Math" w:cs="Times New Roman"/>
                      <w:color w:val="000000" w:themeColor="text1"/>
                    </w:rPr>
                    <m:t>k=1</m:t>
                  </m:r>
                </m:sub>
                <m:sup>
                  <m:r>
                    <w:rPr>
                      <w:rFonts w:ascii="Cambria Math" w:eastAsia="FangSong" w:hAnsi="Cambria Math" w:cs="Times New Roman"/>
                      <w:color w:val="000000" w:themeColor="text1"/>
                    </w:rPr>
                    <m:t>K</m:t>
                  </m:r>
                </m:sup>
                <m:e>
                  <m:sSub>
                    <m:sSubPr>
                      <m:ctrlPr>
                        <w:rPr>
                          <w:rFonts w:ascii="Cambria Math" w:eastAsia="FangSong" w:hAnsi="Cambria Math" w:cs="Times New Roman"/>
                          <w:i/>
                          <w:iCs/>
                          <w:color w:val="000000" w:themeColor="text1"/>
                        </w:rPr>
                      </m:ctrlPr>
                    </m:sSubPr>
                    <m:e>
                      <m:sSub>
                        <m:sSubPr>
                          <m:ctrlPr>
                            <w:rPr>
                              <w:rFonts w:ascii="Cambria Math" w:eastAsia="FangSong" w:hAnsi="Cambria Math" w:cs="Times New Roman"/>
                              <w:i/>
                              <w:color w:val="000000" w:themeColor="text1"/>
                            </w:rPr>
                          </m:ctrlPr>
                        </m:sSubPr>
                        <m:e>
                          <m:r>
                            <w:rPr>
                              <w:rFonts w:ascii="Cambria Math" w:eastAsia="FangSong" w:hAnsi="Cambria Math" w:cs="Times New Roman"/>
                              <w:color w:val="000000" w:themeColor="text1"/>
                            </w:rPr>
                            <m:t>φ</m:t>
                          </m:r>
                        </m:e>
                        <m:sub>
                          <m:r>
                            <w:rPr>
                              <w:rFonts w:ascii="Cambria Math" w:eastAsia="FangSong" w:hAnsi="Cambria Math" w:cs="Times New Roman"/>
                              <w:color w:val="000000" w:themeColor="text1"/>
                            </w:rPr>
                            <m:t>2</m:t>
                          </m:r>
                        </m:sub>
                      </m:sSub>
                    </m:e>
                    <m:sub>
                      <m:r>
                        <w:rPr>
                          <w:rFonts w:ascii="Cambria Math" w:eastAsia="FangSong" w:hAnsi="Cambria Math" w:cs="Times New Roman"/>
                          <w:color w:val="000000" w:themeColor="text1"/>
                        </w:rPr>
                        <m:t>k</m:t>
                      </m:r>
                    </m:sub>
                  </m:sSub>
                  <m:d>
                    <m:dPr>
                      <m:ctrlPr>
                        <w:rPr>
                          <w:rFonts w:ascii="Cambria Math" w:eastAsia="FangSong" w:hAnsi="Cambria Math" w:cs="Times New Roman"/>
                          <w:i/>
                          <w:iCs/>
                          <w:color w:val="000000" w:themeColor="text1"/>
                        </w:rPr>
                      </m:ctrlPr>
                    </m:dPr>
                    <m:e>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2,1</m:t>
                          </m:r>
                        </m:sub>
                      </m:sSub>
                      <m:r>
                        <w:rPr>
                          <w:rFonts w:ascii="Cambria Math" w:eastAsia="FangSong" w:hAnsi="Cambria Math" w:cs="Times New Roman"/>
                          <w:color w:val="000000" w:themeColor="text1"/>
                        </w:rPr>
                        <m:t>,</m:t>
                      </m:r>
                      <m:sSub>
                        <m:sSubPr>
                          <m:ctrlPr>
                            <w:rPr>
                              <w:rFonts w:ascii="Cambria Math" w:eastAsia="FangSong" w:hAnsi="Cambria Math" w:cs="Times New Roman"/>
                              <w:i/>
                              <w:iCs/>
                              <w:color w:val="000000" w:themeColor="text1"/>
                            </w:rPr>
                          </m:ctrlPr>
                        </m:sSubPr>
                        <m:e>
                          <m:r>
                            <w:rPr>
                              <w:rFonts w:ascii="Cambria Math" w:eastAsia="FangSong" w:hAnsi="Cambria Math" w:cs="Times New Roman"/>
                              <w:color w:val="000000" w:themeColor="text1"/>
                            </w:rPr>
                            <m:t>w</m:t>
                          </m:r>
                        </m:e>
                        <m:sub>
                          <m:r>
                            <w:rPr>
                              <w:rFonts w:ascii="Cambria Math" w:eastAsia="FangSong" w:hAnsi="Cambria Math" w:cs="Times New Roman"/>
                              <w:color w:val="000000" w:themeColor="text1"/>
                            </w:rPr>
                            <m:t>2,2</m:t>
                          </m:r>
                        </m:sub>
                      </m:sSub>
                    </m:e>
                  </m:d>
                  <m:sSubSup>
                    <m:sSubSupPr>
                      <m:ctrlPr>
                        <w:rPr>
                          <w:rFonts w:ascii="Cambria Math" w:eastAsia="FangSong" w:hAnsi="Cambria Math" w:cs="Times New Roman"/>
                          <w:i/>
                          <w:color w:val="000000" w:themeColor="text1"/>
                        </w:rPr>
                      </m:ctrlPr>
                    </m:sSubSupPr>
                    <m:e>
                      <m:r>
                        <w:rPr>
                          <w:rFonts w:ascii="Cambria Math" w:eastAsia="FangSong" w:hAnsi="Cambria Math" w:cs="Times New Roman"/>
                          <w:color w:val="000000" w:themeColor="text1"/>
                        </w:rPr>
                        <m:t>X</m:t>
                      </m:r>
                    </m:e>
                    <m:sub>
                      <m:r>
                        <w:rPr>
                          <w:rFonts w:ascii="Cambria Math" w:eastAsia="FangSong" w:hAnsi="Cambria Math" w:cs="Times New Roman"/>
                          <w:color w:val="000000" w:themeColor="text1"/>
                        </w:rPr>
                        <m:t>1,t-k</m:t>
                      </m:r>
                    </m:sub>
                    <m:sup>
                      <m:d>
                        <m:dPr>
                          <m:ctrlPr>
                            <w:rPr>
                              <w:rFonts w:ascii="Cambria Math" w:eastAsia="FangSong" w:hAnsi="Cambria Math" w:cs="Times New Roman"/>
                              <w:i/>
                              <w:color w:val="000000" w:themeColor="text1"/>
                            </w:rPr>
                          </m:ctrlPr>
                        </m:dPr>
                        <m:e>
                          <m:r>
                            <w:rPr>
                              <w:rFonts w:ascii="Cambria Math" w:eastAsia="FangSong" w:hAnsi="Cambria Math" w:cs="Times New Roman"/>
                              <w:color w:val="000000" w:themeColor="text1"/>
                            </w:rPr>
                            <m:t>rw</m:t>
                          </m:r>
                        </m:e>
                      </m:d>
                    </m:sup>
                  </m:sSubSup>
                </m:e>
              </m:nary>
              <m:r>
                <w:rPr>
                  <w:rFonts w:ascii="Cambria Math" w:eastAsia="FangSong" w:hAnsi="Cambria Math" w:cs="Times New Roman"/>
                  <w:color w:val="000000" w:themeColor="text1"/>
                </w:rPr>
                <m:t>#</m:t>
              </m:r>
              <m:d>
                <m:dPr>
                  <m:ctrlPr>
                    <w:rPr>
                      <w:rFonts w:ascii="Cambria Math" w:eastAsia="FangSong" w:hAnsi="Cambria Math" w:cs="Times New Roman"/>
                      <w:i/>
                      <w:iCs/>
                      <w:color w:val="000000" w:themeColor="text1"/>
                    </w:rPr>
                  </m:ctrlPr>
                </m:dPr>
                <m:e>
                  <m:r>
                    <w:rPr>
                      <w:rFonts w:ascii="Cambria Math" w:eastAsia="FangSong" w:hAnsi="Cambria Math" w:cs="Times New Roman"/>
                      <w:color w:val="000000" w:themeColor="text1"/>
                    </w:rPr>
                    <m:t>A11</m:t>
                  </m:r>
                </m:e>
              </m:d>
              <m:ctrlPr>
                <w:rPr>
                  <w:rFonts w:ascii="Cambria Math" w:eastAsia="FangSong" w:hAnsi="Cambria Math" w:cs="Times New Roman"/>
                  <w:i/>
                  <w:color w:val="000000" w:themeColor="text1"/>
                </w:rPr>
              </m:ctrlPr>
            </m:e>
          </m:eqArr>
        </m:oMath>
      </m:oMathPara>
    </w:p>
    <w:p w14:paraId="4B5ADBE9" w14:textId="79FD5D78" w:rsidR="003809E8" w:rsidRPr="0053126D" w:rsidRDefault="003809E8" w:rsidP="003809E8">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In summary, Equations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1),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3),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6), and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10) are the fixed-window versions of the two-factor GJR-GARCH-MIDAS model. Equations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1),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3),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6), and (</w:t>
      </w:r>
      <w:r w:rsidR="007C07DE" w:rsidRPr="0053126D">
        <w:rPr>
          <w:rFonts w:ascii="Times New Roman" w:eastAsia="FangSong" w:hAnsi="Times New Roman" w:cs="Times New Roman"/>
          <w:color w:val="000000" w:themeColor="text1"/>
          <w:szCs w:val="22"/>
          <w14:ligatures w14:val="none"/>
        </w:rPr>
        <w:t>A</w:t>
      </w:r>
      <w:r w:rsidRPr="0053126D">
        <w:rPr>
          <w:rFonts w:ascii="Times New Roman" w:eastAsia="FangSong" w:hAnsi="Times New Roman" w:cs="Times New Roman"/>
          <w:color w:val="000000" w:themeColor="text1"/>
          <w:szCs w:val="22"/>
          <w14:ligatures w14:val="none"/>
        </w:rPr>
        <w:t xml:space="preserve">11) are the rolling-window versions of the two-factor GJR-GARCH-MIDAS model. The GARCH-MIDAS model proposed in this study can more accurately </w:t>
      </w:r>
      <w:r w:rsidRPr="0053126D">
        <w:rPr>
          <w:rFonts w:ascii="Times New Roman" w:eastAsia="FangSong" w:hAnsi="Times New Roman" w:cs="Times New Roman"/>
          <w:color w:val="000000" w:themeColor="text1"/>
          <w:szCs w:val="22"/>
          <w14:ligatures w14:val="none"/>
        </w:rPr>
        <w:lastRenderedPageBreak/>
        <w:t xml:space="preserve">capture the dynamic characteristics of stock market volatility by combining short-term and long-term volatility modeling methods. While the fixed-window version is suitable for static analysis, the rolling-window version can respond more flexibly to rapid changes in the market environment. The introduction of the two-factor model further improves the model's ability to explain long-term volatility, providing theoretical support and an empirical basis for studying the impact of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on stock market volatility.</w:t>
      </w:r>
    </w:p>
    <w:bookmarkEnd w:id="11"/>
    <w:p w14:paraId="4E05F184" w14:textId="00A6BD76" w:rsidR="005D502C" w:rsidRPr="0053126D" w:rsidRDefault="00C90E1A" w:rsidP="005D502C">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 xml:space="preserve">Appendix E: </w:t>
      </w:r>
      <w:bookmarkStart w:id="58" w:name="OLE_LINK80"/>
      <w:r w:rsidR="005D502C" w:rsidRPr="0053126D">
        <w:rPr>
          <w:rFonts w:ascii="Times New Roman" w:hAnsi="Times New Roman" w:cs="Times New Roman"/>
          <w:b/>
          <w:snapToGrid w:val="0"/>
          <w:color w:val="000000" w:themeColor="text1"/>
          <w:kern w:val="0"/>
          <w:sz w:val="22"/>
          <w:szCs w:val="22"/>
          <w:lang w:bidi="en-US"/>
        </w:rPr>
        <w:t>Out-of-Sample Prediction Test</w:t>
      </w:r>
      <w:bookmarkEnd w:id="58"/>
    </w:p>
    <w:p w14:paraId="2E1C24F1" w14:textId="14984B65" w:rsidR="00F71216" w:rsidRPr="0053126D" w:rsidRDefault="00F71216" w:rsidP="00F71216">
      <w:pPr>
        <w:pStyle w:val="MDPI22heading2"/>
        <w:spacing w:before="240"/>
        <w:ind w:left="0"/>
        <w:rPr>
          <w:rFonts w:ascii="Times New Roman" w:hAnsi="Times New Roman"/>
          <w:b/>
          <w:bCs/>
          <w:color w:val="000000" w:themeColor="text1"/>
          <w:sz w:val="22"/>
          <w:szCs w:val="28"/>
          <w:lang w:eastAsia="zh-CN"/>
        </w:rPr>
      </w:pPr>
      <w:r w:rsidRPr="0053126D">
        <w:rPr>
          <w:rFonts w:ascii="Times New Roman" w:hAnsi="Times New Roman"/>
          <w:b/>
          <w:bCs/>
          <w:color w:val="000000" w:themeColor="text1"/>
          <w:sz w:val="22"/>
          <w:szCs w:val="28"/>
          <w:lang w:eastAsia="zh-CN"/>
        </w:rPr>
        <w:t xml:space="preserve">Model Confidence Set (MCS) Test </w:t>
      </w:r>
    </w:p>
    <w:p w14:paraId="0EA5662F" w14:textId="555667B7" w:rsidR="00F71216" w:rsidRPr="0053126D" w:rsidRDefault="00F71216" w:rsidP="00F71216">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To systematically evaluate the model's predictive performance outside the sample, this study adopts the Model Confidence Set (MCS) test method proposed by </w:t>
      </w:r>
      <w:r w:rsidR="009E201B"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 AuthorYear="1"&gt;&lt;Author&gt;Hansen&lt;/Author&gt;&lt;Year&gt;2011&lt;/Year&gt;&lt;RecNum&gt;18&lt;/RecNum&gt;&lt;DisplayText&gt;Hansen et al. (2011)&lt;/DisplayText&gt;&lt;record&gt;&lt;rec-number&gt;18&lt;/rec-number&gt;&lt;foreign-keys&gt;&lt;key app="EN" db-id="v0ffzw0attzvegext9k5ed51e5az2zvssta9" timestamp="1754288518"&gt;18&lt;/key&gt;&lt;/foreign-keys&gt;&lt;ref-type name="Journal Article"&gt;17&lt;/ref-type&gt;&lt;contributors&gt;&lt;authors&gt;&lt;author&gt;Hansen, Peter R.&lt;/author&gt;&lt;author&gt;Lunde, Asger&lt;/author&gt;&lt;author&gt;Nason, James M.&lt;/author&gt;&lt;/authors&gt;&lt;/contributors&gt;&lt;titles&gt;&lt;title&gt;THE MODEL CONFIDENCE SET&lt;/title&gt;&lt;secondary-title&gt;Econometrica&lt;/secondary-title&gt;&lt;/titles&gt;&lt;periodical&gt;&lt;full-title&gt;Econometrica&lt;/full-title&gt;&lt;/periodical&gt;&lt;pages&gt;453-497&lt;/pages&gt;&lt;volume&gt;79&lt;/volume&gt;&lt;number&gt;2&lt;/number&gt;&lt;dates&gt;&lt;year&gt;2011&lt;/year&gt;&lt;/dates&gt;&lt;publisher&gt;[Wiley, Econometric Society]&lt;/publisher&gt;&lt;isbn&gt;00129682, 14680262&lt;/isbn&gt;&lt;urls&gt;&lt;related-urls&gt;&lt;url&gt;http://www.jstor.org/stable/41057463&lt;/url&gt;&lt;/related-urls&gt;&lt;/urls&gt;&lt;custom1&gt;Full publication date: March, 2011&lt;/custom1&gt;&lt;electronic-resource-num&gt; https://doi.org/10.3982/ECTA5771&lt;/electronic-resource-num&gt;&lt;remote-database-name&gt;JSTOR&lt;/remote-database-name&gt;&lt;access-date&gt;2025/08/04/&lt;/access-date&gt;&lt;/record&gt;&lt;/Cite&gt;&lt;/EndNote&gt;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Hansen et al. (2011)</w:t>
      </w:r>
      <w:r w:rsidR="009E20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This method quantifies the model's prediction error by introducing an appropriate loss function to compare the prediction performance of different models. Given that </w:t>
      </w:r>
      <w:r w:rsidR="009E201B" w:rsidRPr="0053126D">
        <w:rPr>
          <w:rFonts w:ascii="Times New Roman" w:eastAsia="FangSong" w:hAnsi="Times New Roman" w:cs="Times New Roman"/>
          <w:color w:val="000000" w:themeColor="text1"/>
          <w:szCs w:val="22"/>
          <w14:ligatures w14:val="none"/>
        </w:rPr>
        <w:fldChar w:fldCharType="begin"/>
      </w:r>
      <w:r w:rsidR="009E201B" w:rsidRPr="0053126D">
        <w:rPr>
          <w:rFonts w:ascii="Times New Roman" w:eastAsia="FangSong" w:hAnsi="Times New Roman" w:cs="Times New Roman"/>
          <w:color w:val="000000" w:themeColor="text1"/>
          <w:szCs w:val="22"/>
          <w14:ligatures w14:val="none"/>
        </w:rPr>
        <w:instrText xml:space="preserve"> ADDIN EN.CITE &lt;EndNote&gt;&lt;Cite AuthorYear="1"&gt;&lt;Author&gt;Diebold&lt;/Author&gt;&lt;Year&gt;1996&lt;/Year&gt;&lt;RecNum&gt;19&lt;/RecNum&gt;&lt;DisplayText&gt;Diebold and Lopez (1996)&lt;/DisplayText&gt;&lt;record&gt;&lt;rec-number&gt;19&lt;/rec-number&gt;&lt;foreign-keys&gt;&lt;key app="EN" db-id="v0ffzw0attzvegext9k5ed51e5az2zvssta9" timestamp="1754288581"&gt;19&lt;/key&gt;&lt;/foreign-keys&gt;&lt;ref-type name="Book Section"&gt;5&lt;/ref-type&gt;&lt;contributors&gt;&lt;authors&gt;&lt;author&gt;Diebold, Francis X.&lt;/author&gt;&lt;author&gt;Lopez, Jose A.&lt;/author&gt;&lt;/authors&gt;&lt;/contributors&gt;&lt;titles&gt;&lt;title&gt;8 Forecast evaluation and combination&lt;/title&gt;&lt;secondary-title&gt;Handbook of Statistics&lt;/secondary-title&gt;&lt;/titles&gt;&lt;pages&gt;241-268&lt;/pages&gt;&lt;volume&gt;14&lt;/volume&gt;&lt;dates&gt;&lt;year&gt;1996&lt;/year&gt;&lt;pub-dates&gt;&lt;date&gt;1996/01/01/&lt;/date&gt;&lt;/pub-dates&gt;&lt;/dates&gt;&lt;publisher&gt;Elsevier&lt;/publisher&gt;&lt;isbn&gt;0169-7161&lt;/isbn&gt;&lt;urls&gt;&lt;related-urls&gt;&lt;url&gt;https://www.sciencedirect.com/science/article/pii/S0169716196140104&lt;/url&gt;&lt;/related-urls&gt;&lt;/urls&gt;&lt;electronic-resource-num&gt;https://doi.org/10.1016/S0169-7161(96)14010-4&lt;/electronic-resource-num&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Diebold and Lopez (1996)</w:t>
      </w:r>
      <w:r w:rsidR="009E20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pointed out that the selection of the most appropriate loss function to measure the accuracy of predicting volatility is a complex and difficult problem to unify standards, this study finally selected three common loss functions for comparison and evaluation: mean squared error (MSE), mean absolute error (MAE), and quasi-likelihood error (QLIKE). The specific formulas are as follows:</w:t>
      </w:r>
    </w:p>
    <w:p w14:paraId="7A4DC67A" w14:textId="24E65E51" w:rsidR="00F71216" w:rsidRPr="0053126D" w:rsidRDefault="00000000" w:rsidP="00F71216">
      <w:pPr>
        <w:ind w:firstLineChars="50" w:firstLine="110"/>
        <w:rPr>
          <w:rFonts w:ascii="Times New Roman" w:eastAsia="FangSong"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MSE=</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n=1</m:t>
                  </m:r>
                </m:sub>
                <m:sup>
                  <m:r>
                    <w:rPr>
                      <w:rFonts w:ascii="Cambria Math" w:hAnsi="Cambria Math" w:cs="Times New Roman"/>
                      <w:color w:val="000000" w:themeColor="text1"/>
                    </w:rPr>
                    <m:t>N</m:t>
                  </m:r>
                </m:sup>
                <m:e>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t</m:t>
                              </m:r>
                            </m:sub>
                            <m:sup>
                              <m:r>
                                <w:rPr>
                                  <w:rFonts w:ascii="Cambria Math" w:hAnsi="Cambria Math" w:cs="Times New Roman"/>
                                  <w:color w:val="000000" w:themeColor="text1"/>
                                </w:rPr>
                                <m:t>2</m:t>
                              </m:r>
                            </m:sup>
                          </m:sSubSup>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acc>
                                <m:accPr>
                                  <m:ctrlPr>
                                    <w:rPr>
                                      <w:rFonts w:ascii="Cambria Math" w:hAnsi="Cambria Math" w:cs="Times New Roman"/>
                                      <w:i/>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t</m:t>
                              </m:r>
                            </m:sub>
                            <m:sup>
                              <m:r>
                                <w:rPr>
                                  <w:rFonts w:ascii="Cambria Math" w:hAnsi="Cambria Math" w:cs="Times New Roman"/>
                                  <w:color w:val="000000" w:themeColor="text1"/>
                                </w:rPr>
                                <m:t>2</m:t>
                              </m:r>
                            </m:sup>
                          </m:sSubSup>
                        </m:e>
                      </m:d>
                    </m:e>
                    <m:sup>
                      <m:r>
                        <w:rPr>
                          <w:rFonts w:ascii="Cambria Math" w:hAnsi="Cambria Math" w:cs="Times New Roman"/>
                          <w:color w:val="000000" w:themeColor="text1"/>
                        </w:rPr>
                        <m:t>2</m:t>
                      </m:r>
                    </m:sup>
                  </m:sSup>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A12</m:t>
                  </m:r>
                </m:e>
              </m:d>
            </m:e>
          </m:eqArr>
        </m:oMath>
      </m:oMathPara>
    </w:p>
    <w:p w14:paraId="14C4395F" w14:textId="4B12A23A" w:rsidR="00F71216" w:rsidRPr="0053126D" w:rsidRDefault="00000000" w:rsidP="00F71216">
      <w:pPr>
        <w:rPr>
          <w:rFonts w:ascii="Times New Roman" w:eastAsia="FangSong"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MAE=</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n=1</m:t>
                  </m:r>
                </m:sub>
                <m:sup>
                  <m:r>
                    <w:rPr>
                      <w:rFonts w:ascii="Cambria Math" w:hAnsi="Cambria Math" w:cs="Times New Roman"/>
                      <w:color w:val="000000" w:themeColor="text1"/>
                    </w:rPr>
                    <m:t>N</m:t>
                  </m:r>
                </m:sup>
                <m:e>
                  <m:d>
                    <m:dPr>
                      <m:begChr m:val="|"/>
                      <m:endChr m:val="|"/>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t</m:t>
                          </m:r>
                        </m:sub>
                        <m:sup>
                          <m:r>
                            <w:rPr>
                              <w:rFonts w:ascii="Cambria Math" w:hAnsi="Cambria Math" w:cs="Times New Roman"/>
                              <w:color w:val="000000" w:themeColor="text1"/>
                            </w:rPr>
                            <m:t>2</m:t>
                          </m:r>
                        </m:sup>
                      </m:sSubSup>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acc>
                            <m:accPr>
                              <m:ctrlPr>
                                <w:rPr>
                                  <w:rFonts w:ascii="Cambria Math" w:hAnsi="Cambria Math" w:cs="Times New Roman"/>
                                  <w:i/>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t</m:t>
                          </m:r>
                        </m:sub>
                        <m:sup>
                          <m:r>
                            <w:rPr>
                              <w:rFonts w:ascii="Cambria Math" w:hAnsi="Cambria Math" w:cs="Times New Roman"/>
                              <w:color w:val="000000" w:themeColor="text1"/>
                            </w:rPr>
                            <m:t>2</m:t>
                          </m:r>
                        </m:sup>
                      </m:sSubSup>
                    </m:e>
                  </m:d>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A13</m:t>
                  </m:r>
                </m:e>
              </m:d>
            </m:e>
          </m:eqArr>
        </m:oMath>
      </m:oMathPara>
    </w:p>
    <w:p w14:paraId="46D9BF83" w14:textId="6AD0106A" w:rsidR="00F71216" w:rsidRPr="0053126D" w:rsidRDefault="00000000" w:rsidP="00F71216">
      <w:pPr>
        <w:rPr>
          <w:rFonts w:ascii="Times New Roman" w:eastAsia="FangSong" w:hAnsi="Times New Roman" w:cs="Times New Roman"/>
          <w:color w:val="000000" w:themeColor="text1"/>
        </w:rPr>
      </w:pPr>
      <m:oMathPara>
        <m:oMath>
          <m:eqArr>
            <m:eqArrPr>
              <m:maxDist m:val="1"/>
              <m:ctrlPr>
                <w:rPr>
                  <w:rFonts w:ascii="Cambria Math" w:hAnsi="Cambria Math" w:cs="Times New Roman"/>
                  <w:i/>
                  <w:color w:val="000000" w:themeColor="text1"/>
                </w:rPr>
              </m:ctrlPr>
            </m:eqArrPr>
            <m:e>
              <m:r>
                <w:rPr>
                  <w:rFonts w:ascii="Cambria Math" w:hAnsi="Cambria Math" w:cs="Times New Roman"/>
                  <w:color w:val="000000" w:themeColor="text1"/>
                </w:rPr>
                <m:t>QLIKE=</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n</m:t>
                  </m:r>
                </m:den>
              </m:f>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n=1</m:t>
                  </m:r>
                </m:sub>
                <m:sup>
                  <m:r>
                    <w:rPr>
                      <w:rFonts w:ascii="Cambria Math" w:hAnsi="Cambria Math" w:cs="Times New Roman"/>
                      <w:color w:val="000000" w:themeColor="text1"/>
                    </w:rPr>
                    <m:t>N</m:t>
                  </m:r>
                </m:sup>
                <m:e>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(ln</m:t>
                      </m:r>
                    </m:fName>
                    <m:e>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acc>
                                <m:accPr>
                                  <m:ctrlPr>
                                    <w:rPr>
                                      <w:rFonts w:ascii="Cambria Math" w:hAnsi="Cambria Math" w:cs="Times New Roman"/>
                                      <w:i/>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t</m:t>
                              </m:r>
                            </m:sub>
                            <m:sup>
                              <m:r>
                                <w:rPr>
                                  <w:rFonts w:ascii="Cambria Math" w:hAnsi="Cambria Math" w:cs="Times New Roman"/>
                                  <w:color w:val="000000" w:themeColor="text1"/>
                                </w:rPr>
                                <m:t>2</m:t>
                              </m:r>
                            </m:sup>
                          </m:sSubSup>
                        </m:e>
                      </m:d>
                    </m:e>
                  </m:func>
                  <m:r>
                    <w:rPr>
                      <w:rFonts w:ascii="Cambria Math" w:hAnsi="Cambria Math" w:cs="Times New Roman"/>
                      <w:color w:val="000000" w:themeColor="text1"/>
                    </w:rPr>
                    <m:t>+</m:t>
                  </m:r>
                  <m:f>
                    <m:fPr>
                      <m:ctrlPr>
                        <w:rPr>
                          <w:rFonts w:ascii="Cambria Math" w:hAnsi="Cambria Math" w:cs="Times New Roman"/>
                          <w:i/>
                          <w:color w:val="000000" w:themeColor="text1"/>
                        </w:rPr>
                      </m:ctrlPr>
                    </m:fPr>
                    <m:num>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t</m:t>
                          </m:r>
                        </m:sub>
                        <m:sup>
                          <m:r>
                            <w:rPr>
                              <w:rFonts w:ascii="Cambria Math" w:hAnsi="Cambria Math" w:cs="Times New Roman"/>
                              <w:color w:val="000000" w:themeColor="text1"/>
                            </w:rPr>
                            <m:t>2</m:t>
                          </m:r>
                        </m:sup>
                      </m:sSubSup>
                    </m:num>
                    <m:den>
                      <m:sSubSup>
                        <m:sSubSupPr>
                          <m:ctrlPr>
                            <w:rPr>
                              <w:rFonts w:ascii="Cambria Math" w:hAnsi="Cambria Math" w:cs="Times New Roman"/>
                              <w:i/>
                              <w:color w:val="000000" w:themeColor="text1"/>
                            </w:rPr>
                          </m:ctrlPr>
                        </m:sSubSupPr>
                        <m:e>
                          <m:acc>
                            <m:accPr>
                              <m:ctrlPr>
                                <w:rPr>
                                  <w:rFonts w:ascii="Cambria Math" w:hAnsi="Cambria Math" w:cs="Times New Roman"/>
                                  <w:i/>
                                  <w:color w:val="000000" w:themeColor="text1"/>
                                </w:rPr>
                              </m:ctrlPr>
                            </m:accPr>
                            <m:e>
                              <m:r>
                                <w:rPr>
                                  <w:rFonts w:ascii="Cambria Math" w:hAnsi="Cambria Math" w:cs="Times New Roman"/>
                                  <w:color w:val="000000" w:themeColor="text1"/>
                                </w:rPr>
                                <m:t>σ</m:t>
                              </m:r>
                            </m:e>
                          </m:acc>
                        </m:e>
                        <m:sub>
                          <m:r>
                            <w:rPr>
                              <w:rFonts w:ascii="Cambria Math" w:hAnsi="Cambria Math" w:cs="Times New Roman"/>
                              <w:color w:val="000000" w:themeColor="text1"/>
                            </w:rPr>
                            <m:t>t</m:t>
                          </m:r>
                        </m:sub>
                        <m:sup>
                          <m:r>
                            <w:rPr>
                              <w:rFonts w:ascii="Cambria Math" w:hAnsi="Cambria Math" w:cs="Times New Roman"/>
                              <w:color w:val="000000" w:themeColor="text1"/>
                            </w:rPr>
                            <m:t>2</m:t>
                          </m:r>
                        </m:sup>
                      </m:sSubSup>
                    </m:den>
                  </m:f>
                  <m:r>
                    <w:rPr>
                      <w:rFonts w:ascii="Cambria Math" w:hAnsi="Cambria Math" w:cs="Times New Roman"/>
                      <w:color w:val="000000" w:themeColor="text1"/>
                    </w:rPr>
                    <m:t>)</m:t>
                  </m:r>
                </m:e>
              </m:nary>
              <m:r>
                <w:rPr>
                  <w:rFonts w:ascii="Cambria Math"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A14</m:t>
                  </m:r>
                </m:e>
              </m:d>
            </m:e>
          </m:eqArr>
        </m:oMath>
      </m:oMathPara>
    </w:p>
    <w:p w14:paraId="2A94E1CD" w14:textId="086A04EC" w:rsidR="00F71216" w:rsidRPr="0053126D" w:rsidRDefault="00F71216" w:rsidP="00F71216">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59" w:name="OLE_LINK319"/>
      <w:bookmarkStart w:id="60" w:name="OLE_LINK320"/>
      <w:r w:rsidRPr="0053126D">
        <w:rPr>
          <w:rFonts w:ascii="Times New Roman" w:eastAsia="FangSong" w:hAnsi="Times New Roman" w:cs="Times New Roman"/>
          <w:color w:val="000000" w:themeColor="text1"/>
          <w:szCs w:val="22"/>
          <w14:ligatures w14:val="none"/>
        </w:rPr>
        <w:t xml:space="preserve">Where </w:t>
      </w:r>
      <m:oMath>
        <m:sSubSup>
          <m:sSubSupPr>
            <m:ctrlPr>
              <w:rPr>
                <w:rFonts w:ascii="Cambria Math" w:eastAsia="FangSong" w:hAnsi="Cambria Math" w:cs="Times New Roman"/>
                <w:color w:val="000000" w:themeColor="text1"/>
                <w:szCs w:val="22"/>
                <w14:ligatures w14:val="none"/>
              </w:rPr>
            </m:ctrlPr>
          </m:sSubSupPr>
          <m:e>
            <m:r>
              <w:rPr>
                <w:rFonts w:ascii="Cambria Math" w:eastAsia="FangSong" w:hAnsi="Cambria Math" w:cs="Times New Roman"/>
                <w:color w:val="000000" w:themeColor="text1"/>
                <w:szCs w:val="22"/>
                <w14:ligatures w14:val="none"/>
              </w:rPr>
              <m:t>σ</m:t>
            </m:r>
          </m:e>
          <m:sub>
            <m:r>
              <w:rPr>
                <w:rFonts w:ascii="Cambria Math" w:eastAsia="FangSong" w:hAnsi="Cambria Math" w:cs="Times New Roman"/>
                <w:color w:val="000000" w:themeColor="text1"/>
                <w:szCs w:val="22"/>
                <w14:ligatures w14:val="none"/>
              </w:rPr>
              <m:t>t</m:t>
            </m:r>
          </m:sub>
          <m:sup>
            <m:r>
              <m:rPr>
                <m:sty m:val="p"/>
              </m:rPr>
              <w:rPr>
                <w:rFonts w:ascii="Cambria Math" w:eastAsia="FangSong" w:hAnsi="Cambria Math" w:cs="Times New Roman"/>
                <w:color w:val="000000" w:themeColor="text1"/>
                <w:szCs w:val="22"/>
                <w14:ligatures w14:val="none"/>
              </w:rPr>
              <m:t>2</m:t>
            </m:r>
          </m:sup>
        </m:sSubSup>
      </m:oMath>
      <w:r w:rsidRPr="0053126D">
        <w:rPr>
          <w:rFonts w:ascii="Times New Roman" w:eastAsia="FangSong" w:hAnsi="Times New Roman" w:cs="Times New Roman"/>
          <w:color w:val="000000" w:themeColor="text1"/>
          <w:szCs w:val="22"/>
          <w14:ligatures w14:val="none"/>
        </w:rPr>
        <w:t xml:space="preserve"> is the square of the stock market return, which serves as a proxy for volatility, and </w:t>
      </w:r>
      <m:oMath>
        <m:sSubSup>
          <m:sSubSupPr>
            <m:ctrlPr>
              <w:rPr>
                <w:rFonts w:ascii="Cambria Math" w:eastAsia="FangSong" w:hAnsi="Cambria Math" w:cs="Times New Roman"/>
                <w:color w:val="000000" w:themeColor="text1"/>
                <w:szCs w:val="22"/>
                <w14:ligatures w14:val="none"/>
              </w:rPr>
            </m:ctrlPr>
          </m:sSubSupPr>
          <m:e>
            <m:r>
              <w:rPr>
                <w:rFonts w:ascii="Cambria Math" w:eastAsia="FangSong" w:hAnsi="Cambria Math" w:cs="Times New Roman"/>
                <w:color w:val="000000" w:themeColor="text1"/>
                <w:szCs w:val="22"/>
                <w14:ligatures w14:val="none"/>
              </w:rPr>
              <m:t>σ</m:t>
            </m:r>
          </m:e>
          <m:sub>
            <m:r>
              <w:rPr>
                <w:rFonts w:ascii="Cambria Math" w:eastAsia="FangSong" w:hAnsi="Cambria Math" w:cs="Times New Roman"/>
                <w:color w:val="000000" w:themeColor="text1"/>
                <w:szCs w:val="22"/>
                <w14:ligatures w14:val="none"/>
              </w:rPr>
              <m:t>t</m:t>
            </m:r>
          </m:sub>
          <m:sup>
            <m:r>
              <m:rPr>
                <m:sty m:val="p"/>
              </m:rPr>
              <w:rPr>
                <w:rFonts w:ascii="Cambria Math" w:eastAsia="FangSong" w:hAnsi="Cambria Math" w:cs="Times New Roman"/>
                <w:color w:val="000000" w:themeColor="text1"/>
                <w:szCs w:val="22"/>
                <w14:ligatures w14:val="none"/>
              </w:rPr>
              <m:t>2</m:t>
            </m:r>
          </m:sup>
        </m:sSubSup>
      </m:oMath>
      <w:r w:rsidRPr="0053126D">
        <w:rPr>
          <w:rFonts w:ascii="Times New Roman" w:eastAsia="FangSong" w:hAnsi="Times New Roman" w:cs="Times New Roman"/>
          <w:color w:val="000000" w:themeColor="text1"/>
          <w:szCs w:val="22"/>
          <w14:ligatures w14:val="none"/>
        </w:rPr>
        <w:t xml:space="preserve"> is the forecasted volatility that the model estimates. By comparing these three loss functions, we can comprehensively evaluate the model's forecast error and select the optimal model based on its performance.</w:t>
      </w:r>
    </w:p>
    <w:p w14:paraId="2CA74DD1" w14:textId="4FF0CACA" w:rsidR="00F71216" w:rsidRPr="0053126D" w:rsidRDefault="00F71216" w:rsidP="00F71216">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For the MCS test, this research included the GJR-GARCH (1,1) model and the GJR-GARCH-MIDAS model for each variable in the model confidence set (</w:t>
      </w:r>
      <m:oMath>
        <m:r>
          <w:rPr>
            <w:rFonts w:ascii="Cambria Math" w:eastAsia="SimSun" w:hAnsi="Cambria Math" w:cs="Times New Roman"/>
            <w:color w:val="000000" w:themeColor="text1"/>
          </w:rPr>
          <m:t>M</m:t>
        </m:r>
      </m:oMath>
      <w:r w:rsidRPr="0053126D">
        <w:rPr>
          <w:rFonts w:ascii="Times New Roman" w:eastAsia="FangSong" w:hAnsi="Times New Roman" w:cs="Times New Roman"/>
          <w:color w:val="000000" w:themeColor="text1"/>
          <w:szCs w:val="22"/>
          <w14:ligatures w14:val="none"/>
        </w:rPr>
        <w:t>). To test whether there is a significant difference in the predictive performance of different models, we used two statistics: the maximum t-value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T</m:t>
            </m:r>
          </m:e>
          <m:sub>
            <m:r>
              <w:rPr>
                <w:rFonts w:ascii="Cambria Math" w:eastAsia="FangSong" w:hAnsi="Cambria Math" w:cs="Times New Roman"/>
                <w:color w:val="000000" w:themeColor="text1"/>
                <w:szCs w:val="22"/>
                <w14:ligatures w14:val="none"/>
              </w:rPr>
              <m:t>max</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M</m:t>
            </m:r>
          </m:sub>
        </m:sSub>
      </m:oMath>
      <w:r w:rsidRPr="0053126D">
        <w:rPr>
          <w:rFonts w:ascii="Times New Roman" w:eastAsia="FangSong" w:hAnsi="Times New Roman" w:cs="Times New Roman"/>
          <w:color w:val="000000" w:themeColor="text1"/>
          <w:szCs w:val="22"/>
          <w14:ligatures w14:val="none"/>
        </w:rPr>
        <w:t>) and the range statistic (</w:t>
      </w:r>
      <m:oMath>
        <m:sSub>
          <m:sSubPr>
            <m:ctrlPr>
              <w:rPr>
                <w:rFonts w:ascii="Cambria Math" w:eastAsia="FangSong" w:hAnsi="Cambria Math" w:cs="Times New Roman"/>
                <w:color w:val="000000" w:themeColor="text1"/>
                <w:szCs w:val="22"/>
                <w14:ligatures w14:val="none"/>
              </w:rPr>
            </m:ctrlPr>
          </m:sSubPr>
          <m:e>
            <m:r>
              <w:rPr>
                <w:rFonts w:ascii="Cambria Math" w:eastAsia="FangSong" w:hAnsi="Cambria Math" w:cs="Times New Roman"/>
                <w:color w:val="000000" w:themeColor="text1"/>
                <w:szCs w:val="22"/>
                <w14:ligatures w14:val="none"/>
              </w:rPr>
              <m:t>T</m:t>
            </m:r>
          </m:e>
          <m:sub>
            <m:r>
              <w:rPr>
                <w:rFonts w:ascii="Cambria Math" w:eastAsia="FangSong" w:hAnsi="Cambria Math" w:cs="Times New Roman"/>
                <w:color w:val="000000" w:themeColor="text1"/>
                <w:szCs w:val="22"/>
                <w14:ligatures w14:val="none"/>
              </w:rPr>
              <m:t>R</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M</m:t>
            </m:r>
          </m:sub>
        </m:sSub>
      </m:oMath>
      <w:r w:rsidRPr="0053126D">
        <w:rPr>
          <w:rFonts w:ascii="Times New Roman" w:eastAsia="FangSong" w:hAnsi="Times New Roman" w:cs="Times New Roman"/>
          <w:color w:val="000000" w:themeColor="text1"/>
          <w:szCs w:val="22"/>
          <w14:ligatures w14:val="none"/>
        </w:rPr>
        <w:t>). The specific formulas are as follows:</w:t>
      </w:r>
      <w:bookmarkEnd w:id="59"/>
      <w:bookmarkEnd w:id="60"/>
    </w:p>
    <w:p w14:paraId="29610453" w14:textId="6DAB9716" w:rsidR="00F71216" w:rsidRPr="0053126D" w:rsidRDefault="00000000" w:rsidP="00F71216">
      <w:pPr>
        <w:spacing w:line="360" w:lineRule="auto"/>
        <w:ind w:firstLineChars="200" w:firstLine="440"/>
        <w:rPr>
          <w:rFonts w:ascii="Times New Roman" w:eastAsia="FangSong" w:hAnsi="Times New Roman" w:cs="Times New Roman"/>
          <w:color w:val="000000" w:themeColor="text1"/>
        </w:rPr>
      </w:pPr>
      <m:oMathPara>
        <m:oMath>
          <m:eqArr>
            <m:eqArrPr>
              <m:maxDist m:val="1"/>
              <m:ctrlPr>
                <w:rPr>
                  <w:rFonts w:ascii="Cambria Math" w:eastAsia="SimSun" w:hAnsi="Cambria Math" w:cs="Times New Roman"/>
                  <w:i/>
                  <w:color w:val="000000" w:themeColor="text1"/>
                </w:rPr>
              </m:ctrlPr>
            </m:eqArrPr>
            <m:e>
              <m:sSub>
                <m:sSubPr>
                  <m:ctrlPr>
                    <w:rPr>
                      <w:rFonts w:ascii="Cambria Math" w:eastAsia="SimSun" w:hAnsi="Cambria Math" w:cs="Times New Roman"/>
                      <w:i/>
                      <w:color w:val="000000" w:themeColor="text1"/>
                    </w:rPr>
                  </m:ctrlPr>
                </m:sSubPr>
                <m:e>
                  <m:r>
                    <w:rPr>
                      <w:rFonts w:ascii="Cambria Math" w:eastAsia="SimSun" w:hAnsi="Cambria Math" w:cs="Times New Roman"/>
                      <w:color w:val="000000" w:themeColor="text1"/>
                    </w:rPr>
                    <m:t>T</m:t>
                  </m:r>
                </m:e>
                <m:sub>
                  <m:r>
                    <w:rPr>
                      <w:rFonts w:ascii="Cambria Math" w:eastAsia="SimSun" w:hAnsi="Cambria Math" w:cs="Times New Roman"/>
                      <w:color w:val="000000" w:themeColor="text1"/>
                    </w:rPr>
                    <m:t>max,M</m:t>
                  </m:r>
                </m:sub>
              </m:sSub>
              <m:r>
                <w:rPr>
                  <w:rFonts w:ascii="Cambria Math" w:eastAsia="SimSun" w:hAnsi="Cambria Math" w:cs="Times New Roman"/>
                  <w:color w:val="000000" w:themeColor="text1"/>
                </w:rPr>
                <m:t>=max×</m:t>
              </m:r>
              <m:f>
                <m:fPr>
                  <m:ctrlPr>
                    <w:rPr>
                      <w:rFonts w:ascii="Cambria Math" w:eastAsia="SimSun" w:hAnsi="Cambria Math" w:cs="Times New Roman"/>
                      <w:color w:val="000000" w:themeColor="text1"/>
                    </w:rPr>
                  </m:ctrlPr>
                </m:fPr>
                <m:num>
                  <m:sSub>
                    <m:sSubPr>
                      <m:ctrlPr>
                        <w:rPr>
                          <w:rFonts w:ascii="Cambria Math" w:eastAsia="SimSun" w:hAnsi="Cambria Math" w:cs="Times New Roman"/>
                          <w:color w:val="000000" w:themeColor="text1"/>
                        </w:rPr>
                      </m:ctrlPr>
                    </m:sSubPr>
                    <m:e>
                      <m:acc>
                        <m:accPr>
                          <m:chr m:val="̅"/>
                          <m:ctrlPr>
                            <w:rPr>
                              <w:rFonts w:ascii="Cambria Math" w:eastAsia="SimSun" w:hAnsi="Cambria Math" w:cs="Times New Roman"/>
                              <w:color w:val="000000" w:themeColor="text1"/>
                            </w:rPr>
                          </m:ctrlPr>
                        </m:accPr>
                        <m:e>
                          <m:r>
                            <w:rPr>
                              <w:rFonts w:ascii="Cambria Math" w:eastAsia="SimSun" w:hAnsi="Cambria Math" w:cs="Times New Roman"/>
                              <w:color w:val="000000" w:themeColor="text1"/>
                            </w:rPr>
                            <m:t>d</m:t>
                          </m:r>
                        </m:e>
                      </m:acc>
                    </m:e>
                    <m:sub>
                      <m:r>
                        <w:rPr>
                          <w:rFonts w:ascii="Cambria Math" w:eastAsia="SimSun" w:hAnsi="Cambria Math" w:cs="Times New Roman"/>
                          <w:color w:val="000000" w:themeColor="text1"/>
                        </w:rPr>
                        <m:t>a</m:t>
                      </m:r>
                    </m:sub>
                  </m:sSub>
                </m:num>
                <m:den>
                  <m:rad>
                    <m:radPr>
                      <m:degHide m:val="1"/>
                      <m:ctrlPr>
                        <w:rPr>
                          <w:rFonts w:ascii="Cambria Math" w:eastAsia="SimSun" w:hAnsi="Cambria Math" w:cs="Times New Roman"/>
                          <w:color w:val="000000" w:themeColor="text1"/>
                        </w:rPr>
                      </m:ctrlPr>
                    </m:radPr>
                    <m:deg/>
                    <m:e>
                      <m:acc>
                        <m:accPr>
                          <m:ctrlPr>
                            <w:rPr>
                              <w:rFonts w:ascii="Cambria Math" w:eastAsia="SimSun" w:hAnsi="Cambria Math" w:cs="Times New Roman"/>
                              <w:color w:val="000000" w:themeColor="text1"/>
                            </w:rPr>
                          </m:ctrlPr>
                        </m:accPr>
                        <m:e>
                          <m:r>
                            <w:rPr>
                              <w:rFonts w:ascii="Cambria Math" w:eastAsia="SimSun" w:hAnsi="Cambria Math" w:cs="Times New Roman"/>
                              <w:color w:val="000000" w:themeColor="text1"/>
                            </w:rPr>
                            <m:t>var</m:t>
                          </m:r>
                        </m:e>
                      </m:acc>
                      <m:d>
                        <m:dPr>
                          <m:ctrlPr>
                            <w:rPr>
                              <w:rFonts w:ascii="Cambria Math" w:eastAsia="SimSun" w:hAnsi="Cambria Math" w:cs="Times New Roman"/>
                              <w:color w:val="000000" w:themeColor="text1"/>
                            </w:rPr>
                          </m:ctrlPr>
                        </m:dPr>
                        <m:e>
                          <m:sSub>
                            <m:sSubPr>
                              <m:ctrlPr>
                                <w:rPr>
                                  <w:rFonts w:ascii="Cambria Math" w:eastAsia="SimSun" w:hAnsi="Cambria Math" w:cs="Times New Roman"/>
                                  <w:color w:val="000000" w:themeColor="text1"/>
                                </w:rPr>
                              </m:ctrlPr>
                            </m:sSubPr>
                            <m:e>
                              <m:acc>
                                <m:accPr>
                                  <m:chr m:val="̅"/>
                                  <m:ctrlPr>
                                    <w:rPr>
                                      <w:rFonts w:ascii="Cambria Math" w:eastAsia="SimSun" w:hAnsi="Cambria Math" w:cs="Times New Roman"/>
                                      <w:color w:val="000000" w:themeColor="text1"/>
                                    </w:rPr>
                                  </m:ctrlPr>
                                </m:accPr>
                                <m:e>
                                  <m:r>
                                    <w:rPr>
                                      <w:rFonts w:ascii="Cambria Math" w:eastAsia="SimSun" w:hAnsi="Cambria Math" w:cs="Times New Roman"/>
                                      <w:color w:val="000000" w:themeColor="text1"/>
                                    </w:rPr>
                                    <m:t>d</m:t>
                                  </m:r>
                                </m:e>
                              </m:acc>
                            </m:e>
                            <m:sub>
                              <m:r>
                                <w:rPr>
                                  <w:rFonts w:ascii="Cambria Math" w:eastAsia="SimSun" w:hAnsi="Cambria Math" w:cs="Times New Roman"/>
                                  <w:color w:val="000000" w:themeColor="text1"/>
                                </w:rPr>
                                <m:t>a</m:t>
                              </m:r>
                            </m:sub>
                          </m:sSub>
                        </m:e>
                      </m:d>
                    </m:e>
                  </m:rad>
                </m:den>
              </m:f>
              <m:r>
                <w:rPr>
                  <w:rFonts w:ascii="Cambria Math" w:eastAsia="SimSun" w:hAnsi="Cambria Math" w:cs="Times New Roman"/>
                  <w:color w:val="000000" w:themeColor="text1"/>
                </w:rPr>
                <m:t>#</m:t>
              </m:r>
              <m:d>
                <m:dPr>
                  <m:ctrlPr>
                    <w:rPr>
                      <w:rFonts w:ascii="Cambria Math" w:hAnsi="Cambria Math" w:cs="Times New Roman"/>
                      <w:i/>
                      <w:color w:val="000000" w:themeColor="text1"/>
                    </w:rPr>
                  </m:ctrlPr>
                </m:dPr>
                <m:e>
                  <w:bookmarkStart w:id="61" w:name="OLE_LINK4"/>
                  <w:bookmarkStart w:id="62" w:name="OLE_LINK3"/>
                  <m:r>
                    <w:rPr>
                      <w:rFonts w:ascii="Cambria Math" w:hAnsi="Cambria Math" w:cs="Times New Roman"/>
                      <w:color w:val="000000" w:themeColor="text1"/>
                    </w:rPr>
                    <m:t>A15</m:t>
                  </m:r>
                  <w:bookmarkEnd w:id="61"/>
                  <w:bookmarkEnd w:id="62"/>
                </m:e>
              </m:d>
            </m:e>
          </m:eqArr>
        </m:oMath>
      </m:oMathPara>
    </w:p>
    <w:p w14:paraId="09EF9CE0" w14:textId="6798D837" w:rsidR="00F71216" w:rsidRPr="0053126D" w:rsidRDefault="00000000" w:rsidP="00F71216">
      <w:pPr>
        <w:ind w:rightChars="-15" w:right="-33" w:firstLineChars="100" w:firstLine="220"/>
        <w:jc w:val="center"/>
        <w:rPr>
          <w:rFonts w:ascii="Times New Roman" w:hAnsi="Times New Roman" w:cs="Times New Roman"/>
          <w:color w:val="000000" w:themeColor="text1"/>
        </w:rPr>
      </w:pPr>
      <m:oMathPara>
        <m:oMath>
          <m:eqArr>
            <m:eqArrPr>
              <m:maxDist m:val="1"/>
              <m:ctrlPr>
                <w:rPr>
                  <w:rFonts w:ascii="Cambria Math" w:eastAsia="SimSun" w:hAnsi="Cambria Math" w:cs="Times New Roman"/>
                  <w:i/>
                  <w:color w:val="000000" w:themeColor="text1"/>
                </w:rPr>
              </m:ctrlPr>
            </m:eqArrPr>
            <m:e>
              <m:sSub>
                <m:sSubPr>
                  <m:ctrlPr>
                    <w:rPr>
                      <w:rFonts w:ascii="Cambria Math" w:eastAsia="SimSun" w:hAnsi="Cambria Math" w:cs="Times New Roman"/>
                      <w:i/>
                      <w:color w:val="000000" w:themeColor="text1"/>
                    </w:rPr>
                  </m:ctrlPr>
                </m:sSubPr>
                <m:e>
                  <m:r>
                    <w:rPr>
                      <w:rFonts w:ascii="Cambria Math" w:eastAsia="SimSun" w:hAnsi="Cambria Math" w:cs="Times New Roman"/>
                      <w:color w:val="000000" w:themeColor="text1"/>
                    </w:rPr>
                    <m:t>T</m:t>
                  </m:r>
                </m:e>
                <m:sub>
                  <m:r>
                    <w:rPr>
                      <w:rFonts w:ascii="Cambria Math" w:eastAsia="SimSun" w:hAnsi="Cambria Math" w:cs="Times New Roman"/>
                      <w:color w:val="000000" w:themeColor="text1"/>
                    </w:rPr>
                    <m:t>R,M</m:t>
                  </m:r>
                </m:sub>
              </m:sSub>
              <m:r>
                <w:rPr>
                  <w:rFonts w:ascii="Cambria Math" w:eastAsia="SimSun" w:hAnsi="Cambria Math" w:cs="Times New Roman"/>
                  <w:color w:val="000000" w:themeColor="text1"/>
                </w:rPr>
                <m:t>=max×</m:t>
              </m:r>
              <m:d>
                <m:dPr>
                  <m:begChr m:val="|"/>
                  <m:endChr m:val="|"/>
                  <m:ctrlPr>
                    <w:rPr>
                      <w:rFonts w:ascii="Cambria Math" w:eastAsia="SimSun" w:hAnsi="Cambria Math" w:cs="Times New Roman"/>
                      <w:i/>
                      <w:color w:val="000000" w:themeColor="text1"/>
                    </w:rPr>
                  </m:ctrlPr>
                </m:dPr>
                <m:e>
                  <m:f>
                    <m:fPr>
                      <m:ctrlPr>
                        <w:rPr>
                          <w:rFonts w:ascii="Cambria Math" w:eastAsia="SimSun" w:hAnsi="Cambria Math" w:cs="Times New Roman"/>
                          <w:i/>
                          <w:color w:val="000000" w:themeColor="text1"/>
                        </w:rPr>
                      </m:ctrlPr>
                    </m:fPr>
                    <m:num>
                      <w:bookmarkStart w:id="63" w:name="OLE_LINK167"/>
                      <w:bookmarkStart w:id="64" w:name="OLE_LINK166"/>
                      <m:sSub>
                        <m:sSubPr>
                          <m:ctrlPr>
                            <w:rPr>
                              <w:rFonts w:ascii="Cambria Math" w:eastAsia="SimSun" w:hAnsi="Cambria Math" w:cs="Times New Roman"/>
                              <w:i/>
                              <w:color w:val="000000" w:themeColor="text1"/>
                            </w:rPr>
                          </m:ctrlPr>
                        </m:sSubPr>
                        <m:e>
                          <m:acc>
                            <m:accPr>
                              <m:chr m:val="̅"/>
                              <m:ctrlPr>
                                <w:rPr>
                                  <w:rFonts w:ascii="Cambria Math" w:eastAsia="SimSun" w:hAnsi="Cambria Math" w:cs="Times New Roman"/>
                                  <w:i/>
                                  <w:color w:val="000000" w:themeColor="text1"/>
                                </w:rPr>
                              </m:ctrlPr>
                            </m:accPr>
                            <m:e>
                              <m:r>
                                <w:rPr>
                                  <w:rFonts w:ascii="Cambria Math" w:eastAsia="SimSun" w:hAnsi="Cambria Math" w:cs="Times New Roman"/>
                                  <w:color w:val="000000" w:themeColor="text1"/>
                                </w:rPr>
                                <m:t>d</m:t>
                              </m:r>
                            </m:e>
                          </m:acc>
                        </m:e>
                        <m:sub>
                          <m:r>
                            <w:rPr>
                              <w:rFonts w:ascii="Cambria Math" w:eastAsia="SimSun" w:hAnsi="Cambria Math" w:cs="Times New Roman"/>
                              <w:color w:val="000000" w:themeColor="text1"/>
                            </w:rPr>
                            <m:t>a,b</m:t>
                          </m:r>
                        </m:sub>
                      </m:sSub>
                      <w:bookmarkEnd w:id="63"/>
                      <w:bookmarkEnd w:id="64"/>
                    </m:num>
                    <m:den>
                      <m:rad>
                        <m:radPr>
                          <m:degHide m:val="1"/>
                          <m:ctrlPr>
                            <w:rPr>
                              <w:rFonts w:ascii="Cambria Math" w:eastAsia="SimSun" w:hAnsi="Cambria Math" w:cs="Times New Roman"/>
                              <w:i/>
                              <w:color w:val="000000" w:themeColor="text1"/>
                            </w:rPr>
                          </m:ctrlPr>
                        </m:radPr>
                        <m:deg/>
                        <m:e>
                          <m:acc>
                            <m:accPr>
                              <m:ctrlPr>
                                <w:rPr>
                                  <w:rFonts w:ascii="Cambria Math" w:eastAsia="SimSun" w:hAnsi="Cambria Math" w:cs="Times New Roman"/>
                                  <w:i/>
                                  <w:color w:val="000000" w:themeColor="text1"/>
                                </w:rPr>
                              </m:ctrlPr>
                            </m:accPr>
                            <m:e>
                              <m:r>
                                <w:rPr>
                                  <w:rFonts w:ascii="Cambria Math" w:eastAsia="SimSun" w:hAnsi="Cambria Math" w:cs="Times New Roman"/>
                                  <w:color w:val="000000" w:themeColor="text1"/>
                                </w:rPr>
                                <m:t>var</m:t>
                              </m:r>
                            </m:e>
                          </m:acc>
                          <m:d>
                            <m:dPr>
                              <m:ctrlPr>
                                <w:rPr>
                                  <w:rFonts w:ascii="Cambria Math" w:eastAsia="SimSun" w:hAnsi="Cambria Math" w:cs="Times New Roman"/>
                                  <w:i/>
                                  <w:color w:val="000000" w:themeColor="text1"/>
                                </w:rPr>
                              </m:ctrlPr>
                            </m:dPr>
                            <m:e>
                              <m:sSub>
                                <m:sSubPr>
                                  <m:ctrlPr>
                                    <w:rPr>
                                      <w:rFonts w:ascii="Cambria Math" w:eastAsia="SimSun" w:hAnsi="Cambria Math" w:cs="Times New Roman"/>
                                      <w:i/>
                                      <w:color w:val="000000" w:themeColor="text1"/>
                                    </w:rPr>
                                  </m:ctrlPr>
                                </m:sSubPr>
                                <m:e>
                                  <m:acc>
                                    <m:accPr>
                                      <m:chr m:val="̅"/>
                                      <m:ctrlPr>
                                        <w:rPr>
                                          <w:rFonts w:ascii="Cambria Math" w:eastAsia="SimSun" w:hAnsi="Cambria Math" w:cs="Times New Roman"/>
                                          <w:i/>
                                          <w:color w:val="000000" w:themeColor="text1"/>
                                        </w:rPr>
                                      </m:ctrlPr>
                                    </m:accPr>
                                    <m:e>
                                      <m:r>
                                        <w:rPr>
                                          <w:rFonts w:ascii="Cambria Math" w:eastAsia="SimSun" w:hAnsi="Cambria Math" w:cs="Times New Roman"/>
                                          <w:color w:val="000000" w:themeColor="text1"/>
                                        </w:rPr>
                                        <m:t>d</m:t>
                                      </m:r>
                                    </m:e>
                                  </m:acc>
                                </m:e>
                                <m:sub>
                                  <m:r>
                                    <w:rPr>
                                      <w:rFonts w:ascii="Cambria Math" w:eastAsia="SimSun" w:hAnsi="Cambria Math" w:cs="Times New Roman"/>
                                      <w:color w:val="000000" w:themeColor="text1"/>
                                    </w:rPr>
                                    <m:t>a,b</m:t>
                                  </m:r>
                                </m:sub>
                              </m:sSub>
                            </m:e>
                          </m:d>
                        </m:e>
                      </m:rad>
                    </m:den>
                  </m:f>
                </m:e>
              </m:d>
              <m:r>
                <w:rPr>
                  <w:rFonts w:ascii="Cambria Math" w:eastAsia="SimSun" w:hAnsi="Cambria Math" w:cs="Times New Roman"/>
                  <w:color w:val="000000" w:themeColor="text1"/>
                </w:rPr>
                <m:t>,  a,</m:t>
              </m:r>
              <w:bookmarkStart w:id="65" w:name="OLE_LINK94"/>
              <m:r>
                <w:rPr>
                  <w:rFonts w:ascii="Cambria Math" w:eastAsia="SimSun" w:hAnsi="Cambria Math" w:cs="Times New Roman"/>
                  <w:color w:val="000000" w:themeColor="text1"/>
                </w:rPr>
                <m:t>b</m:t>
              </m:r>
              <w:bookmarkEnd w:id="65"/>
              <m:r>
                <w:rPr>
                  <w:rFonts w:ascii="Cambria Math" w:eastAsia="SimSun" w:hAnsi="Cambria Math" w:cs="Times New Roman"/>
                  <w:color w:val="000000" w:themeColor="text1"/>
                </w:rPr>
                <m:t>∈M #</m:t>
              </m:r>
              <m:d>
                <m:dPr>
                  <m:ctrlPr>
                    <w:rPr>
                      <w:rFonts w:ascii="Cambria Math" w:eastAsia="SimSun" w:hAnsi="Cambria Math" w:cs="Times New Roman"/>
                      <w:i/>
                      <w:color w:val="000000" w:themeColor="text1"/>
                    </w:rPr>
                  </m:ctrlPr>
                </m:dPr>
                <m:e>
                  <m:r>
                    <w:rPr>
                      <w:rFonts w:ascii="Cambria Math" w:eastAsia="SimSun" w:hAnsi="Cambria Math" w:cs="Times New Roman"/>
                      <w:color w:val="000000" w:themeColor="text1"/>
                    </w:rPr>
                    <m:t>A16</m:t>
                  </m:r>
                </m:e>
              </m:d>
            </m:e>
          </m:eqArr>
        </m:oMath>
      </m:oMathPara>
    </w:p>
    <w:p w14:paraId="4862041B" w14:textId="51ABDD36" w:rsidR="00F71216" w:rsidRPr="0053126D" w:rsidRDefault="00F71216" w:rsidP="0063495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66" w:name="OLE_LINK11"/>
      <w:bookmarkStart w:id="67" w:name="OLE_LINK23"/>
      <w:bookmarkStart w:id="68" w:name="OLE_LINK12"/>
      <w:r w:rsidRPr="0053126D">
        <w:rPr>
          <w:rFonts w:ascii="Times New Roman" w:eastAsia="FangSong" w:hAnsi="Times New Roman" w:cs="Times New Roman"/>
          <w:color w:val="000000" w:themeColor="text1"/>
          <w:szCs w:val="22"/>
          <w14:ligatures w14:val="none"/>
        </w:rPr>
        <w:t xml:space="preserve">Among them, </w:t>
      </w:r>
      <m:oMath>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sub>
        </m:sSub>
      </m:oMath>
      <w:r w:rsidRPr="0053126D">
        <w:rPr>
          <w:rFonts w:ascii="Times New Roman" w:eastAsia="FangSong" w:hAnsi="Times New Roman" w:cs="Times New Roman"/>
          <w:color w:val="000000" w:themeColor="text1"/>
          <w:szCs w:val="22"/>
          <w14:ligatures w14:val="none"/>
        </w:rPr>
        <w:t xml:space="preserve"> is the average loss, </w:t>
      </w:r>
      <m:oMath>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b</m:t>
            </m:r>
          </m:sub>
        </m:sSub>
      </m:oMath>
      <w:r w:rsidRPr="0053126D">
        <w:rPr>
          <w:rFonts w:ascii="Times New Roman" w:eastAsia="FangSong" w:hAnsi="Times New Roman" w:cs="Times New Roman"/>
          <w:color w:val="000000" w:themeColor="text1"/>
          <w:szCs w:val="22"/>
          <w14:ligatures w14:val="none"/>
        </w:rPr>
        <w:t xml:space="preserve"> is the loss difference between </w:t>
      </w:r>
      <m:oMath>
        <m:r>
          <w:rPr>
            <w:rFonts w:ascii="Cambria Math" w:eastAsia="SimSun" w:hAnsi="Cambria Math" w:cs="Times New Roman"/>
            <w:color w:val="000000" w:themeColor="text1"/>
          </w:rPr>
          <m:t>a</m:t>
        </m:r>
      </m:oMath>
      <w:r w:rsidRPr="0053126D">
        <w:rPr>
          <w:rFonts w:ascii="Times New Roman" w:eastAsia="FangSong" w:hAnsi="Times New Roman" w:cs="Times New Roman"/>
          <w:color w:val="000000" w:themeColor="text1"/>
          <w:szCs w:val="22"/>
          <w14:ligatures w14:val="none"/>
        </w:rPr>
        <w:t xml:space="preserve"> and </w:t>
      </w:r>
      <m:oMath>
        <m:r>
          <w:rPr>
            <w:rFonts w:ascii="Cambria Math" w:eastAsia="SimSun" w:hAnsi="Cambria Math" w:cs="Times New Roman"/>
            <w:color w:val="000000" w:themeColor="text1"/>
          </w:rPr>
          <m:t>b</m:t>
        </m:r>
      </m:oMath>
      <w:r w:rsidRPr="0053126D">
        <w:rPr>
          <w:rFonts w:ascii="Times New Roman" w:eastAsia="FangSong" w:hAnsi="Times New Roman" w:cs="Times New Roman"/>
          <w:color w:val="000000" w:themeColor="text1"/>
          <w:szCs w:val="22"/>
          <w14:ligatures w14:val="none"/>
        </w:rPr>
        <w:t xml:space="preserve"> in the </w:t>
      </w:r>
      <m:oMath>
        <m:r>
          <w:rPr>
            <w:rFonts w:ascii="Cambria Math" w:eastAsia="SimSun" w:hAnsi="Cambria Math" w:cs="Times New Roman"/>
            <w:color w:val="000000" w:themeColor="text1"/>
          </w:rPr>
          <m:t>M</m:t>
        </m:r>
      </m:oMath>
      <w:r w:rsidRPr="0053126D">
        <w:rPr>
          <w:rFonts w:ascii="Times New Roman" w:eastAsia="FangSong" w:hAnsi="Times New Roman" w:cs="Times New Roman"/>
          <w:color w:val="000000" w:themeColor="text1"/>
          <w:szCs w:val="22"/>
          <w14:ligatures w14:val="none"/>
        </w:rPr>
        <w:t xml:space="preserve"> set, and </w:t>
      </w:r>
      <m:oMath>
        <m:acc>
          <m:accPr>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var</m:t>
            </m:r>
          </m:e>
        </m:acc>
        <m:r>
          <m:rPr>
            <m:sty m:val="p"/>
          </m:rPr>
          <w:rPr>
            <w:rFonts w:ascii="Cambria Math" w:eastAsia="FangSong" w:hAnsi="Cambria Math" w:cs="Times New Roman"/>
            <w:color w:val="000000" w:themeColor="text1"/>
            <w:szCs w:val="22"/>
            <w14:ligatures w14:val="none"/>
          </w:rPr>
          <m:t>(</m:t>
        </m:r>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sub>
        </m:sSub>
        <m:r>
          <m:rPr>
            <m:sty m:val="p"/>
          </m:rPr>
          <w:rPr>
            <w:rFonts w:ascii="Cambria Math" w:eastAsia="FangSong" w:hAnsi="Cambria Math" w:cs="Times New Roman"/>
            <w:color w:val="000000" w:themeColor="text1"/>
            <w:szCs w:val="22"/>
            <w14:ligatures w14:val="none"/>
          </w:rPr>
          <m:t>)</m:t>
        </m:r>
      </m:oMath>
      <w:r w:rsidRPr="0053126D">
        <w:rPr>
          <w:rFonts w:ascii="Times New Roman" w:eastAsia="FangSong" w:hAnsi="Times New Roman" w:cs="Times New Roman"/>
          <w:color w:val="000000" w:themeColor="text1"/>
          <w:szCs w:val="22"/>
          <w14:ligatures w14:val="none"/>
        </w:rPr>
        <w:t xml:space="preserve"> and </w:t>
      </w:r>
      <m:oMath>
        <m:acc>
          <m:accPr>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var</m:t>
            </m:r>
          </m:e>
        </m:acc>
        <m:r>
          <m:rPr>
            <m:sty m:val="p"/>
          </m:rPr>
          <w:rPr>
            <w:rFonts w:ascii="Cambria Math" w:eastAsia="FangSong" w:hAnsi="Cambria Math" w:cs="Times New Roman"/>
            <w:color w:val="000000" w:themeColor="text1"/>
            <w:szCs w:val="22"/>
            <w14:ligatures w14:val="none"/>
          </w:rPr>
          <m:t>(</m:t>
        </m:r>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b</m:t>
            </m:r>
          </m:sub>
        </m:sSub>
        <m:r>
          <m:rPr>
            <m:sty m:val="p"/>
          </m:rPr>
          <w:rPr>
            <w:rFonts w:ascii="Cambria Math" w:eastAsia="FangSong" w:hAnsi="Cambria Math" w:cs="Times New Roman"/>
            <w:color w:val="000000" w:themeColor="text1"/>
            <w:szCs w:val="22"/>
            <w14:ligatures w14:val="none"/>
          </w:rPr>
          <m:t>)</m:t>
        </m:r>
      </m:oMath>
      <w:r w:rsidRPr="0053126D">
        <w:rPr>
          <w:rFonts w:ascii="Times New Roman" w:eastAsia="FangSong" w:hAnsi="Times New Roman" w:cs="Times New Roman"/>
          <w:color w:val="000000" w:themeColor="text1"/>
          <w:szCs w:val="22"/>
          <w14:ligatures w14:val="none"/>
        </w:rPr>
        <w:t xml:space="preserve"> are the estimated variances of </w:t>
      </w:r>
      <m:oMath>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sub>
        </m:sSub>
      </m:oMath>
      <w:r w:rsidRPr="0053126D">
        <w:rPr>
          <w:rFonts w:ascii="Times New Roman" w:eastAsia="FangSong" w:hAnsi="Times New Roman" w:cs="Times New Roman"/>
          <w:color w:val="000000" w:themeColor="text1"/>
          <w:szCs w:val="22"/>
          <w14:ligatures w14:val="none"/>
        </w:rPr>
        <w:t xml:space="preserve"> and </w:t>
      </w:r>
      <m:oMath>
        <m:sSub>
          <m:sSubPr>
            <m:ctrlPr>
              <w:rPr>
                <w:rFonts w:ascii="Cambria Math" w:eastAsia="FangSong" w:hAnsi="Cambria Math" w:cs="Times New Roman"/>
                <w:color w:val="000000" w:themeColor="text1"/>
                <w:szCs w:val="22"/>
                <w14:ligatures w14:val="none"/>
              </w:rPr>
            </m:ctrlPr>
          </m:sSubPr>
          <m:e>
            <m:acc>
              <m:accPr>
                <m:chr m:val="̅"/>
                <m:ctrlPr>
                  <w:rPr>
                    <w:rFonts w:ascii="Cambria Math" w:eastAsia="FangSong" w:hAnsi="Cambria Math" w:cs="Times New Roman"/>
                    <w:color w:val="000000" w:themeColor="text1"/>
                    <w:szCs w:val="22"/>
                    <w14:ligatures w14:val="none"/>
                  </w:rPr>
                </m:ctrlPr>
              </m:accPr>
              <m:e>
                <m:r>
                  <w:rPr>
                    <w:rFonts w:ascii="Cambria Math" w:eastAsia="FangSong" w:hAnsi="Cambria Math" w:cs="Times New Roman"/>
                    <w:color w:val="000000" w:themeColor="text1"/>
                    <w:szCs w:val="22"/>
                    <w14:ligatures w14:val="none"/>
                  </w:rPr>
                  <m:t>d</m:t>
                </m:r>
              </m:e>
            </m:acc>
          </m:e>
          <m:sub>
            <m:r>
              <w:rPr>
                <w:rFonts w:ascii="Cambria Math" w:eastAsia="FangSong" w:hAnsi="Cambria Math" w:cs="Times New Roman"/>
                <w:color w:val="000000" w:themeColor="text1"/>
                <w:szCs w:val="22"/>
                <w14:ligatures w14:val="none"/>
              </w:rPr>
              <m:t>a</m:t>
            </m:r>
            <m:r>
              <m:rPr>
                <m:sty m:val="p"/>
              </m:rPr>
              <w:rPr>
                <w:rFonts w:ascii="Cambria Math" w:eastAsia="FangSong" w:hAnsi="Cambria Math" w:cs="Times New Roman"/>
                <w:color w:val="000000" w:themeColor="text1"/>
                <w:szCs w:val="22"/>
                <w14:ligatures w14:val="none"/>
              </w:rPr>
              <m:t>,</m:t>
            </m:r>
            <m:r>
              <w:rPr>
                <w:rFonts w:ascii="Cambria Math" w:eastAsia="FangSong" w:hAnsi="Cambria Math" w:cs="Times New Roman"/>
                <w:color w:val="000000" w:themeColor="text1"/>
                <w:szCs w:val="22"/>
                <w14:ligatures w14:val="none"/>
              </w:rPr>
              <m:t>b</m:t>
            </m:r>
          </m:sub>
        </m:sSub>
      </m:oMath>
      <w:r w:rsidRPr="0053126D">
        <w:rPr>
          <w:rFonts w:ascii="Times New Roman" w:eastAsia="FangSong" w:hAnsi="Times New Roman" w:cs="Times New Roman"/>
          <w:color w:val="000000" w:themeColor="text1"/>
          <w:szCs w:val="22"/>
          <w14:ligatures w14:val="none"/>
        </w:rPr>
        <w:t>, respectively, which are obtained by estimating the static bootstrap method. Suppose the calculated statistic exceeds the pre-set critical value. In that case, the null hypothesis is rejected, indicating a significant difference in the prediction performance of different models on out-of-sample data.</w:t>
      </w:r>
    </w:p>
    <w:bookmarkEnd w:id="66"/>
    <w:bookmarkEnd w:id="67"/>
    <w:bookmarkEnd w:id="68"/>
    <w:p w14:paraId="73446BA1" w14:textId="7664EF9E" w:rsidR="00F71216" w:rsidRPr="0053126D" w:rsidRDefault="00F71216" w:rsidP="0063495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This study refers to the research conclusions of </w:t>
      </w:r>
      <w:r w:rsidR="009E201B" w:rsidRPr="0053126D">
        <w:rPr>
          <w:rFonts w:ascii="Times New Roman" w:eastAsia="FangSong" w:hAnsi="Times New Roman" w:cs="Times New Roman"/>
          <w:color w:val="000000" w:themeColor="text1"/>
          <w:szCs w:val="22"/>
          <w14:ligatures w14:val="none"/>
        </w:rPr>
        <w:fldChar w:fldCharType="begin"/>
      </w:r>
      <w:r w:rsidR="009E201B" w:rsidRPr="0053126D">
        <w:rPr>
          <w:rFonts w:ascii="Times New Roman" w:eastAsia="FangSong" w:hAnsi="Times New Roman" w:cs="Times New Roman"/>
          <w:color w:val="000000" w:themeColor="text1"/>
          <w:szCs w:val="22"/>
          <w14:ligatures w14:val="none"/>
        </w:rPr>
        <w:instrText xml:space="preserve"> ADDIN EN.CITE &lt;EndNote&gt;&lt;Cite AuthorYear="1"&gt;&lt;Author&gt;Liu&lt;/Author&gt;&lt;Year&gt;2018&lt;/Year&gt;&lt;RecNum&gt;38&lt;/RecNum&gt;&lt;DisplayText&gt;Liu et al. (2018)&lt;/DisplayText&gt;&lt;record&gt;&lt;rec-number&gt;38&lt;/rec-number&gt;&lt;foreign-keys&gt;&lt;key app="EN" db-id="v0ffzw0attzvegext9k5ed51e5az2zvssta9" timestamp="1754314116"&gt;38&lt;/key&gt;&lt;/foreign-keys&gt;&lt;ref-type name="Journal Article"&gt;17&lt;/ref-type&gt;&lt;contributors&gt;&lt;authors&gt;&lt;author&gt;Liu, Jing&lt;/author&gt;&lt;author&gt;Ma, Feng&lt;/author&gt;&lt;author&gt;Yang, Ke&lt;/author&gt;&lt;author&gt;Zhang, Yaojie&lt;/author&gt;&lt;/authors&gt;&lt;/contributors&gt;&lt;titles&gt;&lt;title&gt;Forecasting the oil futures price volatility: Large jumps and small jumps&lt;/title&gt;&lt;secondary-title&gt;Energy Economics&lt;/secondary-title&gt;&lt;/titles&gt;&lt;periodical&gt;&lt;full-title&gt;Energy Economics&lt;/full-title&gt;&lt;/periodical&gt;&lt;pages&gt;321-330&lt;/pages&gt;&lt;volume&gt;72&lt;/volume&gt;&lt;keywords&gt;&lt;keyword&gt;Volatility forecasting&lt;/keyword&gt;&lt;keyword&gt;oil futures price&lt;/keyword&gt;&lt;keyword&gt;Large and small jumps&lt;/keyword&gt;&lt;keyword&gt;Predictive evaluation&lt;/keyword&gt;&lt;/keywords&gt;&lt;dates&gt;&lt;year&gt;2018&lt;/year&gt;&lt;pub-dates&gt;&lt;date&gt;2018/05/01/&lt;/date&gt;&lt;/pub-dates&gt;&lt;/dates&gt;&lt;isbn&gt;0140-9883&lt;/isbn&gt;&lt;urls&gt;&lt;related-urls&gt;&lt;url&gt;https://www.sciencedirect.com/science/article/pii/S0140988318301488&lt;/url&gt;&lt;/related-urls&gt;&lt;/urls&gt;&lt;electronic-resource-num&gt;https://doi.org/10.1016/j.eneco.2018.04.023&lt;/electronic-resource-num&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Liu et al. (2018)</w:t>
      </w:r>
      <w:r w:rsidR="009E201B" w:rsidRPr="0053126D">
        <w:rPr>
          <w:rFonts w:ascii="Times New Roman" w:eastAsia="FangSong" w:hAnsi="Times New Roman" w:cs="Times New Roman"/>
          <w:color w:val="000000" w:themeColor="text1"/>
          <w:szCs w:val="22"/>
          <w14:ligatures w14:val="none"/>
        </w:rPr>
        <w:fldChar w:fldCharType="end"/>
      </w:r>
      <w:r w:rsidR="009E201B"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 xml:space="preserve">and </w:t>
      </w:r>
      <w:r w:rsidR="009E201B" w:rsidRPr="0053126D">
        <w:rPr>
          <w:rFonts w:ascii="Times New Roman" w:eastAsia="FangSong" w:hAnsi="Times New Roman" w:cs="Times New Roman"/>
          <w:color w:val="000000" w:themeColor="text1"/>
          <w:szCs w:val="22"/>
          <w14:ligatures w14:val="none"/>
        </w:rPr>
        <w:fldChar w:fldCharType="begin"/>
      </w:r>
      <w:r w:rsidR="009E201B" w:rsidRPr="0053126D">
        <w:rPr>
          <w:rFonts w:ascii="Times New Roman" w:eastAsia="FangSong" w:hAnsi="Times New Roman" w:cs="Times New Roman"/>
          <w:color w:val="000000" w:themeColor="text1"/>
          <w:szCs w:val="22"/>
          <w14:ligatures w14:val="none"/>
        </w:rPr>
        <w:instrText xml:space="preserve"> ADDIN EN.CITE &lt;EndNote&gt;&lt;Cite AuthorYear="1"&gt;&lt;Author&gt;Wang&lt;/Author&gt;&lt;Year&gt;2020&lt;/Year&gt;&lt;RecNum&gt;39&lt;/RecNum&gt;&lt;DisplayText&gt;Wang et al. (2020)&lt;/DisplayText&gt;&lt;record&gt;&lt;rec-number&gt;39&lt;/rec-number&gt;&lt;foreign-keys&gt;&lt;key app="EN" db-id="v0ffzw0attzvegext9k5ed51e5az2zvssta9" timestamp="1754314173"&gt;39&lt;/key&gt;&lt;/foreign-keys&gt;&lt;ref-type name="Journal Article"&gt;17&lt;/ref-type&gt;&lt;contributors&gt;&lt;authors&gt;&lt;author&gt;Wang, Lu&lt;/author&gt;&lt;author&gt;Ma, Feng&lt;/author&gt;&lt;author&gt;Liu, Jing&lt;/author&gt;&lt;author&gt;Yang, Lin&lt;/author&gt;&lt;/authors&gt;&lt;/contributors&gt;&lt;titles&gt;&lt;title&gt;Forecasting stock price volatility: New evidence from the GARCH-MIDAS model&lt;/title&gt;&lt;secondary-title&gt;International Journal of Forecasting&lt;/secondary-title&gt;&lt;/titles&gt;&lt;periodical&gt;&lt;full-title&gt;International Journal of Forecasting&lt;/full-title&gt;&lt;/periodical&gt;&lt;pages&gt;684-694&lt;/pages&gt;&lt;volume&gt;36&lt;/volume&gt;&lt;number&gt;2&lt;/number&gt;&lt;keywords&gt;&lt;keyword&gt;Stock market&lt;/keyword&gt;&lt;keyword&gt;GARCH-MIDAS&lt;/keyword&gt;&lt;keyword&gt;Out-of-sample forecasts&lt;/keyword&gt;&lt;keyword&gt;Volatility forecasting&lt;/keyword&gt;&lt;keyword&gt;Forecasting evaluation&lt;/keyword&gt;&lt;/keywords&gt;&lt;dates&gt;&lt;year&gt;2020&lt;/year&gt;&lt;pub-dates&gt;&lt;date&gt;2020/04/01/&lt;/date&gt;&lt;/pub-dates&gt;&lt;/dates&gt;&lt;isbn&gt;0169-2070&lt;/isbn&gt;&lt;urls&gt;&lt;related-urls&gt;&lt;url&gt;https://www.sciencedirect.com/science/article/pii/S0169207019302298&lt;/url&gt;&lt;/related-urls&gt;&lt;/urls&gt;&lt;electronic-resource-num&gt;https://doi.org/10.1016/j.ijforecast.2019.08.005&lt;/electronic-resource-num&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Wang et al. (2020)</w:t>
      </w:r>
      <w:r w:rsidR="009E20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It adopts a p-value of 0.10 for the MCS confidence set to improve the efficiency and robustness of model selection. This p-value is determined by a bootstrap method 10,000 times, which can ensure the scientific nature and statistical significance of model selection.</w:t>
      </w:r>
    </w:p>
    <w:p w14:paraId="428FFC54" w14:textId="28CFF04B" w:rsidR="00634957" w:rsidRPr="0053126D" w:rsidRDefault="00634957" w:rsidP="00634957">
      <w:pPr>
        <w:pStyle w:val="MDPI22heading2"/>
        <w:spacing w:before="240"/>
        <w:ind w:left="0"/>
        <w:rPr>
          <w:rFonts w:ascii="Times New Roman" w:hAnsi="Times New Roman"/>
          <w:b/>
          <w:bCs/>
          <w:color w:val="000000" w:themeColor="text1"/>
          <w:sz w:val="22"/>
          <w:szCs w:val="28"/>
          <w:lang w:eastAsia="zh-CN"/>
        </w:rPr>
      </w:pPr>
      <w:bookmarkStart w:id="69" w:name="OLE_LINK47"/>
      <w:bookmarkStart w:id="70" w:name="OLE_LINK46"/>
      <w:r w:rsidRPr="0053126D">
        <w:rPr>
          <w:rFonts w:ascii="Times New Roman" w:hAnsi="Times New Roman"/>
          <w:b/>
          <w:bCs/>
          <w:color w:val="000000" w:themeColor="text1"/>
          <w:sz w:val="22"/>
          <w:szCs w:val="28"/>
          <w:lang w:eastAsia="zh-CN"/>
        </w:rPr>
        <w:t>Diebold and Mariano (DM) Test</w:t>
      </w:r>
    </w:p>
    <w:p w14:paraId="4F8BC3F8" w14:textId="00A52FD9" w:rsidR="00F71216" w:rsidRPr="0053126D" w:rsidRDefault="00F71216" w:rsidP="0063495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To further compare the prediction accuracy of the two models, this study uses the method proposed by </w:t>
      </w:r>
      <w:r w:rsidR="009E201B"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 AuthorYear="1"&gt;&lt;Author&gt;Diebold&lt;/Author&gt;&lt;Year&gt;2002&lt;/Year&gt;&lt;RecNum&gt;20&lt;/RecNum&gt;&lt;DisplayText&gt;Diebold and Mariano (2002)&lt;/DisplayText&gt;&lt;record&gt;&lt;rec-number&gt;20&lt;/rec-number&gt;&lt;foreign-keys&gt;&lt;key app="EN" db-id="v0ffzw0attzvegext9k5ed51e5az2zvssta9" timestamp="1754288704"&gt;20&lt;/key&gt;&lt;/foreign-keys&gt;&lt;ref-type name="Journal Article"&gt;17&lt;/ref-type&gt;&lt;contributors&gt;&lt;authors&gt;&lt;author&gt;Diebold, Francis X.&lt;/author&gt;&lt;author&gt;Mariano, Robert S.&lt;/author&gt;&lt;/authors&gt;&lt;/contributors&gt;&lt;titles&gt;&lt;title&gt;Comparing Predictive Accuracy&lt;/title&gt;&lt;secondary-title&gt;Journal of Business &amp;amp; Economic Statistics&lt;/secondary-title&gt;&lt;/titles&gt;&lt;periodical&gt;&lt;full-title&gt;Journal of Business &amp;amp; Economic Statistics&lt;/full-title&gt;&lt;/periodical&gt;&lt;pages&gt;134-144&lt;/pages&gt;&lt;volume&gt;20&lt;/volume&gt;&lt;number&gt;1&lt;/number&gt;&lt;dates&gt;&lt;year&gt;2002&lt;/year&gt;&lt;pub-dates&gt;&lt;date&gt;2002/01/01&lt;/date&gt;&lt;/pub-dates&gt;&lt;/dates&gt;&lt;publisher&gt;ASA Website&lt;/publisher&gt;&lt;isbn&gt;0735-0015&lt;/isbn&gt;&lt;urls&gt;&lt;related-urls&gt;&lt;url&gt;https://doi.org/10.1198/073500102753410444&lt;/url&gt;&lt;/related-urls&gt;&lt;/urls&gt;&lt;electronic-resource-num&gt;https://doi.org/10.1198/073500102753410444&lt;/electronic-resource-num&gt;&lt;/record&gt;&lt;/Cite&gt;&lt;/EndNote&gt;</w:instrText>
      </w:r>
      <w:r w:rsidR="009E201B" w:rsidRPr="0053126D">
        <w:rPr>
          <w:rFonts w:ascii="Times New Roman" w:eastAsia="FangSong" w:hAnsi="Times New Roman" w:cs="Times New Roman"/>
          <w:color w:val="000000" w:themeColor="text1"/>
          <w:szCs w:val="22"/>
          <w14:ligatures w14:val="none"/>
        </w:rPr>
        <w:fldChar w:fldCharType="separate"/>
      </w:r>
      <w:r w:rsidR="009E201B" w:rsidRPr="0053126D">
        <w:rPr>
          <w:rFonts w:ascii="Times New Roman" w:eastAsia="FangSong" w:hAnsi="Times New Roman" w:cs="Times New Roman"/>
          <w:noProof/>
          <w:color w:val="000000" w:themeColor="text1"/>
          <w:szCs w:val="22"/>
          <w14:ligatures w14:val="none"/>
        </w:rPr>
        <w:t>Diebold and Mariano (2002)</w:t>
      </w:r>
      <w:r w:rsidR="009E20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for testing. The null hypothesis of the DM test is that there is no significant difference in the prediction ability of the two prediction models; their prediction accuracy is the same. The method quantifies the difference in prediction accuracy by calculating the difference in the prediction errors of the two models. Suppose the p-value of the difference is less than the pre-set significance level. In that case, the null hypothesis is rejected, indicating a significant difference in the prediction accuracy of the two models. The test provides quantitative evidence to help assess which model has higher prediction accuracy. The specific calculation formula is as follows:</w:t>
      </w:r>
    </w:p>
    <w:p w14:paraId="3FE9DC82" w14:textId="1AB3322E" w:rsidR="00F71216" w:rsidRPr="0053126D" w:rsidRDefault="00000000" w:rsidP="00F71216">
      <w:pPr>
        <w:spacing w:line="276" w:lineRule="auto"/>
        <w:rPr>
          <w:rFonts w:ascii="Times New Roman" w:eastAsia="SimSun" w:hAnsi="Times New Roman" w:cs="Times New Roman"/>
          <w:color w:val="000000" w:themeColor="text1"/>
        </w:rPr>
      </w:pPr>
      <m:oMathPara>
        <m:oMath>
          <m:eqArr>
            <m:eqArrPr>
              <m:maxDist m:val="1"/>
              <m:ctrlPr>
                <w:rPr>
                  <w:rFonts w:ascii="Cambria Math" w:eastAsia="SimSun" w:hAnsi="Cambria Math" w:cs="Times New Roman"/>
                  <w:i/>
                  <w:color w:val="000000" w:themeColor="text1"/>
                </w:rPr>
              </m:ctrlPr>
            </m:eqArrPr>
            <m:e>
              <m:r>
                <w:rPr>
                  <w:rFonts w:ascii="Cambria Math" w:eastAsia="SimSun" w:hAnsi="Cambria Math" w:cs="Times New Roman"/>
                  <w:color w:val="000000" w:themeColor="text1"/>
                </w:rPr>
                <m:t>DM=</m:t>
              </m:r>
              <m:f>
                <m:fPr>
                  <m:ctrlPr>
                    <w:rPr>
                      <w:rFonts w:ascii="Cambria Math" w:eastAsia="SimSun" w:hAnsi="Cambria Math" w:cs="Times New Roman"/>
                      <w:i/>
                      <w:color w:val="000000" w:themeColor="text1"/>
                    </w:rPr>
                  </m:ctrlPr>
                </m:fPr>
                <m:num>
                  <m:acc>
                    <m:accPr>
                      <m:chr m:val="̅"/>
                      <m:ctrlPr>
                        <w:rPr>
                          <w:rFonts w:ascii="Cambria Math" w:eastAsia="SimSun" w:hAnsi="Cambria Math" w:cs="Times New Roman"/>
                          <w:i/>
                          <w:color w:val="000000" w:themeColor="text1"/>
                        </w:rPr>
                      </m:ctrlPr>
                    </m:accPr>
                    <m:e>
                      <m:r>
                        <w:rPr>
                          <w:rFonts w:ascii="Cambria Math" w:eastAsia="SimSun" w:hAnsi="Cambria Math" w:cs="Times New Roman"/>
                          <w:color w:val="000000" w:themeColor="text1"/>
                        </w:rPr>
                        <m:t>d</m:t>
                      </m:r>
                    </m:e>
                  </m:acc>
                </m:num>
                <m:den>
                  <m:rad>
                    <m:radPr>
                      <m:degHide m:val="1"/>
                      <m:ctrlPr>
                        <w:rPr>
                          <w:rFonts w:ascii="Cambria Math" w:eastAsia="SimSun" w:hAnsi="Cambria Math" w:cs="Times New Roman"/>
                          <w:i/>
                          <w:color w:val="000000" w:themeColor="text1"/>
                        </w:rPr>
                      </m:ctrlPr>
                    </m:radPr>
                    <m:deg/>
                    <m:e>
                      <m:r>
                        <w:rPr>
                          <w:rFonts w:ascii="Cambria Math" w:eastAsia="SimSun" w:hAnsi="Cambria Math" w:cs="Times New Roman"/>
                          <w:color w:val="000000" w:themeColor="text1"/>
                        </w:rPr>
                        <m:t>var</m:t>
                      </m:r>
                      <m:d>
                        <m:dPr>
                          <m:ctrlPr>
                            <w:rPr>
                              <w:rFonts w:ascii="Cambria Math" w:eastAsia="SimSun" w:hAnsi="Cambria Math" w:cs="Times New Roman"/>
                              <w:i/>
                              <w:color w:val="000000" w:themeColor="text1"/>
                            </w:rPr>
                          </m:ctrlPr>
                        </m:dPr>
                        <m:e>
                          <m:sSub>
                            <m:sSubPr>
                              <m:ctrlPr>
                                <w:rPr>
                                  <w:rFonts w:ascii="Cambria Math" w:eastAsia="SimSun" w:hAnsi="Cambria Math" w:cs="Times New Roman"/>
                                  <w:i/>
                                  <w:color w:val="000000" w:themeColor="text1"/>
                                </w:rPr>
                              </m:ctrlPr>
                            </m:sSubPr>
                            <m:e>
                              <m:r>
                                <w:rPr>
                                  <w:rFonts w:ascii="Cambria Math" w:eastAsia="SimSun" w:hAnsi="Cambria Math" w:cs="Times New Roman"/>
                                  <w:color w:val="000000" w:themeColor="text1"/>
                                </w:rPr>
                                <m:t>d</m:t>
                              </m:r>
                            </m:e>
                            <m:sub>
                              <m:r>
                                <w:rPr>
                                  <w:rFonts w:ascii="Cambria Math" w:eastAsia="SimSun" w:hAnsi="Cambria Math" w:cs="Times New Roman"/>
                                  <w:color w:val="000000" w:themeColor="text1"/>
                                </w:rPr>
                                <m:t>s</m:t>
                              </m:r>
                            </m:sub>
                          </m:sSub>
                        </m:e>
                      </m:d>
                    </m:e>
                  </m:rad>
                </m:den>
              </m:f>
              <m:r>
                <w:rPr>
                  <w:rFonts w:ascii="Cambria Math" w:eastAsia="SimSun" w:hAnsi="Cambria Math" w:cs="Times New Roman"/>
                  <w:color w:val="000000" w:themeColor="text1"/>
                </w:rPr>
                <m:t>~N</m:t>
              </m:r>
              <m:d>
                <m:dPr>
                  <m:ctrlPr>
                    <w:rPr>
                      <w:rFonts w:ascii="Cambria Math" w:eastAsia="SimSun" w:hAnsi="Cambria Math" w:cs="Times New Roman"/>
                      <w:i/>
                      <w:color w:val="000000" w:themeColor="text1"/>
                    </w:rPr>
                  </m:ctrlPr>
                </m:dPr>
                <m:e>
                  <m:r>
                    <w:rPr>
                      <w:rFonts w:ascii="Cambria Math" w:eastAsia="SimSun" w:hAnsi="Cambria Math" w:cs="Times New Roman"/>
                      <w:color w:val="000000" w:themeColor="text1"/>
                    </w:rPr>
                    <m:t>0,1</m:t>
                  </m:r>
                </m:e>
              </m:d>
              <m:r>
                <w:rPr>
                  <w:rFonts w:ascii="Cambria Math" w:eastAsia="SimSun"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A17</m:t>
                  </m:r>
                </m:e>
              </m:d>
            </m:e>
          </m:eqArr>
        </m:oMath>
      </m:oMathPara>
    </w:p>
    <w:p w14:paraId="09BD31C9" w14:textId="25111083" w:rsidR="00F71216" w:rsidRPr="0053126D" w:rsidRDefault="00000000" w:rsidP="00F71216">
      <w:pPr>
        <w:spacing w:line="276" w:lineRule="auto"/>
        <w:rPr>
          <w:rFonts w:ascii="Times New Roman" w:eastAsia="SimSun" w:hAnsi="Times New Roman" w:cs="Times New Roman"/>
          <w:color w:val="000000" w:themeColor="text1"/>
        </w:rPr>
      </w:pPr>
      <m:oMathPara>
        <m:oMath>
          <m:eqArr>
            <m:eqArrPr>
              <m:maxDist m:val="1"/>
              <m:ctrlPr>
                <w:rPr>
                  <w:rFonts w:ascii="Cambria Math" w:eastAsia="SimSun" w:hAnsi="Cambria Math" w:cs="Times New Roman"/>
                  <w:i/>
                  <w:color w:val="000000" w:themeColor="text1"/>
                </w:rPr>
              </m:ctrlPr>
            </m:eqArrPr>
            <m:e>
              <m:sSub>
                <m:sSubPr>
                  <m:ctrlPr>
                    <w:rPr>
                      <w:rFonts w:ascii="Cambria Math" w:eastAsia="SimSun" w:hAnsi="Cambria Math" w:cs="Times New Roman"/>
                      <w:i/>
                      <w:color w:val="000000" w:themeColor="text1"/>
                    </w:rPr>
                  </m:ctrlPr>
                </m:sSubPr>
                <m:e>
                  <m:r>
                    <w:rPr>
                      <w:rFonts w:ascii="Cambria Math" w:eastAsia="SimSun" w:hAnsi="Cambria Math" w:cs="Times New Roman"/>
                      <w:color w:val="000000" w:themeColor="text1"/>
                    </w:rPr>
                    <m:t>D</m:t>
                  </m:r>
                </m:e>
                <m:sub>
                  <m:r>
                    <w:rPr>
                      <w:rFonts w:ascii="Cambria Math" w:eastAsia="SimSun" w:hAnsi="Cambria Math" w:cs="Times New Roman"/>
                      <w:color w:val="000000" w:themeColor="text1"/>
                    </w:rPr>
                    <m:t>s</m:t>
                  </m:r>
                </m:sub>
              </m:sSub>
              <m:r>
                <w:rPr>
                  <w:rFonts w:ascii="Cambria Math" w:eastAsia="SimSun" w:hAnsi="Cambria Math" w:cs="Times New Roman"/>
                  <w:color w:val="000000" w:themeColor="text1"/>
                </w:rPr>
                <m:t>=</m:t>
              </m:r>
              <m:sSubSup>
                <m:sSubSupPr>
                  <m:ctrlPr>
                    <w:rPr>
                      <w:rFonts w:ascii="Cambria Math" w:eastAsia="SimSun" w:hAnsi="Cambria Math" w:cs="Times New Roman"/>
                      <w:i/>
                      <w:color w:val="000000" w:themeColor="text1"/>
                    </w:rPr>
                  </m:ctrlPr>
                </m:sSubSupPr>
                <m:e>
                  <m:r>
                    <w:rPr>
                      <w:rFonts w:ascii="Cambria Math" w:eastAsia="SimSun" w:hAnsi="Cambria Math" w:cs="Times New Roman"/>
                      <w:color w:val="000000" w:themeColor="text1"/>
                    </w:rPr>
                    <m:t>E</m:t>
                  </m:r>
                </m:e>
                <m:sub>
                  <m:r>
                    <w:rPr>
                      <w:rFonts w:ascii="Cambria Math" w:eastAsia="SimSun" w:hAnsi="Cambria Math" w:cs="Times New Roman"/>
                      <w:color w:val="000000" w:themeColor="text1"/>
                    </w:rPr>
                    <m:t>a,s</m:t>
                  </m:r>
                </m:sub>
                <m:sup>
                  <m:r>
                    <w:rPr>
                      <w:rFonts w:ascii="Cambria Math" w:eastAsia="SimSun" w:hAnsi="Cambria Math" w:cs="Times New Roman"/>
                      <w:color w:val="000000" w:themeColor="text1"/>
                    </w:rPr>
                    <m:t>2</m:t>
                  </m:r>
                </m:sup>
              </m:sSubSup>
              <m:r>
                <w:rPr>
                  <w:rFonts w:ascii="Cambria Math" w:eastAsia="SimSun" w:hAnsi="Cambria Math" w:cs="Times New Roman"/>
                  <w:color w:val="000000" w:themeColor="text1"/>
                </w:rPr>
                <m:t>-</m:t>
              </m:r>
              <m:sSubSup>
                <m:sSubSupPr>
                  <m:ctrlPr>
                    <w:rPr>
                      <w:rFonts w:ascii="Cambria Math" w:eastAsia="SimSun" w:hAnsi="Cambria Math" w:cs="Times New Roman"/>
                      <w:i/>
                      <w:color w:val="000000" w:themeColor="text1"/>
                    </w:rPr>
                  </m:ctrlPr>
                </m:sSubSupPr>
                <m:e>
                  <m:r>
                    <w:rPr>
                      <w:rFonts w:ascii="Cambria Math" w:eastAsia="SimSun" w:hAnsi="Cambria Math" w:cs="Times New Roman"/>
                      <w:color w:val="000000" w:themeColor="text1"/>
                    </w:rPr>
                    <m:t>E</m:t>
                  </m:r>
                </m:e>
                <m:sub>
                  <m:r>
                    <w:rPr>
                      <w:rFonts w:ascii="Cambria Math" w:eastAsia="SimSun" w:hAnsi="Cambria Math" w:cs="Times New Roman"/>
                      <w:color w:val="000000" w:themeColor="text1"/>
                    </w:rPr>
                    <m:t>b,s</m:t>
                  </m:r>
                </m:sub>
                <m:sup>
                  <m:r>
                    <w:rPr>
                      <w:rFonts w:ascii="Cambria Math" w:eastAsia="SimSun" w:hAnsi="Cambria Math" w:cs="Times New Roman"/>
                      <w:color w:val="000000" w:themeColor="text1"/>
                    </w:rPr>
                    <m:t>2</m:t>
                  </m:r>
                </m:sup>
              </m:sSubSup>
              <m:r>
                <w:rPr>
                  <w:rFonts w:ascii="Cambria Math" w:eastAsia="SimSun" w:hAnsi="Cambria Math" w:cs="Times New Roman"/>
                  <w:color w:val="000000" w:themeColor="text1"/>
                </w:rPr>
                <m:t>#</m:t>
              </m:r>
              <m:d>
                <m:dPr>
                  <m:ctrlPr>
                    <w:rPr>
                      <w:rFonts w:ascii="Cambria Math" w:hAnsi="Cambria Math" w:cs="Times New Roman"/>
                      <w:i/>
                      <w:color w:val="000000" w:themeColor="text1"/>
                    </w:rPr>
                  </m:ctrlPr>
                </m:dPr>
                <m:e>
                  <m:r>
                    <w:rPr>
                      <w:rFonts w:ascii="Cambria Math" w:hAnsi="Cambria Math" w:cs="Times New Roman"/>
                      <w:color w:val="000000" w:themeColor="text1"/>
                    </w:rPr>
                    <m:t>A18</m:t>
                  </m:r>
                </m:e>
              </m:d>
            </m:e>
          </m:eqArr>
        </m:oMath>
      </m:oMathPara>
    </w:p>
    <w:bookmarkEnd w:id="69"/>
    <w:bookmarkEnd w:id="70"/>
    <w:p w14:paraId="23BD820C" w14:textId="23A20387" w:rsidR="00F71216" w:rsidRPr="0053126D" w:rsidRDefault="00F71216" w:rsidP="00634957">
      <w:pPr>
        <w:spacing w:line="360" w:lineRule="auto"/>
        <w:ind w:firstLineChars="200" w:firstLine="440"/>
        <w:jc w:val="both"/>
        <w:rPr>
          <w:rFonts w:ascii="Times New Roman" w:eastAsia="FangSong" w:hAnsi="Times New Roman" w:cs="Times New Roman"/>
          <w:color w:val="000000" w:themeColor="text1"/>
        </w:rPr>
      </w:pPr>
      <w:r w:rsidRPr="0053126D">
        <w:rPr>
          <w:rFonts w:ascii="Times New Roman" w:eastAsia="FangSong" w:hAnsi="Times New Roman" w:cs="Times New Roman"/>
          <w:color w:val="000000" w:themeColor="text1"/>
        </w:rPr>
        <w:t xml:space="preserve">Where </w:t>
      </w:r>
      <m:oMath>
        <m:sSub>
          <m:sSubPr>
            <m:ctrlPr>
              <w:rPr>
                <w:rFonts w:ascii="Cambria Math" w:eastAsia="FangSong" w:hAnsi="Cambria Math" w:cs="Times New Roman"/>
                <w:color w:val="000000" w:themeColor="text1"/>
              </w:rPr>
            </m:ctrlPr>
          </m:sSubPr>
          <m:e>
            <m:r>
              <w:rPr>
                <w:rFonts w:ascii="Cambria Math" w:eastAsia="FangSong" w:hAnsi="Cambria Math" w:cs="Times New Roman"/>
                <w:color w:val="000000" w:themeColor="text1"/>
              </w:rPr>
              <m:t>E</m:t>
            </m:r>
          </m:e>
          <m:sub>
            <m:r>
              <w:rPr>
                <w:rFonts w:ascii="Cambria Math" w:eastAsia="FangSong" w:hAnsi="Cambria Math" w:cs="Times New Roman"/>
                <w:color w:val="000000" w:themeColor="text1"/>
              </w:rPr>
              <m:t>a</m:t>
            </m:r>
            <m:r>
              <m:rPr>
                <m:sty m:val="p"/>
              </m:rPr>
              <w:rPr>
                <w:rFonts w:ascii="Cambria Math" w:eastAsia="FangSong" w:hAnsi="Cambria Math" w:cs="Times New Roman"/>
                <w:color w:val="000000" w:themeColor="text1"/>
              </w:rPr>
              <m:t>,</m:t>
            </m:r>
            <m:r>
              <w:rPr>
                <w:rFonts w:ascii="Cambria Math" w:eastAsia="FangSong" w:hAnsi="Cambria Math" w:cs="Times New Roman"/>
                <w:color w:val="000000" w:themeColor="text1"/>
              </w:rPr>
              <m:t>s</m:t>
            </m:r>
          </m:sub>
        </m:sSub>
      </m:oMath>
      <w:r w:rsidRPr="0053126D">
        <w:rPr>
          <w:rFonts w:ascii="Times New Roman" w:eastAsia="FangSong" w:hAnsi="Times New Roman" w:cs="Times New Roman"/>
          <w:color w:val="000000" w:themeColor="text1"/>
        </w:rPr>
        <w:t xml:space="preserve"> and </w:t>
      </w:r>
      <m:oMath>
        <m:sSub>
          <m:sSubPr>
            <m:ctrlPr>
              <w:rPr>
                <w:rFonts w:ascii="Cambria Math" w:eastAsia="FangSong" w:hAnsi="Cambria Math" w:cs="Times New Roman"/>
                <w:color w:val="000000" w:themeColor="text1"/>
              </w:rPr>
            </m:ctrlPr>
          </m:sSubPr>
          <m:e>
            <m:r>
              <w:rPr>
                <w:rFonts w:ascii="Cambria Math" w:eastAsia="FangSong" w:hAnsi="Cambria Math" w:cs="Times New Roman"/>
                <w:color w:val="000000" w:themeColor="text1"/>
              </w:rPr>
              <m:t>E</m:t>
            </m:r>
          </m:e>
          <m:sub>
            <m:r>
              <w:rPr>
                <w:rFonts w:ascii="Cambria Math" w:eastAsia="FangSong" w:hAnsi="Cambria Math" w:cs="Times New Roman"/>
                <w:color w:val="000000" w:themeColor="text1"/>
              </w:rPr>
              <m:t>b</m:t>
            </m:r>
            <m:r>
              <m:rPr>
                <m:sty m:val="p"/>
              </m:rPr>
              <w:rPr>
                <w:rFonts w:ascii="Cambria Math" w:eastAsia="FangSong" w:hAnsi="Cambria Math" w:cs="Times New Roman"/>
                <w:color w:val="000000" w:themeColor="text1"/>
              </w:rPr>
              <m:t>,</m:t>
            </m:r>
            <m:r>
              <w:rPr>
                <w:rFonts w:ascii="Cambria Math" w:eastAsia="FangSong" w:hAnsi="Cambria Math" w:cs="Times New Roman"/>
                <w:color w:val="000000" w:themeColor="text1"/>
              </w:rPr>
              <m:t>s</m:t>
            </m:r>
          </m:sub>
        </m:sSub>
      </m:oMath>
      <w:r w:rsidRPr="0053126D">
        <w:rPr>
          <w:rFonts w:ascii="Times New Roman" w:eastAsia="FangSong" w:hAnsi="Times New Roman" w:cs="Times New Roman"/>
          <w:color w:val="000000" w:themeColor="text1"/>
        </w:rPr>
        <w:t xml:space="preserve"> represent the prediction errors of the two prediction models a and b at time point s, respectively, </w:t>
      </w:r>
      <m:oMath>
        <m:acc>
          <m:accPr>
            <m:chr m:val="̅"/>
            <m:ctrlPr>
              <w:rPr>
                <w:rFonts w:ascii="Cambria Math" w:eastAsia="FangSong" w:hAnsi="Cambria Math" w:cs="Times New Roman"/>
                <w:color w:val="000000" w:themeColor="text1"/>
              </w:rPr>
            </m:ctrlPr>
          </m:accPr>
          <m:e>
            <m:r>
              <w:rPr>
                <w:rFonts w:ascii="Cambria Math" w:eastAsia="FangSong" w:hAnsi="Cambria Math" w:cs="Times New Roman"/>
                <w:color w:val="000000" w:themeColor="text1"/>
              </w:rPr>
              <m:t>d</m:t>
            </m:r>
          </m:e>
        </m:acc>
      </m:oMath>
      <w:r w:rsidRPr="0053126D">
        <w:rPr>
          <w:rFonts w:ascii="Times New Roman" w:eastAsia="FangSong" w:hAnsi="Times New Roman" w:cs="Times New Roman"/>
          <w:color w:val="000000" w:themeColor="text1"/>
        </w:rPr>
        <w:t xml:space="preserve"> is the mean of the difference sequence </w:t>
      </w:r>
      <m:oMath>
        <m:sSub>
          <m:sSubPr>
            <m:ctrlPr>
              <w:rPr>
                <w:rFonts w:ascii="Cambria Math" w:eastAsia="FangSong" w:hAnsi="Cambria Math" w:cs="Times New Roman"/>
                <w:color w:val="000000" w:themeColor="text1"/>
              </w:rPr>
            </m:ctrlPr>
          </m:sSubPr>
          <m:e>
            <m:r>
              <w:rPr>
                <w:rFonts w:ascii="Cambria Math" w:eastAsia="FangSong" w:hAnsi="Cambria Math" w:cs="Times New Roman"/>
                <w:color w:val="000000" w:themeColor="text1"/>
              </w:rPr>
              <m:t>d</m:t>
            </m:r>
          </m:e>
          <m:sub>
            <m:r>
              <w:rPr>
                <w:rFonts w:ascii="Cambria Math" w:eastAsia="FangSong" w:hAnsi="Cambria Math" w:cs="Times New Roman"/>
                <w:color w:val="000000" w:themeColor="text1"/>
              </w:rPr>
              <m:t>s</m:t>
            </m:r>
          </m:sub>
        </m:sSub>
      </m:oMath>
      <w:r w:rsidRPr="0053126D">
        <w:rPr>
          <w:rFonts w:ascii="Times New Roman" w:eastAsia="FangSong" w:hAnsi="Times New Roman" w:cs="Times New Roman"/>
          <w:color w:val="000000" w:themeColor="text1"/>
        </w:rPr>
        <w:t xml:space="preserve">, and </w:t>
      </w:r>
      <m:oMath>
        <m:r>
          <w:rPr>
            <w:rFonts w:ascii="Cambria Math" w:eastAsia="SimSun" w:hAnsi="Cambria Math" w:cs="Times New Roman"/>
            <w:color w:val="000000" w:themeColor="text1"/>
          </w:rPr>
          <m:t>v</m:t>
        </m:r>
        <m:r>
          <w:rPr>
            <w:rFonts w:ascii="Cambria Math" w:eastAsia="FangSong" w:hAnsi="Cambria Math" w:cs="Times New Roman"/>
            <w:color w:val="000000" w:themeColor="text1"/>
          </w:rPr>
          <m:t>ar</m:t>
        </m:r>
        <m:r>
          <m:rPr>
            <m:sty m:val="p"/>
          </m:rPr>
          <w:rPr>
            <w:rFonts w:ascii="Cambria Math" w:eastAsia="FangSong" w:hAnsi="Cambria Math" w:cs="Times New Roman"/>
            <w:color w:val="000000" w:themeColor="text1"/>
          </w:rPr>
          <m:t>(</m:t>
        </m:r>
        <m:sSub>
          <m:sSubPr>
            <m:ctrlPr>
              <w:rPr>
                <w:rFonts w:ascii="Cambria Math" w:eastAsia="FangSong" w:hAnsi="Cambria Math" w:cs="Times New Roman"/>
                <w:color w:val="000000" w:themeColor="text1"/>
              </w:rPr>
            </m:ctrlPr>
          </m:sSubPr>
          <m:e>
            <m:r>
              <w:rPr>
                <w:rFonts w:ascii="Cambria Math" w:eastAsia="FangSong" w:hAnsi="Cambria Math" w:cs="Times New Roman"/>
                <w:color w:val="000000" w:themeColor="text1"/>
              </w:rPr>
              <m:t>d</m:t>
            </m:r>
          </m:e>
          <m:sub>
            <m:r>
              <w:rPr>
                <w:rFonts w:ascii="Cambria Math" w:eastAsia="FangSong" w:hAnsi="Cambria Math" w:cs="Times New Roman"/>
                <w:color w:val="000000" w:themeColor="text1"/>
              </w:rPr>
              <m:t>s</m:t>
            </m:r>
          </m:sub>
        </m:sSub>
        <m:r>
          <m:rPr>
            <m:sty m:val="p"/>
          </m:rPr>
          <w:rPr>
            <w:rFonts w:ascii="Cambria Math" w:eastAsia="FangSong" w:hAnsi="Cambria Math" w:cs="Times New Roman"/>
            <w:color w:val="000000" w:themeColor="text1"/>
          </w:rPr>
          <m:t>)</m:t>
        </m:r>
      </m:oMath>
      <w:r w:rsidRPr="0053126D">
        <w:rPr>
          <w:rFonts w:ascii="Times New Roman" w:eastAsia="FangSong" w:hAnsi="Times New Roman" w:cs="Times New Roman"/>
          <w:color w:val="000000" w:themeColor="text1"/>
        </w:rPr>
        <w:t xml:space="preserve"> is the variance of this difference sequence.</w:t>
      </w:r>
    </w:p>
    <w:p w14:paraId="704BAC83" w14:textId="0338C224" w:rsidR="005D502C" w:rsidRPr="0053126D" w:rsidRDefault="005D502C" w:rsidP="005D502C">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lastRenderedPageBreak/>
        <w:t xml:space="preserve">Appendix F: </w:t>
      </w:r>
      <w:r w:rsidR="008066CD" w:rsidRPr="0053126D">
        <w:rPr>
          <w:rFonts w:ascii="Times New Roman" w:hAnsi="Times New Roman" w:cs="Times New Roman"/>
          <w:b/>
          <w:snapToGrid w:val="0"/>
          <w:color w:val="000000" w:themeColor="text1"/>
          <w:kern w:val="0"/>
          <w:sz w:val="22"/>
          <w:szCs w:val="22"/>
          <w:lang w:bidi="en-US"/>
        </w:rPr>
        <w:t>Lagged Weights and Model Estimation</w:t>
      </w:r>
    </w:p>
    <w:p w14:paraId="1E8DC463" w14:textId="0DBC2551" w:rsidR="00634957" w:rsidRPr="0053126D" w:rsidRDefault="00634957" w:rsidP="0063495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71" w:name="OLE_LINK293"/>
      <w:bookmarkStart w:id="72" w:name="OLE_LINK294"/>
      <w:bookmarkStart w:id="73" w:name="OLE_LINK291"/>
      <w:bookmarkStart w:id="74" w:name="OLE_LINK292"/>
      <w:bookmarkStart w:id="75" w:name="OLE_LINK1023"/>
      <w:r w:rsidRPr="0053126D">
        <w:rPr>
          <w:rFonts w:ascii="Times New Roman" w:eastAsia="FangSong" w:hAnsi="Times New Roman" w:cs="Times New Roman"/>
          <w:color w:val="000000" w:themeColor="text1"/>
          <w:szCs w:val="22"/>
          <w14:ligatures w14:val="none"/>
        </w:rPr>
        <w:t xml:space="preserve">The optimal lagged weights of the GJR-GARCH-MIDAS model, based on the fixed-span realized volatility (RV) and the rate of change of </w:t>
      </w:r>
      <w:r w:rsidR="00C75C7D" w:rsidRPr="0053126D">
        <w:rPr>
          <w:rFonts w:ascii="Times New Roman" w:eastAsia="FangSong" w:hAnsi="Times New Roman"/>
          <w:color w:val="000000" w:themeColor="text1"/>
        </w:rPr>
        <w:t>GPRNK</w:t>
      </w:r>
      <w:r w:rsidRPr="0053126D">
        <w:rPr>
          <w:rFonts w:ascii="Times New Roman" w:eastAsia="FangSong" w:hAnsi="Times New Roman" w:cs="Times New Roman"/>
          <w:color w:val="000000" w:themeColor="text1"/>
          <w:szCs w:val="22"/>
          <w14:ligatures w14:val="none"/>
        </w:rPr>
        <w:t xml:space="preserve"> (</w:t>
      </w:r>
      <m:oMath>
        <m:r>
          <m:rPr>
            <m:sty m:val="p"/>
          </m:rPr>
          <w:rPr>
            <w:rFonts w:ascii="Cambria Math" w:eastAsia="FangSong" w:hAnsi="Cambria Math" w:cs="Times New Roman"/>
            <w:color w:val="000000" w:themeColor="text1"/>
            <w:szCs w:val="22"/>
            <w14:ligatures w14:val="none"/>
          </w:rPr>
          <m:t>ΔGPRNK</m:t>
        </m:r>
      </m:oMath>
      <w:r w:rsidRPr="0053126D">
        <w:rPr>
          <w:rFonts w:ascii="Times New Roman" w:eastAsia="FangSong" w:hAnsi="Times New Roman" w:cs="Times New Roman"/>
          <w:color w:val="000000" w:themeColor="text1"/>
          <w:szCs w:val="22"/>
          <w14:ligatures w14:val="none"/>
        </w:rPr>
        <w:t>), estimated over the full sample period, can be visually observed from the weights distribution graph (</w:t>
      </w:r>
      <w:r w:rsidR="00800EEB" w:rsidRPr="0053126D">
        <w:rPr>
          <w:rFonts w:ascii="Times New Roman" w:eastAsia="FangSong" w:hAnsi="Times New Roman" w:cs="Times New Roman"/>
          <w:color w:val="000000" w:themeColor="text1"/>
          <w:szCs w:val="22"/>
          <w14:ligatures w14:val="none"/>
        </w:rPr>
        <w:fldChar w:fldCharType="begin"/>
      </w:r>
      <w:r w:rsidR="00800EEB" w:rsidRPr="0053126D">
        <w:rPr>
          <w:rFonts w:ascii="Times New Roman" w:eastAsia="FangSong" w:hAnsi="Times New Roman" w:cs="Times New Roman"/>
          <w:color w:val="000000" w:themeColor="text1"/>
          <w:szCs w:val="22"/>
          <w14:ligatures w14:val="none"/>
        </w:rPr>
        <w:instrText xml:space="preserve"> REF _Ref205215500 \h  \* MERGEFORMAT </w:instrText>
      </w:r>
      <w:r w:rsidR="00800EEB" w:rsidRPr="0053126D">
        <w:rPr>
          <w:rFonts w:ascii="Times New Roman" w:eastAsia="FangSong" w:hAnsi="Times New Roman" w:cs="Times New Roman"/>
          <w:color w:val="000000" w:themeColor="text1"/>
          <w:szCs w:val="22"/>
          <w14:ligatures w14:val="none"/>
        </w:rPr>
      </w:r>
      <w:r w:rsidR="00800EEB" w:rsidRPr="0053126D">
        <w:rPr>
          <w:rFonts w:ascii="Times New Roman" w:eastAsia="FangSong" w:hAnsi="Times New Roman" w:cs="Times New Roman"/>
          <w:color w:val="000000" w:themeColor="text1"/>
          <w:szCs w:val="22"/>
          <w14:ligatures w14:val="none"/>
        </w:rPr>
        <w:fldChar w:fldCharType="separate"/>
      </w:r>
      <w:r w:rsidR="00800EEB" w:rsidRPr="0053126D">
        <w:rPr>
          <w:rFonts w:ascii="Times New Roman" w:eastAsia="FangSong" w:hAnsi="Times New Roman" w:cs="Times New Roman"/>
          <w:color w:val="000000" w:themeColor="text1"/>
          <w:szCs w:val="22"/>
          <w14:ligatures w14:val="none"/>
        </w:rPr>
        <w:t>Figure A3</w:t>
      </w:r>
      <w:r w:rsidR="00800EE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The model introduces a 36-period lagged monthly RV and ΔGPRNK in the MIDAS regression to portray their long-term impact on stock market volatility. The graph's horizontal axis indicates the lag period (in months). Since the model is estimated using monthly fixed-span RV and ΔGPRNK, its weight distribution is characterized by a step function.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6"/>
        <w:gridCol w:w="4876"/>
      </w:tblGrid>
      <w:tr w:rsidR="000F24CC" w:rsidRPr="0053126D" w14:paraId="1A8A273C" w14:textId="77777777" w:rsidTr="0007534C">
        <w:trPr>
          <w:trHeight w:val="699"/>
          <w:jc w:val="center"/>
        </w:trPr>
        <w:tc>
          <w:tcPr>
            <w:tcW w:w="2500" w:type="pct"/>
          </w:tcPr>
          <w:p w14:paraId="3FB3D39F" w14:textId="77777777" w:rsidR="00634957" w:rsidRPr="0053126D" w:rsidRDefault="00634957" w:rsidP="0007534C">
            <w:pPr>
              <w:spacing w:before="120" w:after="120" w:line="276" w:lineRule="auto"/>
              <w:contextualSpacing/>
              <w:jc w:val="center"/>
              <w:rPr>
                <w:rFonts w:ascii="Times New Roman" w:eastAsia="Batang" w:hAnsi="Times New Roman" w:cs="Times New Roman"/>
                <w:color w:val="000000" w:themeColor="text1"/>
                <w:szCs w:val="22"/>
                <w:lang w:eastAsia="ko-KR"/>
              </w:rPr>
            </w:pPr>
            <w:r w:rsidRPr="0053126D">
              <w:rPr>
                <w:rFonts w:ascii="Times New Roman" w:eastAsia="Batang" w:hAnsi="Times New Roman" w:cs="Times New Roman"/>
                <w:noProof/>
                <w:color w:val="000000" w:themeColor="text1"/>
                <w:szCs w:val="22"/>
                <w:lang w:eastAsia="ko-KR"/>
              </w:rPr>
              <w:drawing>
                <wp:inline distT="0" distB="0" distL="0" distR="0" wp14:anchorId="2C60F546" wp14:editId="406DC14A">
                  <wp:extent cx="2884522" cy="1944000"/>
                  <wp:effectExtent l="0" t="0" r="0" b="0"/>
                  <wp:docPr id="157081564"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564" name="图片 1" descr="图片包含 图表&#10;&#10;AI 生成的内容可能不正确。"/>
                          <pic:cNvPicPr>
                            <a:picLocks noChangeAspect="1"/>
                          </pic:cNvPicPr>
                        </pic:nvPicPr>
                        <pic:blipFill rotWithShape="1">
                          <a:blip r:embed="rId11" cstate="print">
                            <a:extLst>
                              <a:ext uri="{28A0092B-C50C-407E-A947-70E740481C1C}">
                                <a14:useLocalDpi xmlns:a14="http://schemas.microsoft.com/office/drawing/2010/main" val="0"/>
                              </a:ext>
                            </a:extLst>
                          </a:blip>
                          <a:srcRect t="10141"/>
                          <a:stretch/>
                        </pic:blipFill>
                        <pic:spPr bwMode="auto">
                          <a:xfrm>
                            <a:off x="0" y="0"/>
                            <a:ext cx="2884522" cy="1944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tcPr>
          <w:p w14:paraId="70CA4371" w14:textId="77777777" w:rsidR="00634957" w:rsidRPr="0053126D" w:rsidRDefault="00634957" w:rsidP="0007534C">
            <w:pPr>
              <w:spacing w:before="120" w:after="120" w:line="276" w:lineRule="auto"/>
              <w:contextualSpacing/>
              <w:jc w:val="center"/>
              <w:rPr>
                <w:rFonts w:ascii="Times New Roman" w:eastAsia="Batang" w:hAnsi="Times New Roman" w:cs="Times New Roman"/>
                <w:color w:val="000000" w:themeColor="text1"/>
                <w:szCs w:val="22"/>
                <w:lang w:eastAsia="ko-KR"/>
              </w:rPr>
            </w:pPr>
            <w:r w:rsidRPr="0053126D">
              <w:rPr>
                <w:rFonts w:ascii="Times New Roman" w:eastAsia="Batang" w:hAnsi="Times New Roman" w:cs="Times New Roman"/>
                <w:noProof/>
                <w:color w:val="000000" w:themeColor="text1"/>
                <w:szCs w:val="22"/>
                <w:lang w:eastAsia="ko-KR"/>
              </w:rPr>
              <w:drawing>
                <wp:inline distT="0" distB="0" distL="0" distR="0" wp14:anchorId="20B9A989" wp14:editId="5DF5A811">
                  <wp:extent cx="2815520" cy="1944000"/>
                  <wp:effectExtent l="0" t="0" r="4445" b="0"/>
                  <wp:docPr id="848813560"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13560" name="图片 2" descr="图表&#10;&#10;AI 生成的内容可能不正确。"/>
                          <pic:cNvPicPr>
                            <a:picLocks noChangeAspect="1"/>
                          </pic:cNvPicPr>
                        </pic:nvPicPr>
                        <pic:blipFill rotWithShape="1">
                          <a:blip r:embed="rId12" cstate="print">
                            <a:extLst>
                              <a:ext uri="{28A0092B-C50C-407E-A947-70E740481C1C}">
                                <a14:useLocalDpi xmlns:a14="http://schemas.microsoft.com/office/drawing/2010/main" val="0"/>
                              </a:ext>
                            </a:extLst>
                          </a:blip>
                          <a:srcRect t="7939"/>
                          <a:stretch/>
                        </pic:blipFill>
                        <pic:spPr bwMode="auto">
                          <a:xfrm>
                            <a:off x="0" y="0"/>
                            <a:ext cx="2815520" cy="1944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6E3318D0" w14:textId="77777777" w:rsidTr="0007534C">
        <w:trPr>
          <w:trHeight w:val="20"/>
          <w:jc w:val="center"/>
        </w:trPr>
        <w:tc>
          <w:tcPr>
            <w:tcW w:w="2500" w:type="pct"/>
          </w:tcPr>
          <w:p w14:paraId="410FF2E7" w14:textId="77777777" w:rsidR="00634957" w:rsidRPr="0053126D" w:rsidRDefault="00634957" w:rsidP="0007534C">
            <w:pPr>
              <w:snapToGrid w:val="0"/>
              <w:jc w:val="center"/>
              <w:rPr>
                <w:rFonts w:ascii="Times New Roman" w:eastAsia="Batang" w:hAnsi="Times New Roman" w:cs="Times New Roman"/>
                <w:color w:val="000000" w:themeColor="text1"/>
                <w:sz w:val="18"/>
                <w:szCs w:val="18"/>
                <w:lang w:eastAsia="ko-KR"/>
              </w:rPr>
            </w:pPr>
            <w:r w:rsidRPr="0053126D">
              <w:rPr>
                <w:rFonts w:ascii="Times New Roman" w:eastAsia="Batang" w:hAnsi="Times New Roman" w:cs="Times New Roman"/>
                <w:color w:val="000000" w:themeColor="text1"/>
                <w:sz w:val="18"/>
                <w:szCs w:val="18"/>
                <w:lang w:eastAsia="ko-KR"/>
              </w:rPr>
              <w:t>RV</w:t>
            </w:r>
          </w:p>
        </w:tc>
        <w:tc>
          <w:tcPr>
            <w:tcW w:w="2500" w:type="pct"/>
          </w:tcPr>
          <w:p w14:paraId="1BE6540C" w14:textId="77777777" w:rsidR="00634957" w:rsidRPr="0053126D" w:rsidRDefault="00634957" w:rsidP="0007534C">
            <w:pPr>
              <w:snapToGrid w:val="0"/>
              <w:jc w:val="center"/>
              <w:rPr>
                <w:rFonts w:ascii="Times New Roman" w:eastAsia="Batang" w:hAnsi="Times New Roman" w:cs="Times New Roman"/>
                <w:i/>
                <w:color w:val="000000" w:themeColor="text1"/>
                <w:sz w:val="18"/>
                <w:szCs w:val="18"/>
                <w:lang w:eastAsia="ko-KR"/>
              </w:rPr>
            </w:pPr>
            <m:oMathPara>
              <m:oMath>
                <m:r>
                  <m:rPr>
                    <m:sty m:val="p"/>
                  </m:rPr>
                  <w:rPr>
                    <w:rFonts w:ascii="Cambria Math" w:eastAsia="Batang" w:hAnsi="Cambria Math" w:cs="Times New Roman"/>
                    <w:color w:val="000000" w:themeColor="text1"/>
                    <w:sz w:val="18"/>
                    <w:szCs w:val="18"/>
                  </w:rPr>
                  <m:t>ΔGPRNK</m:t>
                </m:r>
              </m:oMath>
            </m:oMathPara>
          </w:p>
        </w:tc>
      </w:tr>
      <w:tr w:rsidR="000F24CC" w:rsidRPr="0053126D" w14:paraId="2D655F49" w14:textId="77777777" w:rsidTr="0007534C">
        <w:trPr>
          <w:trHeight w:val="20"/>
          <w:jc w:val="center"/>
        </w:trPr>
        <w:tc>
          <w:tcPr>
            <w:tcW w:w="5000" w:type="pct"/>
            <w:gridSpan w:val="2"/>
          </w:tcPr>
          <w:p w14:paraId="394BD634" w14:textId="1C95F7BD" w:rsidR="00634957" w:rsidRPr="0053126D" w:rsidRDefault="00800EEB" w:rsidP="00800EEB">
            <w:pPr>
              <w:pStyle w:val="Caption"/>
              <w:jc w:val="center"/>
              <w:rPr>
                <w:rFonts w:ascii="Times New Roman" w:eastAsia="FangSong" w:hAnsi="Times New Roman" w:cs="Times New Roman"/>
                <w:b/>
                <w:bCs/>
                <w:color w:val="000000" w:themeColor="text1"/>
                <w:sz w:val="18"/>
                <w:szCs w:val="18"/>
              </w:rPr>
            </w:pPr>
            <w:bookmarkStart w:id="76" w:name="_Ref205215500"/>
            <w:bookmarkStart w:id="77" w:name="_Ref205215480"/>
            <w:r w:rsidRPr="0053126D">
              <w:rPr>
                <w:rFonts w:ascii="Times New Roman" w:eastAsia="FangSong" w:hAnsi="Times New Roman" w:cs="Times New Roman"/>
                <w:b/>
                <w:bCs/>
                <w:color w:val="000000" w:themeColor="text1"/>
                <w:sz w:val="18"/>
                <w:szCs w:val="18"/>
              </w:rPr>
              <w:t>Figure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Figure_A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noProof/>
                <w:color w:val="000000" w:themeColor="text1"/>
                <w:sz w:val="18"/>
                <w:szCs w:val="18"/>
              </w:rPr>
              <w:t>3</w:t>
            </w:r>
            <w:r w:rsidRPr="0053126D">
              <w:rPr>
                <w:rFonts w:ascii="Times New Roman" w:eastAsia="FangSong" w:hAnsi="Times New Roman" w:cs="Times New Roman"/>
                <w:b/>
                <w:bCs/>
                <w:color w:val="000000" w:themeColor="text1"/>
                <w:sz w:val="18"/>
                <w:szCs w:val="18"/>
              </w:rPr>
              <w:fldChar w:fldCharType="end"/>
            </w:r>
            <w:bookmarkEnd w:id="76"/>
            <w:r w:rsidRPr="0053126D">
              <w:rPr>
                <w:rFonts w:ascii="Times New Roman" w:eastAsia="FangSong" w:hAnsi="Times New Roman" w:cs="Times New Roman"/>
                <w:b/>
                <w:bCs/>
                <w:color w:val="000000" w:themeColor="text1"/>
                <w:sz w:val="18"/>
                <w:szCs w:val="18"/>
              </w:rPr>
              <w:t>.</w:t>
            </w:r>
            <w:r w:rsidRPr="0053126D">
              <w:rPr>
                <w:rFonts w:ascii="Times New Roman" w:eastAsia="FangSong" w:hAnsi="Times New Roman" w:cs="Times New Roman"/>
                <w:color w:val="000000" w:themeColor="text1"/>
                <w:sz w:val="18"/>
                <w:szCs w:val="18"/>
              </w:rPr>
              <w:t xml:space="preserve"> Weighting diagram</w:t>
            </w:r>
            <w:bookmarkEnd w:id="77"/>
          </w:p>
        </w:tc>
      </w:tr>
    </w:tbl>
    <w:p w14:paraId="543119BA" w14:textId="19C049E9" w:rsidR="00634957" w:rsidRPr="0053126D" w:rsidRDefault="00634957" w:rsidP="007C07DE">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This result reveals the impact of RV</w:t>
      </w:r>
      <w:r w:rsidR="00C75C7D"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 xml:space="preserve">and ΔGPRNK on stock market volatility and their lagged effects. The strength of the effect can be calculated from the estimated values of the </w:t>
      </w:r>
      <m:oMath>
        <m:r>
          <w:rPr>
            <w:rFonts w:ascii="Cambria Math" w:eastAsia="FangSong" w:hAnsi="Cambria Math" w:cs="Times New Roman"/>
            <w:color w:val="000000" w:themeColor="text1"/>
            <w:szCs w:val="22"/>
            <w14:ligatures w14:val="none"/>
          </w:rPr>
          <m:t>θ</m:t>
        </m:r>
      </m:oMath>
      <w:r w:rsidRPr="0053126D">
        <w:rPr>
          <w:rFonts w:ascii="Times New Roman" w:eastAsia="FangSong" w:hAnsi="Times New Roman" w:cs="Times New Roman"/>
          <w:color w:val="000000" w:themeColor="text1"/>
          <w:szCs w:val="22"/>
          <w14:ligatures w14:val="none"/>
        </w:rPr>
        <w:t xml:space="preserve"> coefficient and the Beta weight function: a 1% increase in the realized volatility rate is associated with an increase of about 0.171% (</w:t>
      </w:r>
      <m:oMath>
        <m:sSup>
          <m:sSupPr>
            <m:ctrlPr>
              <w:rPr>
                <w:rFonts w:ascii="Cambria Math" w:eastAsia="FangSong" w:hAnsi="Cambria Math" w:cs="Times New Roman"/>
                <w:color w:val="000000" w:themeColor="text1"/>
                <w:szCs w:val="22"/>
                <w14:ligatures w14:val="none"/>
              </w:rPr>
            </m:ctrlPr>
          </m:sSupPr>
          <m:e>
            <m:r>
              <w:rPr>
                <w:rFonts w:ascii="Cambria Math" w:eastAsia="FangSong" w:hAnsi="Cambria Math" w:cs="Times New Roman"/>
                <w:color w:val="000000" w:themeColor="text1"/>
                <w:szCs w:val="22"/>
                <w14:ligatures w14:val="none"/>
              </w:rPr>
              <m:t>e</m:t>
            </m:r>
          </m:e>
          <m:sup>
            <m:r>
              <m:rPr>
                <m:sty m:val="p"/>
              </m:rPr>
              <w:rPr>
                <w:rFonts w:ascii="Cambria Math" w:eastAsia="FangSong" w:hAnsi="Cambria Math" w:cs="Times New Roman"/>
                <w:color w:val="000000" w:themeColor="text1"/>
                <w:szCs w:val="22"/>
                <w14:ligatures w14:val="none"/>
              </w:rPr>
              <m:t>0.016×0.107</m:t>
            </m:r>
          </m:sup>
        </m:sSup>
        <m:r>
          <m:rPr>
            <m:sty m:val="p"/>
          </m:rPr>
          <w:rPr>
            <w:rFonts w:ascii="Cambria Math" w:eastAsia="FangSong" w:hAnsi="Cambria Math" w:cs="Times New Roman"/>
            <w:color w:val="000000" w:themeColor="text1"/>
            <w:szCs w:val="22"/>
            <w14:ligatures w14:val="none"/>
          </w:rPr>
          <m:t>-1≈0.171%</m:t>
        </m:r>
      </m:oMath>
      <w:r w:rsidRPr="0053126D">
        <w:rPr>
          <w:rFonts w:ascii="Times New Roman" w:eastAsia="FangSong" w:hAnsi="Times New Roman" w:cs="Times New Roman"/>
          <w:color w:val="000000" w:themeColor="text1"/>
          <w:szCs w:val="22"/>
          <w14:ligatures w14:val="none"/>
        </w:rPr>
        <w:t>) in stock market volatility in the next period. In comparison, a 1% increase in the ΔGPRNK rate is associated with a decrease of about 0.210% (</w:t>
      </w:r>
      <m:oMath>
        <m:sSup>
          <m:sSupPr>
            <m:ctrlPr>
              <w:rPr>
                <w:rFonts w:ascii="Cambria Math" w:eastAsia="FangSong" w:hAnsi="Cambria Math" w:cs="Times New Roman"/>
                <w:color w:val="000000" w:themeColor="text1"/>
                <w:szCs w:val="22"/>
                <w14:ligatures w14:val="none"/>
              </w:rPr>
            </m:ctrlPr>
          </m:sSupPr>
          <m:e>
            <m:r>
              <w:rPr>
                <w:rFonts w:ascii="Cambria Math" w:eastAsia="FangSong" w:hAnsi="Cambria Math" w:cs="Times New Roman"/>
                <w:color w:val="000000" w:themeColor="text1"/>
                <w:szCs w:val="22"/>
                <w14:ligatures w14:val="none"/>
              </w:rPr>
              <m:t>e</m:t>
            </m:r>
          </m:e>
          <m:sup>
            <m:r>
              <m:rPr>
                <m:sty m:val="p"/>
              </m:rPr>
              <w:rPr>
                <w:rFonts w:ascii="Cambria Math" w:eastAsia="FangSong" w:hAnsi="Cambria Math" w:cs="Times New Roman"/>
                <w:color w:val="000000" w:themeColor="text1"/>
                <w:szCs w:val="22"/>
                <w14:ligatures w14:val="none"/>
              </w:rPr>
              <m:t>-0.075×0.028</m:t>
            </m:r>
          </m:sup>
        </m:sSup>
        <m:r>
          <m:rPr>
            <m:sty m:val="p"/>
          </m:rPr>
          <w:rPr>
            <w:rFonts w:ascii="Cambria Math" w:eastAsia="FangSong" w:hAnsi="Cambria Math" w:cs="Times New Roman"/>
            <w:color w:val="000000" w:themeColor="text1"/>
            <w:szCs w:val="22"/>
            <w14:ligatures w14:val="none"/>
          </w:rPr>
          <m:t>-1≈-0.210%</m:t>
        </m:r>
      </m:oMath>
      <w:r w:rsidRPr="0053126D">
        <w:rPr>
          <w:rFonts w:ascii="Times New Roman" w:eastAsia="FangSong" w:hAnsi="Times New Roman" w:cs="Times New Roman"/>
          <w:color w:val="000000" w:themeColor="text1"/>
          <w:szCs w:val="22"/>
          <w14:ligatures w14:val="none"/>
        </w:rPr>
        <w:t xml:space="preserve">) in stock market volatility in the next period. This result shows that changes in realized volatility in the short term can significantly increase market volatility. Rising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can suppress market volatility by prompting investors to adjust their asset allocation (e.g., increasing their safe-haven asset holdings). In addition, </w:t>
      </w:r>
      <w:r w:rsidR="00C75C7D" w:rsidRPr="0053126D">
        <w:rPr>
          <w:rFonts w:ascii="Times New Roman" w:eastAsia="FangSong" w:hAnsi="Times New Roman" w:cs="Times New Roman"/>
          <w:color w:val="000000" w:themeColor="text1"/>
          <w:szCs w:val="22"/>
          <w14:ligatures w14:val="none"/>
        </w:rPr>
        <w:t>regarding lagged effects, as the lag order increases, the weight gradually decreases and tends to zero after 36 months, indicating that the two variables have a significant and sustained impact on stock market volatility over</w:t>
      </w:r>
      <w:r w:rsidRPr="0053126D">
        <w:rPr>
          <w:rFonts w:ascii="Times New Roman" w:eastAsia="FangSong" w:hAnsi="Times New Roman" w:cs="Times New Roman"/>
          <w:color w:val="000000" w:themeColor="text1"/>
          <w:szCs w:val="22"/>
          <w14:ligatures w14:val="none"/>
        </w:rPr>
        <w:t xml:space="preserve"> the next three years.</w:t>
      </w:r>
    </w:p>
    <w:p w14:paraId="7AB4D7EC" w14:textId="63D76ADA" w:rsidR="00634957" w:rsidRPr="0053126D" w:rsidRDefault="00634957" w:rsidP="007C07DE">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This result reveals the joint driving effect of short-term and long-term factors on stock market volatility, </w:t>
      </w:r>
      <w:r w:rsidR="00C75C7D" w:rsidRPr="0053126D">
        <w:rPr>
          <w:rFonts w:ascii="Times New Roman" w:eastAsia="FangSong" w:hAnsi="Times New Roman" w:cs="Times New Roman"/>
          <w:color w:val="000000" w:themeColor="text1"/>
          <w:szCs w:val="22"/>
          <w14:ligatures w14:val="none"/>
        </w:rPr>
        <w:t>indicating that the Korean stock market can effectively absorb short-term shocks in the face of GPR and gradually adapt to external risks over a more extended</w:t>
      </w:r>
      <w:r w:rsidRPr="0053126D">
        <w:rPr>
          <w:rFonts w:ascii="Times New Roman" w:eastAsia="FangSong" w:hAnsi="Times New Roman" w:cs="Times New Roman"/>
          <w:color w:val="000000" w:themeColor="text1"/>
          <w:szCs w:val="22"/>
          <w14:ligatures w14:val="none"/>
        </w:rPr>
        <w:t xml:space="preserve"> period. This adaptability </w:t>
      </w:r>
      <w:r w:rsidR="00C75C7D" w:rsidRPr="0053126D">
        <w:rPr>
          <w:rFonts w:ascii="Times New Roman" w:eastAsia="FangSong" w:hAnsi="Times New Roman" w:cs="Times New Roman"/>
          <w:color w:val="000000" w:themeColor="text1"/>
          <w:szCs w:val="22"/>
          <w14:ligatures w14:val="none"/>
        </w:rPr>
        <w:t>suggests that RV and ΔGPRNK not only have a significant impact on stock market volatility in the current period but also have a substantial driving effect on medium-</w:t>
      </w:r>
      <w:r w:rsidRPr="0053126D">
        <w:rPr>
          <w:rFonts w:ascii="Times New Roman" w:eastAsia="FangSong" w:hAnsi="Times New Roman" w:cs="Times New Roman"/>
          <w:color w:val="000000" w:themeColor="text1"/>
          <w:szCs w:val="22"/>
          <w14:ligatures w14:val="none"/>
        </w:rPr>
        <w:t xml:space="preserve"> and long-term volatility due to their lagged effects. Therefore, this finding provides </w:t>
      </w:r>
      <w:r w:rsidRPr="0053126D">
        <w:rPr>
          <w:rFonts w:ascii="Times New Roman" w:eastAsia="FangSong" w:hAnsi="Times New Roman" w:cs="Times New Roman"/>
          <w:color w:val="000000" w:themeColor="text1"/>
          <w:szCs w:val="22"/>
          <w14:ligatures w14:val="none"/>
        </w:rPr>
        <w:lastRenderedPageBreak/>
        <w:t>a valuable reference for studying financial market volatility and policy formulation.</w:t>
      </w:r>
      <w:bookmarkEnd w:id="71"/>
      <w:bookmarkEnd w:id="72"/>
    </w:p>
    <w:p w14:paraId="06CC7365" w14:textId="77777777" w:rsidR="00634957" w:rsidRPr="0053126D" w:rsidRDefault="00634957" w:rsidP="007C07DE">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78" w:name="OLE_LINK299"/>
      <w:bookmarkStart w:id="79" w:name="OLE_LINK300"/>
      <w:bookmarkEnd w:id="73"/>
      <w:bookmarkEnd w:id="74"/>
      <w:bookmarkEnd w:id="75"/>
      <w:r w:rsidRPr="0053126D">
        <w:rPr>
          <w:rFonts w:ascii="Times New Roman" w:eastAsia="FangSong" w:hAnsi="Times New Roman" w:cs="Times New Roman"/>
          <w:color w:val="000000" w:themeColor="text1"/>
          <w:szCs w:val="22"/>
          <w14:ligatures w14:val="none"/>
        </w:rPr>
        <w:t>Judging from the models' LLH, AIC, and BIC values, the rolling window version shows a better fitting effect than the fixed window version. Specifically, the rolling window model usually has lower values for these goodness-of-fit indicators, indicating that it is more accurate in capturing data characteristics and adapting to market changes. This result shows that the rolling window method can better respond to changes in market volatility by dynamically adjusting the sample period, thereby improving the predictive power and adaptability of the model.</w:t>
      </w:r>
      <w:bookmarkEnd w:id="78"/>
      <w:bookmarkEnd w:id="79"/>
    </w:p>
    <w:p w14:paraId="6C73AA81" w14:textId="7831C254" w:rsidR="00634957" w:rsidRPr="0053126D" w:rsidRDefault="00634957" w:rsidP="007C07DE">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80" w:name="OLE_LINK302"/>
      <w:bookmarkStart w:id="81" w:name="OLE_LINK303"/>
      <w:r w:rsidRPr="0053126D">
        <w:rPr>
          <w:rFonts w:ascii="Times New Roman" w:eastAsia="FangSong" w:hAnsi="Times New Roman" w:cs="Times New Roman"/>
          <w:color w:val="000000" w:themeColor="text1"/>
          <w:szCs w:val="22"/>
          <w14:ligatures w14:val="none"/>
        </w:rPr>
        <w:t xml:space="preserve">In addition, this conclusion can be further verified from the </w:t>
      </w:r>
      <w:r w:rsidR="00EC646A" w:rsidRPr="0053126D">
        <w:rPr>
          <w:rFonts w:ascii="Times New Roman" w:eastAsia="FangSong" w:hAnsi="Times New Roman" w:cs="Times New Roman"/>
          <w:color w:val="000000" w:themeColor="text1"/>
          <w:szCs w:val="22"/>
          <w14:ligatures w14:val="none"/>
        </w:rPr>
        <w:t xml:space="preserve">volatility </w:t>
      </w:r>
      <w:r w:rsidRPr="0053126D">
        <w:rPr>
          <w:rFonts w:ascii="Times New Roman" w:eastAsia="FangSong" w:hAnsi="Times New Roman" w:cs="Times New Roman"/>
          <w:color w:val="000000" w:themeColor="text1"/>
          <w:szCs w:val="22"/>
          <w14:ligatures w14:val="none"/>
        </w:rPr>
        <w:t>chart (</w:t>
      </w:r>
      <w:r w:rsidR="00800EEB" w:rsidRPr="0053126D">
        <w:rPr>
          <w:rFonts w:ascii="Times New Roman" w:eastAsia="FangSong" w:hAnsi="Times New Roman" w:cs="Times New Roman"/>
          <w:color w:val="000000" w:themeColor="text1"/>
          <w:szCs w:val="22"/>
          <w14:ligatures w14:val="none"/>
        </w:rPr>
        <w:fldChar w:fldCharType="begin"/>
      </w:r>
      <w:r w:rsidR="00800EEB" w:rsidRPr="0053126D">
        <w:rPr>
          <w:rFonts w:ascii="Times New Roman" w:eastAsia="FangSong" w:hAnsi="Times New Roman" w:cs="Times New Roman"/>
          <w:color w:val="000000" w:themeColor="text1"/>
          <w:szCs w:val="22"/>
          <w14:ligatures w14:val="none"/>
        </w:rPr>
        <w:instrText xml:space="preserve"> REF _Ref205215599 \h  \* MERGEFORMAT </w:instrText>
      </w:r>
      <w:r w:rsidR="00800EEB" w:rsidRPr="0053126D">
        <w:rPr>
          <w:rFonts w:ascii="Times New Roman" w:eastAsia="FangSong" w:hAnsi="Times New Roman" w:cs="Times New Roman"/>
          <w:color w:val="000000" w:themeColor="text1"/>
          <w:szCs w:val="22"/>
          <w14:ligatures w14:val="none"/>
        </w:rPr>
      </w:r>
      <w:r w:rsidR="00800EEB" w:rsidRPr="0053126D">
        <w:rPr>
          <w:rFonts w:ascii="Times New Roman" w:eastAsia="FangSong" w:hAnsi="Times New Roman" w:cs="Times New Roman"/>
          <w:color w:val="000000" w:themeColor="text1"/>
          <w:szCs w:val="22"/>
          <w14:ligatures w14:val="none"/>
        </w:rPr>
        <w:fldChar w:fldCharType="separate"/>
      </w:r>
      <w:r w:rsidR="00800EEB" w:rsidRPr="0053126D">
        <w:rPr>
          <w:rFonts w:ascii="Times New Roman" w:eastAsia="FangSong" w:hAnsi="Times New Roman" w:cs="Times New Roman"/>
          <w:color w:val="000000" w:themeColor="text1"/>
          <w:szCs w:val="22"/>
          <w14:ligatures w14:val="none"/>
        </w:rPr>
        <w:t>Figure A4</w:t>
      </w:r>
      <w:r w:rsidR="00800EE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The figure clearly shows that the rolling window version of the model can more sensitively reflect stock market </w:t>
      </w:r>
      <w:r w:rsidR="00EC646A" w:rsidRPr="0053126D">
        <w:rPr>
          <w:rFonts w:ascii="Times New Roman" w:eastAsia="FangSong" w:hAnsi="Times New Roman" w:cs="Times New Roman"/>
          <w:color w:val="000000" w:themeColor="text1"/>
          <w:szCs w:val="22"/>
          <w14:ligatures w14:val="none"/>
        </w:rPr>
        <w:t>volatility</w:t>
      </w:r>
      <w:r w:rsidRPr="0053126D">
        <w:rPr>
          <w:rFonts w:ascii="Times New Roman" w:eastAsia="FangSong" w:hAnsi="Times New Roman" w:cs="Times New Roman"/>
          <w:color w:val="000000" w:themeColor="text1"/>
          <w:szCs w:val="22"/>
          <w14:ligatures w14:val="none"/>
        </w:rPr>
        <w:t xml:space="preserve">, especially in the face of severe market </w:t>
      </w:r>
      <w:r w:rsidR="00EC646A" w:rsidRPr="0053126D">
        <w:rPr>
          <w:rFonts w:ascii="Times New Roman" w:eastAsia="FangSong" w:hAnsi="Times New Roman" w:cs="Times New Roman"/>
          <w:color w:val="000000" w:themeColor="text1"/>
          <w:szCs w:val="22"/>
          <w14:ligatures w14:val="none"/>
        </w:rPr>
        <w:t>volatility</w:t>
      </w:r>
      <w:r w:rsidRPr="0053126D">
        <w:rPr>
          <w:rFonts w:ascii="Times New Roman" w:eastAsia="FangSong" w:hAnsi="Times New Roman" w:cs="Times New Roman"/>
          <w:color w:val="000000" w:themeColor="text1"/>
          <w:szCs w:val="22"/>
          <w14:ligatures w14:val="none"/>
        </w:rPr>
        <w:t xml:space="preserve">, and the </w:t>
      </w:r>
      <w:bookmarkStart w:id="82" w:name="OLE_LINK28"/>
      <w:r w:rsidR="00EC646A" w:rsidRPr="0053126D">
        <w:rPr>
          <w:rFonts w:ascii="Times New Roman" w:eastAsia="FangSong" w:hAnsi="Times New Roman" w:cs="Times New Roman"/>
          <w:color w:val="000000" w:themeColor="text1"/>
          <w:szCs w:val="22"/>
          <w14:ligatures w14:val="none"/>
        </w:rPr>
        <w:t xml:space="preserve">volatility </w:t>
      </w:r>
      <w:bookmarkEnd w:id="82"/>
      <w:r w:rsidRPr="0053126D">
        <w:rPr>
          <w:rFonts w:ascii="Times New Roman" w:eastAsia="FangSong" w:hAnsi="Times New Roman" w:cs="Times New Roman"/>
          <w:color w:val="000000" w:themeColor="text1"/>
          <w:szCs w:val="22"/>
          <w14:ligatures w14:val="none"/>
        </w:rPr>
        <w:t xml:space="preserve">trajectory is closer to the actual data. This </w:t>
      </w:r>
      <w:r w:rsidR="007C07DE" w:rsidRPr="0053126D">
        <w:rPr>
          <w:rFonts w:ascii="Times New Roman" w:eastAsia="FangSong" w:hAnsi="Times New Roman" w:cs="Times New Roman"/>
          <w:color w:val="000000" w:themeColor="text1"/>
          <w:szCs w:val="22"/>
          <w14:ligatures w14:val="none"/>
        </w:rPr>
        <w:t>demonstrates that the rolling window model can capture market dynamics in real-time by continuously updating sample data, thereby avoiding the risk of overlooking market changes associated with a fixed window model that uses</w:t>
      </w:r>
      <w:r w:rsidRPr="0053126D">
        <w:rPr>
          <w:rFonts w:ascii="Times New Roman" w:eastAsia="FangSong" w:hAnsi="Times New Roman" w:cs="Times New Roman"/>
          <w:color w:val="000000" w:themeColor="text1"/>
          <w:szCs w:val="22"/>
          <w14:ligatures w14:val="none"/>
        </w:rPr>
        <w:t xml:space="preserve"> a fixed sample period. Therefore, the rolling window model is more applicable and advantageous when dealing with highly volatile and uncertain data, such as financial markets.</w:t>
      </w:r>
    </w:p>
    <w:tbl>
      <w:tblPr>
        <w:tblStyle w:val="TableGrid"/>
        <w:tblW w:w="5073"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59"/>
      </w:tblGrid>
      <w:tr w:rsidR="000F24CC" w:rsidRPr="0053126D" w14:paraId="2480F477" w14:textId="77777777" w:rsidTr="002259AE">
        <w:trPr>
          <w:trHeight w:val="1649"/>
        </w:trPr>
        <w:tc>
          <w:tcPr>
            <w:tcW w:w="2494" w:type="pct"/>
            <w:vAlign w:val="bottom"/>
          </w:tcPr>
          <w:p w14:paraId="3AD2AC65" w14:textId="77777777" w:rsidR="007C07DE" w:rsidRPr="0053126D" w:rsidRDefault="007C07DE" w:rsidP="007C07DE">
            <w:pPr>
              <w:spacing w:line="276" w:lineRule="auto"/>
              <w:jc w:val="center"/>
              <w:rPr>
                <w:rFonts w:ascii="Times New Roman" w:eastAsia="SimSun" w:hAnsi="Times New Roman" w:cs="Times New Roman"/>
                <w:color w:val="000000" w:themeColor="text1"/>
                <w:sz w:val="18"/>
                <w:szCs w:val="18"/>
              </w:rPr>
            </w:pPr>
            <w:bookmarkStart w:id="83" w:name="OLE_LINK150"/>
            <w:bookmarkStart w:id="84" w:name="OLE_LINK151"/>
            <w:bookmarkEnd w:id="80"/>
            <w:bookmarkEnd w:id="81"/>
            <w:r w:rsidRPr="0053126D">
              <w:rPr>
                <w:rFonts w:ascii="Times New Roman" w:eastAsia="SimSun" w:hAnsi="Times New Roman" w:cs="Times New Roman"/>
                <w:noProof/>
                <w:color w:val="000000" w:themeColor="text1"/>
              </w:rPr>
              <w:drawing>
                <wp:inline distT="0" distB="0" distL="0" distR="0" wp14:anchorId="2CC3486E" wp14:editId="13E7D148">
                  <wp:extent cx="2911465" cy="1980000"/>
                  <wp:effectExtent l="0" t="0" r="0" b="1270"/>
                  <wp:docPr id="1066804560" name="图片 3"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4560" name="图片 3" descr="图表, 直方图&#10;&#10;AI 生成的内容可能不正确。"/>
                          <pic:cNvPicPr/>
                        </pic:nvPicPr>
                        <pic:blipFill rotWithShape="1">
                          <a:blip r:embed="rId13" cstate="print">
                            <a:extLst>
                              <a:ext uri="{28A0092B-C50C-407E-A947-70E740481C1C}">
                                <a14:useLocalDpi xmlns:a14="http://schemas.microsoft.com/office/drawing/2010/main" val="0"/>
                              </a:ext>
                            </a:extLst>
                          </a:blip>
                          <a:srcRect t="11097"/>
                          <a:stretch/>
                        </pic:blipFill>
                        <pic:spPr bwMode="auto">
                          <a:xfrm>
                            <a:off x="0" y="0"/>
                            <a:ext cx="2911465"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6" w:type="pct"/>
            <w:vAlign w:val="bottom"/>
          </w:tcPr>
          <w:p w14:paraId="3F2C608E" w14:textId="77777777" w:rsidR="007C07DE" w:rsidRPr="0053126D" w:rsidRDefault="007C07DE" w:rsidP="007C07DE">
            <w:pPr>
              <w:spacing w:line="276" w:lineRule="auto"/>
              <w:jc w:val="center"/>
              <w:rPr>
                <w:rFonts w:ascii="Times New Roman" w:eastAsia="SimSun" w:hAnsi="Times New Roman" w:cs="Times New Roman"/>
                <w:color w:val="000000" w:themeColor="text1"/>
                <w:sz w:val="18"/>
                <w:szCs w:val="18"/>
              </w:rPr>
            </w:pPr>
            <w:r w:rsidRPr="0053126D">
              <w:rPr>
                <w:rFonts w:ascii="Times New Roman" w:hAnsi="Times New Roman" w:cs="Times New Roman"/>
                <w:noProof/>
                <w:color w:val="000000" w:themeColor="text1"/>
              </w:rPr>
              <w:drawing>
                <wp:inline distT="0" distB="0" distL="0" distR="0" wp14:anchorId="5990CBC6" wp14:editId="0AA2F3D0">
                  <wp:extent cx="2967428" cy="1980000"/>
                  <wp:effectExtent l="0" t="0" r="4445" b="1270"/>
                  <wp:docPr id="1976346724" name="图片 1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6724" name="图片 11" descr="图表, 直方图&#10;&#10;AI 生成的内容可能不正确。"/>
                          <pic:cNvPicPr>
                            <a:picLocks noChangeAspect="1"/>
                          </pic:cNvPicPr>
                        </pic:nvPicPr>
                        <pic:blipFill rotWithShape="1">
                          <a:blip r:embed="rId14" cstate="print">
                            <a:extLst>
                              <a:ext uri="{28A0092B-C50C-407E-A947-70E740481C1C}">
                                <a14:useLocalDpi xmlns:a14="http://schemas.microsoft.com/office/drawing/2010/main" val="0"/>
                              </a:ext>
                            </a:extLst>
                          </a:blip>
                          <a:srcRect t="11034"/>
                          <a:stretch/>
                        </pic:blipFill>
                        <pic:spPr bwMode="auto">
                          <a:xfrm>
                            <a:off x="0" y="0"/>
                            <a:ext cx="2967428"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641437A7" w14:textId="77777777" w:rsidTr="008E4290">
        <w:trPr>
          <w:trHeight w:val="102"/>
        </w:trPr>
        <w:tc>
          <w:tcPr>
            <w:tcW w:w="2494" w:type="pct"/>
          </w:tcPr>
          <w:p w14:paraId="022F3AA6" w14:textId="77777777" w:rsidR="007C07DE" w:rsidRPr="0053126D" w:rsidRDefault="007C07DE" w:rsidP="0007534C">
            <w:pPr>
              <w:ind w:firstLineChars="200" w:firstLine="360"/>
              <w:jc w:val="center"/>
              <w:rPr>
                <w:rFonts w:ascii="Times New Roman" w:eastAsia="SimSun" w:hAnsi="Times New Roman" w:cs="Times New Roman"/>
                <w:color w:val="000000" w:themeColor="text1"/>
                <w:sz w:val="18"/>
                <w:szCs w:val="18"/>
              </w:rPr>
            </w:pPr>
            <w:r w:rsidRPr="0053126D">
              <w:rPr>
                <w:rFonts w:ascii="Times New Roman" w:eastAsia="SimSun" w:hAnsi="Times New Roman" w:cs="Times New Roman"/>
                <w:color w:val="000000" w:themeColor="text1"/>
                <w:sz w:val="18"/>
                <w:szCs w:val="18"/>
              </w:rPr>
              <w:t>RV-Fixed window</w:t>
            </w:r>
          </w:p>
        </w:tc>
        <w:tc>
          <w:tcPr>
            <w:tcW w:w="2506" w:type="pct"/>
          </w:tcPr>
          <w:p w14:paraId="68E9955E" w14:textId="77777777" w:rsidR="007C07DE" w:rsidRPr="0053126D" w:rsidRDefault="007C07DE" w:rsidP="0007534C">
            <w:pPr>
              <w:ind w:firstLineChars="200" w:firstLine="360"/>
              <w:jc w:val="center"/>
              <w:rPr>
                <w:rFonts w:ascii="Times New Roman" w:eastAsia="SimSun" w:hAnsi="Times New Roman" w:cs="Times New Roman"/>
                <w:color w:val="000000" w:themeColor="text1"/>
                <w:sz w:val="18"/>
                <w:szCs w:val="18"/>
              </w:rPr>
            </w:pPr>
            <w:r w:rsidRPr="0053126D">
              <w:rPr>
                <w:rFonts w:ascii="Times New Roman" w:eastAsia="SimSun" w:hAnsi="Times New Roman" w:cs="Times New Roman"/>
                <w:color w:val="000000" w:themeColor="text1"/>
                <w:sz w:val="18"/>
                <w:szCs w:val="18"/>
              </w:rPr>
              <w:t>RV- Rolling window</w:t>
            </w:r>
          </w:p>
        </w:tc>
      </w:tr>
      <w:tr w:rsidR="000F24CC" w:rsidRPr="0053126D" w14:paraId="38A0DD9A" w14:textId="77777777" w:rsidTr="002259AE">
        <w:trPr>
          <w:trHeight w:val="2835"/>
        </w:trPr>
        <w:tc>
          <w:tcPr>
            <w:tcW w:w="2494" w:type="pct"/>
          </w:tcPr>
          <w:p w14:paraId="76A7DFDA" w14:textId="77777777" w:rsidR="007C07DE" w:rsidRPr="0053126D" w:rsidRDefault="007C07DE" w:rsidP="0007534C">
            <w:pPr>
              <w:spacing w:line="276" w:lineRule="auto"/>
              <w:jc w:val="center"/>
              <w:rPr>
                <w:rFonts w:ascii="Times New Roman" w:eastAsia="SimSun" w:hAnsi="Times New Roman" w:cs="Times New Roman"/>
                <w:color w:val="000000" w:themeColor="text1"/>
                <w:sz w:val="18"/>
                <w:szCs w:val="18"/>
              </w:rPr>
            </w:pPr>
            <w:r w:rsidRPr="0053126D">
              <w:rPr>
                <w:rFonts w:ascii="Times New Roman" w:hAnsi="Times New Roman" w:cs="Times New Roman"/>
                <w:noProof/>
                <w:color w:val="000000" w:themeColor="text1"/>
              </w:rPr>
              <w:drawing>
                <wp:inline distT="0" distB="0" distL="0" distR="0" wp14:anchorId="7622B429" wp14:editId="53A34A5B">
                  <wp:extent cx="2929909" cy="1980000"/>
                  <wp:effectExtent l="0" t="0" r="3810" b="1270"/>
                  <wp:docPr id="821273333" name="图片 1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3333" name="图片 12" descr="图表&#10;&#10;AI 生成的内容可能不正确。"/>
                          <pic:cNvPicPr>
                            <a:picLocks noChangeAspect="1"/>
                          </pic:cNvPicPr>
                        </pic:nvPicPr>
                        <pic:blipFill rotWithShape="1">
                          <a:blip r:embed="rId15" cstate="print">
                            <a:extLst>
                              <a:ext uri="{28A0092B-C50C-407E-A947-70E740481C1C}">
                                <a14:useLocalDpi xmlns:a14="http://schemas.microsoft.com/office/drawing/2010/main" val="0"/>
                              </a:ext>
                            </a:extLst>
                          </a:blip>
                          <a:srcRect t="9895"/>
                          <a:stretch/>
                        </pic:blipFill>
                        <pic:spPr bwMode="auto">
                          <a:xfrm>
                            <a:off x="0" y="0"/>
                            <a:ext cx="292990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6" w:type="pct"/>
          </w:tcPr>
          <w:p w14:paraId="21439466" w14:textId="77777777" w:rsidR="007C07DE" w:rsidRPr="0053126D" w:rsidRDefault="007C07DE" w:rsidP="0007534C">
            <w:pPr>
              <w:spacing w:line="276" w:lineRule="auto"/>
              <w:jc w:val="center"/>
              <w:rPr>
                <w:rFonts w:ascii="Times New Roman" w:eastAsia="SimSun" w:hAnsi="Times New Roman" w:cs="Times New Roman"/>
                <w:color w:val="000000" w:themeColor="text1"/>
                <w:sz w:val="18"/>
                <w:szCs w:val="18"/>
              </w:rPr>
            </w:pPr>
            <w:r w:rsidRPr="0053126D">
              <w:rPr>
                <w:rFonts w:ascii="Times New Roman" w:hAnsi="Times New Roman" w:cs="Times New Roman"/>
                <w:noProof/>
                <w:color w:val="000000" w:themeColor="text1"/>
              </w:rPr>
              <w:drawing>
                <wp:inline distT="0" distB="0" distL="0" distR="0" wp14:anchorId="7133DD74" wp14:editId="7F4CD66E">
                  <wp:extent cx="2953994" cy="1980000"/>
                  <wp:effectExtent l="0" t="0" r="5715" b="1270"/>
                  <wp:docPr id="1270608699" name="图片 13"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8699" name="图片 13" descr="图表, 直方图&#10;&#10;AI 生成的内容可能不正确。"/>
                          <pic:cNvPicPr>
                            <a:picLocks noChangeAspect="1"/>
                          </pic:cNvPicPr>
                        </pic:nvPicPr>
                        <pic:blipFill rotWithShape="1">
                          <a:blip r:embed="rId16" cstate="print">
                            <a:extLst>
                              <a:ext uri="{28A0092B-C50C-407E-A947-70E740481C1C}">
                                <a14:useLocalDpi xmlns:a14="http://schemas.microsoft.com/office/drawing/2010/main" val="0"/>
                              </a:ext>
                            </a:extLst>
                          </a:blip>
                          <a:srcRect t="10630"/>
                          <a:stretch/>
                        </pic:blipFill>
                        <pic:spPr bwMode="auto">
                          <a:xfrm>
                            <a:off x="0" y="0"/>
                            <a:ext cx="2953994"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0F24CC" w:rsidRPr="0053126D" w14:paraId="177CCCEF" w14:textId="77777777" w:rsidTr="002259AE">
        <w:tc>
          <w:tcPr>
            <w:tcW w:w="2494" w:type="pct"/>
          </w:tcPr>
          <w:p w14:paraId="0E6240E7" w14:textId="77777777" w:rsidR="007C07DE" w:rsidRPr="0053126D" w:rsidRDefault="007C07DE" w:rsidP="0007534C">
            <w:pPr>
              <w:ind w:firstLineChars="200" w:firstLine="360"/>
              <w:jc w:val="center"/>
              <w:rPr>
                <w:rFonts w:ascii="Times New Roman" w:eastAsia="SimSun" w:hAnsi="Times New Roman" w:cs="Times New Roman"/>
                <w:color w:val="000000" w:themeColor="text1"/>
                <w:sz w:val="18"/>
                <w:szCs w:val="18"/>
              </w:rPr>
            </w:pPr>
            <m:oMath>
              <m:r>
                <m:rPr>
                  <m:sty m:val="p"/>
                </m:rPr>
                <w:rPr>
                  <w:rFonts w:ascii="Cambria Math" w:eastAsia="SimSun" w:hAnsi="Cambria Math" w:cs="Times New Roman"/>
                  <w:color w:val="000000" w:themeColor="text1"/>
                  <w:sz w:val="18"/>
                  <w:szCs w:val="18"/>
                </w:rPr>
                <m:t>ΔGPRNK</m:t>
              </m:r>
            </m:oMath>
            <w:r w:rsidRPr="0053126D">
              <w:rPr>
                <w:rFonts w:ascii="Times New Roman" w:eastAsia="SimSun" w:hAnsi="Times New Roman" w:cs="Times New Roman"/>
                <w:color w:val="000000" w:themeColor="text1"/>
                <w:sz w:val="18"/>
                <w:szCs w:val="18"/>
              </w:rPr>
              <w:t>-Fixed window</w:t>
            </w:r>
          </w:p>
        </w:tc>
        <w:tc>
          <w:tcPr>
            <w:tcW w:w="2506" w:type="pct"/>
          </w:tcPr>
          <w:p w14:paraId="6A609D3B" w14:textId="77777777" w:rsidR="007C07DE" w:rsidRPr="0053126D" w:rsidRDefault="007C07DE" w:rsidP="0007534C">
            <w:pPr>
              <w:ind w:firstLineChars="200" w:firstLine="360"/>
              <w:jc w:val="center"/>
              <w:rPr>
                <w:rFonts w:ascii="Times New Roman" w:eastAsia="SimSun" w:hAnsi="Times New Roman" w:cs="Times New Roman"/>
                <w:color w:val="000000" w:themeColor="text1"/>
                <w:sz w:val="18"/>
                <w:szCs w:val="18"/>
              </w:rPr>
            </w:pPr>
            <m:oMath>
              <m:r>
                <m:rPr>
                  <m:sty m:val="p"/>
                </m:rPr>
                <w:rPr>
                  <w:rFonts w:ascii="Cambria Math" w:eastAsia="SimSun" w:hAnsi="Cambria Math" w:cs="Times New Roman"/>
                  <w:color w:val="000000" w:themeColor="text1"/>
                  <w:sz w:val="18"/>
                  <w:szCs w:val="18"/>
                </w:rPr>
                <m:t>ΔGPRNK</m:t>
              </m:r>
            </m:oMath>
            <w:r w:rsidRPr="0053126D">
              <w:rPr>
                <w:rFonts w:ascii="Times New Roman" w:eastAsia="SimSun" w:hAnsi="Times New Roman" w:cs="Times New Roman"/>
                <w:color w:val="000000" w:themeColor="text1"/>
                <w:sz w:val="18"/>
                <w:szCs w:val="18"/>
              </w:rPr>
              <w:t>-Rolling window</w:t>
            </w:r>
          </w:p>
        </w:tc>
      </w:tr>
      <w:tr w:rsidR="000F24CC" w:rsidRPr="0053126D" w14:paraId="420F9175" w14:textId="77777777" w:rsidTr="002259AE">
        <w:trPr>
          <w:trHeight w:val="2835"/>
        </w:trPr>
        <w:tc>
          <w:tcPr>
            <w:tcW w:w="2494" w:type="pct"/>
          </w:tcPr>
          <w:p w14:paraId="29CEA0E7" w14:textId="77777777" w:rsidR="007C07DE" w:rsidRPr="0053126D" w:rsidRDefault="007C07DE" w:rsidP="0007534C">
            <w:pPr>
              <w:spacing w:line="276" w:lineRule="auto"/>
              <w:jc w:val="center"/>
              <w:rPr>
                <w:rFonts w:ascii="Times New Roman" w:eastAsia="SimSun" w:hAnsi="Times New Roman" w:cs="Times New Roman"/>
                <w:color w:val="000000" w:themeColor="text1"/>
                <w:sz w:val="18"/>
                <w:szCs w:val="18"/>
              </w:rPr>
            </w:pPr>
            <w:r w:rsidRPr="0053126D">
              <w:rPr>
                <w:rFonts w:ascii="Times New Roman" w:hAnsi="Times New Roman" w:cs="Times New Roman"/>
                <w:noProof/>
                <w:color w:val="000000" w:themeColor="text1"/>
                <w:sz w:val="18"/>
                <w:szCs w:val="18"/>
              </w:rPr>
              <w:lastRenderedPageBreak/>
              <w:drawing>
                <wp:inline distT="0" distB="0" distL="0" distR="0" wp14:anchorId="066042D8" wp14:editId="318231A8">
                  <wp:extent cx="2952357" cy="1980000"/>
                  <wp:effectExtent l="0" t="0" r="0" b="1270"/>
                  <wp:docPr id="172909593" name="图片 14"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9593" name="图片 14" descr="图表, 直方图&#10;&#10;AI 生成的内容可能不正确。"/>
                          <pic:cNvPicPr>
                            <a:picLocks noChangeAspect="1"/>
                          </pic:cNvPicPr>
                        </pic:nvPicPr>
                        <pic:blipFill rotWithShape="1">
                          <a:blip r:embed="rId17" cstate="print">
                            <a:extLst>
                              <a:ext uri="{28A0092B-C50C-407E-A947-70E740481C1C}">
                                <a14:useLocalDpi xmlns:a14="http://schemas.microsoft.com/office/drawing/2010/main" val="0"/>
                              </a:ext>
                            </a:extLst>
                          </a:blip>
                          <a:srcRect t="10580"/>
                          <a:stretch/>
                        </pic:blipFill>
                        <pic:spPr bwMode="auto">
                          <a:xfrm>
                            <a:off x="0" y="0"/>
                            <a:ext cx="2952357"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6" w:type="pct"/>
          </w:tcPr>
          <w:p w14:paraId="76FF7A9B" w14:textId="77777777" w:rsidR="007C07DE" w:rsidRPr="0053126D" w:rsidRDefault="007C07DE" w:rsidP="0007534C">
            <w:pPr>
              <w:spacing w:line="276" w:lineRule="auto"/>
              <w:jc w:val="center"/>
              <w:rPr>
                <w:rFonts w:ascii="Times New Roman" w:eastAsia="SimSun" w:hAnsi="Times New Roman" w:cs="Times New Roman"/>
                <w:color w:val="000000" w:themeColor="text1"/>
                <w:sz w:val="18"/>
                <w:szCs w:val="18"/>
              </w:rPr>
            </w:pPr>
            <w:r w:rsidRPr="0053126D">
              <w:rPr>
                <w:rFonts w:ascii="Times New Roman" w:hAnsi="Times New Roman" w:cs="Times New Roman"/>
                <w:noProof/>
                <w:color w:val="000000" w:themeColor="text1"/>
                <w:sz w:val="18"/>
                <w:szCs w:val="18"/>
              </w:rPr>
              <w:drawing>
                <wp:inline distT="0" distB="0" distL="0" distR="0" wp14:anchorId="7A55E0BD" wp14:editId="20DAB3E6">
                  <wp:extent cx="2953878" cy="1980000"/>
                  <wp:effectExtent l="0" t="0" r="5715" b="1270"/>
                  <wp:docPr id="1843131068" name="图片 1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1068" name="图片 15" descr="图表, 直方图&#10;&#10;AI 生成的内容可能不正确。"/>
                          <pic:cNvPicPr>
                            <a:picLocks noChangeAspect="1"/>
                          </pic:cNvPicPr>
                        </pic:nvPicPr>
                        <pic:blipFill rotWithShape="1">
                          <a:blip r:embed="rId18" cstate="print">
                            <a:extLst>
                              <a:ext uri="{28A0092B-C50C-407E-A947-70E740481C1C}">
                                <a14:useLocalDpi xmlns:a14="http://schemas.microsoft.com/office/drawing/2010/main" val="0"/>
                              </a:ext>
                            </a:extLst>
                          </a:blip>
                          <a:srcRect t="10626"/>
                          <a:stretch/>
                        </pic:blipFill>
                        <pic:spPr bwMode="auto">
                          <a:xfrm>
                            <a:off x="0" y="0"/>
                            <a:ext cx="2953878"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2259AE" w:rsidRPr="0053126D" w14:paraId="72509804" w14:textId="77777777" w:rsidTr="002259AE">
        <w:trPr>
          <w:trHeight w:val="389"/>
        </w:trPr>
        <w:tc>
          <w:tcPr>
            <w:tcW w:w="2494" w:type="pct"/>
          </w:tcPr>
          <w:p w14:paraId="6236E469" w14:textId="77777777" w:rsidR="002259AE" w:rsidRPr="0053126D" w:rsidRDefault="002259AE" w:rsidP="00066E3C">
            <w:pPr>
              <w:ind w:firstLineChars="200" w:firstLine="360"/>
              <w:jc w:val="center"/>
              <w:rPr>
                <w:rFonts w:ascii="Times New Roman" w:eastAsia="SimSun" w:hAnsi="Times New Roman" w:cs="Times New Roman"/>
                <w:color w:val="000000" w:themeColor="text1"/>
                <w:sz w:val="18"/>
                <w:szCs w:val="18"/>
              </w:rPr>
            </w:pPr>
            <m:oMath>
              <m:r>
                <m:rPr>
                  <m:sty m:val="p"/>
                </m:rPr>
                <w:rPr>
                  <w:rFonts w:ascii="Cambria Math" w:eastAsia="SimSun" w:hAnsi="Cambria Math" w:cs="Times New Roman"/>
                  <w:color w:val="000000" w:themeColor="text1"/>
                  <w:sz w:val="18"/>
                  <w:szCs w:val="18"/>
                </w:rPr>
                <m:t>RV+ΔGPRNK</m:t>
              </m:r>
            </m:oMath>
            <w:r w:rsidRPr="0053126D">
              <w:rPr>
                <w:rFonts w:ascii="Times New Roman" w:eastAsia="SimSun" w:hAnsi="Times New Roman" w:cs="Times New Roman"/>
                <w:color w:val="000000" w:themeColor="text1"/>
                <w:sz w:val="18"/>
                <w:szCs w:val="18"/>
              </w:rPr>
              <w:t>-Fixed window</w:t>
            </w:r>
          </w:p>
        </w:tc>
        <w:tc>
          <w:tcPr>
            <w:tcW w:w="2506" w:type="pct"/>
          </w:tcPr>
          <w:p w14:paraId="6EE56B41" w14:textId="77777777" w:rsidR="002259AE" w:rsidRPr="0053126D" w:rsidRDefault="002259AE" w:rsidP="00066E3C">
            <w:pPr>
              <w:ind w:firstLineChars="200" w:firstLine="360"/>
              <w:jc w:val="center"/>
              <w:rPr>
                <w:rFonts w:ascii="Times New Roman" w:eastAsia="SimSun" w:hAnsi="Times New Roman" w:cs="Times New Roman"/>
                <w:color w:val="000000" w:themeColor="text1"/>
                <w:sz w:val="18"/>
                <w:szCs w:val="18"/>
              </w:rPr>
            </w:pPr>
            <m:oMath>
              <m:r>
                <m:rPr>
                  <m:sty m:val="p"/>
                </m:rPr>
                <w:rPr>
                  <w:rFonts w:ascii="Cambria Math" w:eastAsia="SimSun" w:hAnsi="Cambria Math" w:cs="Times New Roman"/>
                  <w:color w:val="000000" w:themeColor="text1"/>
                  <w:sz w:val="18"/>
                  <w:szCs w:val="18"/>
                </w:rPr>
                <m:t>RV+ΔGPRNK</m:t>
              </m:r>
            </m:oMath>
            <w:r w:rsidRPr="0053126D">
              <w:rPr>
                <w:rFonts w:ascii="Times New Roman" w:eastAsia="SimSun" w:hAnsi="Times New Roman" w:cs="Times New Roman"/>
                <w:color w:val="000000" w:themeColor="text1"/>
                <w:sz w:val="18"/>
                <w:szCs w:val="18"/>
              </w:rPr>
              <w:t>-Rolling window</w:t>
            </w:r>
          </w:p>
        </w:tc>
      </w:tr>
      <w:tr w:rsidR="000F24CC" w:rsidRPr="0053126D" w14:paraId="65F96C79" w14:textId="77777777" w:rsidTr="002259AE">
        <w:tc>
          <w:tcPr>
            <w:tcW w:w="5000" w:type="pct"/>
            <w:gridSpan w:val="2"/>
          </w:tcPr>
          <w:p w14:paraId="23329135" w14:textId="12E74552" w:rsidR="007C07DE" w:rsidRPr="0053126D" w:rsidRDefault="00800EEB" w:rsidP="00800EEB">
            <w:pPr>
              <w:pStyle w:val="Caption"/>
              <w:jc w:val="center"/>
              <w:rPr>
                <w:rFonts w:ascii="Times New Roman" w:eastAsia="FangSong" w:hAnsi="Times New Roman" w:cs="Times New Roman"/>
                <w:b/>
                <w:bCs/>
                <w:color w:val="000000" w:themeColor="text1"/>
                <w:sz w:val="18"/>
                <w:szCs w:val="18"/>
              </w:rPr>
            </w:pPr>
            <w:bookmarkStart w:id="85" w:name="_Ref205215599"/>
            <w:r w:rsidRPr="0053126D">
              <w:rPr>
                <w:rFonts w:ascii="Times New Roman" w:eastAsia="FangSong" w:hAnsi="Times New Roman" w:cs="Times New Roman"/>
                <w:b/>
                <w:bCs/>
                <w:color w:val="000000" w:themeColor="text1"/>
                <w:sz w:val="18"/>
                <w:szCs w:val="18"/>
              </w:rPr>
              <w:t>Figure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Figure_A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color w:val="000000" w:themeColor="text1"/>
                <w:sz w:val="18"/>
                <w:szCs w:val="18"/>
              </w:rPr>
              <w:t>4</w:t>
            </w:r>
            <w:r w:rsidRPr="0053126D">
              <w:rPr>
                <w:rFonts w:ascii="Times New Roman" w:eastAsia="FangSong" w:hAnsi="Times New Roman" w:cs="Times New Roman"/>
                <w:b/>
                <w:bCs/>
                <w:color w:val="000000" w:themeColor="text1"/>
                <w:sz w:val="18"/>
                <w:szCs w:val="18"/>
              </w:rPr>
              <w:fldChar w:fldCharType="end"/>
            </w:r>
            <w:bookmarkEnd w:id="85"/>
            <w:r w:rsidRPr="0053126D">
              <w:rPr>
                <w:rFonts w:ascii="Times New Roman" w:eastAsia="FangSong" w:hAnsi="Times New Roman" w:cs="Times New Roman"/>
                <w:b/>
                <w:bCs/>
                <w:color w:val="000000" w:themeColor="text1"/>
                <w:sz w:val="18"/>
                <w:szCs w:val="18"/>
              </w:rPr>
              <w:t xml:space="preserve">. </w:t>
            </w:r>
            <w:r w:rsidRPr="0053126D">
              <w:rPr>
                <w:rFonts w:ascii="Times New Roman" w:eastAsia="FangSong" w:hAnsi="Times New Roman" w:cs="Times New Roman"/>
                <w:color w:val="000000" w:themeColor="text1"/>
                <w:sz w:val="18"/>
                <w:szCs w:val="18"/>
              </w:rPr>
              <w:t>Relationship between long-term volatility (</w:t>
            </w:r>
            <m:oMath>
              <m:sSub>
                <m:sSubPr>
                  <m:ctrlPr>
                    <w:rPr>
                      <w:rFonts w:ascii="Cambria Math" w:eastAsia="FangSong" w:hAnsi="Cambria Math" w:cs="Times New Roman"/>
                      <w:color w:val="000000" w:themeColor="text1"/>
                      <w:sz w:val="18"/>
                      <w:szCs w:val="18"/>
                    </w:rPr>
                  </m:ctrlPr>
                </m:sSubPr>
                <m:e>
                  <m:r>
                    <w:rPr>
                      <w:rFonts w:ascii="Cambria Math" w:eastAsia="FangSong" w:hAnsi="Cambria Math" w:cs="Times New Roman"/>
                      <w:color w:val="000000" w:themeColor="text1"/>
                      <w:sz w:val="18"/>
                      <w:szCs w:val="18"/>
                    </w:rPr>
                    <m:t>lnτ</m:t>
                  </m:r>
                </m:e>
                <m:sub>
                  <m:r>
                    <w:rPr>
                      <w:rFonts w:ascii="Cambria Math" w:eastAsia="FangSong" w:hAnsi="Cambria Math" w:cs="Times New Roman"/>
                      <w:color w:val="000000" w:themeColor="text1"/>
                      <w:sz w:val="18"/>
                      <w:szCs w:val="18"/>
                    </w:rPr>
                    <m:t>t</m:t>
                  </m:r>
                </m:sub>
              </m:sSub>
            </m:oMath>
            <w:r w:rsidRPr="0053126D">
              <w:rPr>
                <w:rFonts w:ascii="Times New Roman" w:eastAsia="FangSong" w:hAnsi="Times New Roman" w:cs="Times New Roman"/>
                <w:color w:val="000000" w:themeColor="text1"/>
                <w:sz w:val="18"/>
                <w:szCs w:val="18"/>
              </w:rPr>
              <w:t>) and total volatility (</w:t>
            </w:r>
            <m:oMath>
              <m:sSub>
                <m:sSubPr>
                  <m:ctrlPr>
                    <w:rPr>
                      <w:rFonts w:ascii="Cambria Math" w:eastAsia="FangSong" w:hAnsi="Cambria Math" w:cs="Times New Roman"/>
                      <w:color w:val="000000" w:themeColor="text1"/>
                      <w:sz w:val="18"/>
                      <w:szCs w:val="18"/>
                    </w:rPr>
                  </m:ctrlPr>
                </m:sSubPr>
                <m:e>
                  <m:r>
                    <w:rPr>
                      <w:rFonts w:ascii="Cambria Math" w:eastAsia="FangSong" w:hAnsi="Cambria Math" w:cs="Times New Roman"/>
                      <w:color w:val="000000" w:themeColor="text1"/>
                      <w:sz w:val="18"/>
                      <w:szCs w:val="18"/>
                    </w:rPr>
                    <m:t>τ</m:t>
                  </m:r>
                </m:e>
                <m:sub>
                  <m:r>
                    <w:rPr>
                      <w:rFonts w:ascii="Cambria Math" w:eastAsia="FangSong" w:hAnsi="Cambria Math" w:cs="Times New Roman"/>
                      <w:color w:val="000000" w:themeColor="text1"/>
                      <w:sz w:val="18"/>
                      <w:szCs w:val="18"/>
                    </w:rPr>
                    <m:t>t</m:t>
                  </m:r>
                </m:sub>
              </m:sSub>
              <m:r>
                <m:rPr>
                  <m:sty m:val="p"/>
                </m:rPr>
                <w:rPr>
                  <w:rFonts w:ascii="Cambria Math" w:eastAsia="FangSong" w:hAnsi="Cambria Math" w:cs="Times New Roman"/>
                  <w:color w:val="000000" w:themeColor="text1"/>
                  <w:sz w:val="18"/>
                  <w:szCs w:val="18"/>
                </w:rPr>
                <m:t>*</m:t>
              </m:r>
              <m:sSub>
                <m:sSubPr>
                  <m:ctrlPr>
                    <w:rPr>
                      <w:rFonts w:ascii="Cambria Math" w:eastAsia="FangSong" w:hAnsi="Cambria Math" w:cs="Times New Roman"/>
                      <w:color w:val="000000" w:themeColor="text1"/>
                      <w:sz w:val="18"/>
                      <w:szCs w:val="18"/>
                    </w:rPr>
                  </m:ctrlPr>
                </m:sSubPr>
                <m:e>
                  <m:r>
                    <w:rPr>
                      <w:rFonts w:ascii="Cambria Math" w:eastAsia="FangSong" w:hAnsi="Cambria Math" w:cs="Times New Roman"/>
                      <w:color w:val="000000" w:themeColor="text1"/>
                      <w:sz w:val="18"/>
                      <w:szCs w:val="18"/>
                    </w:rPr>
                    <m:t>g</m:t>
                  </m:r>
                </m:e>
                <m:sub>
                  <m:r>
                    <w:rPr>
                      <w:rFonts w:ascii="Cambria Math" w:eastAsia="FangSong" w:hAnsi="Cambria Math" w:cs="Times New Roman"/>
                      <w:color w:val="000000" w:themeColor="text1"/>
                      <w:sz w:val="18"/>
                      <w:szCs w:val="18"/>
                    </w:rPr>
                    <m:t>i</m:t>
                  </m:r>
                  <m:r>
                    <m:rPr>
                      <m:sty m:val="p"/>
                    </m:rPr>
                    <w:rPr>
                      <w:rFonts w:ascii="Cambria Math" w:eastAsia="FangSong" w:hAnsi="Cambria Math" w:cs="Times New Roman"/>
                      <w:color w:val="000000" w:themeColor="text1"/>
                      <w:sz w:val="18"/>
                      <w:szCs w:val="18"/>
                    </w:rPr>
                    <m:t>,</m:t>
                  </m:r>
                  <m:r>
                    <w:rPr>
                      <w:rFonts w:ascii="Cambria Math" w:eastAsia="FangSong" w:hAnsi="Cambria Math" w:cs="Times New Roman"/>
                      <w:color w:val="000000" w:themeColor="text1"/>
                      <w:sz w:val="18"/>
                      <w:szCs w:val="18"/>
                    </w:rPr>
                    <m:t>t</m:t>
                  </m:r>
                </m:sub>
              </m:sSub>
            </m:oMath>
            <w:r w:rsidRPr="0053126D">
              <w:rPr>
                <w:rFonts w:ascii="Times New Roman" w:eastAsia="FangSong" w:hAnsi="Times New Roman" w:cs="Times New Roman"/>
                <w:color w:val="000000" w:themeColor="text1"/>
                <w:sz w:val="18"/>
                <w:szCs w:val="18"/>
              </w:rPr>
              <w:t>) estimated by each model</w:t>
            </w:r>
          </w:p>
        </w:tc>
      </w:tr>
    </w:tbl>
    <w:bookmarkEnd w:id="2"/>
    <w:bookmarkEnd w:id="83"/>
    <w:bookmarkEnd w:id="84"/>
    <w:p w14:paraId="543F3826" w14:textId="4D074C2D" w:rsidR="008066CD" w:rsidRPr="0053126D" w:rsidRDefault="008066CD" w:rsidP="008066CD">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 xml:space="preserve">Appendix G: </w:t>
      </w:r>
      <w:bookmarkStart w:id="86" w:name="OLE_LINK14"/>
      <w:r w:rsidR="006300C7" w:rsidRPr="0053126D">
        <w:rPr>
          <w:rFonts w:ascii="Times New Roman" w:hAnsi="Times New Roman" w:cs="Times New Roman"/>
          <w:b/>
          <w:snapToGrid w:val="0"/>
          <w:color w:val="000000" w:themeColor="text1"/>
          <w:kern w:val="0"/>
          <w:sz w:val="22"/>
          <w:szCs w:val="22"/>
          <w:lang w:bidi="en-US"/>
        </w:rPr>
        <w:t>Robustness Checks</w:t>
      </w:r>
      <w:bookmarkEnd w:id="86"/>
    </w:p>
    <w:p w14:paraId="34766A4A" w14:textId="0DB6F76A" w:rsidR="006300C7" w:rsidRPr="0053126D" w:rsidRDefault="006300C7" w:rsidP="006300C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87" w:name="OLE_LINK13"/>
      <w:r w:rsidRPr="0053126D">
        <w:rPr>
          <w:rFonts w:ascii="Times New Roman" w:eastAsia="FangSong" w:hAnsi="Times New Roman" w:cs="Times New Roman"/>
          <w:color w:val="000000" w:themeColor="text1"/>
          <w:szCs w:val="22"/>
          <w14:ligatures w14:val="none"/>
        </w:rPr>
        <w:t xml:space="preserve">To further test the robustness of the model, this </w:t>
      </w:r>
      <w:r w:rsidR="0066710E" w:rsidRPr="0053126D">
        <w:rPr>
          <w:rFonts w:ascii="Times New Roman" w:eastAsia="FangSong" w:hAnsi="Times New Roman" w:cs="Times New Roman"/>
          <w:color w:val="000000" w:themeColor="text1"/>
          <w:szCs w:val="22"/>
          <w14:ligatures w14:val="none"/>
        </w:rPr>
        <w:t>study</w:t>
      </w:r>
      <w:r w:rsidRPr="0053126D">
        <w:rPr>
          <w:rFonts w:ascii="Times New Roman" w:eastAsia="FangSong" w:hAnsi="Times New Roman" w:cs="Times New Roman"/>
          <w:color w:val="000000" w:themeColor="text1"/>
          <w:szCs w:val="22"/>
          <w14:ligatures w14:val="none"/>
        </w:rPr>
        <w:t xml:space="preserve"> shortens the out-of-sample prediction window to approximately three years (678 trading days). It continues to use the rolling prediction method to ensure the comparability and consistency of the results. This setting is used to evaluate the model's performance over a shorter prediction period and verify its robustness.</w:t>
      </w:r>
    </w:p>
    <w:p w14:paraId="3DD87592" w14:textId="43E81369" w:rsidR="006300C7" w:rsidRPr="0053126D" w:rsidRDefault="006300C7" w:rsidP="006300C7">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The results in </w:t>
      </w:r>
      <w:r w:rsidR="00B5232E" w:rsidRPr="0053126D">
        <w:rPr>
          <w:rFonts w:ascii="Times New Roman" w:eastAsia="FangSong" w:hAnsi="Times New Roman" w:cs="Times New Roman"/>
          <w:color w:val="000000" w:themeColor="text1"/>
          <w:szCs w:val="22"/>
          <w14:ligatures w14:val="none"/>
        </w:rPr>
        <w:fldChar w:fldCharType="begin"/>
      </w:r>
      <w:r w:rsidR="00B5232E" w:rsidRPr="0053126D">
        <w:rPr>
          <w:rFonts w:ascii="Times New Roman" w:eastAsia="FangSong" w:hAnsi="Times New Roman" w:cs="Times New Roman"/>
          <w:color w:val="000000" w:themeColor="text1"/>
          <w:szCs w:val="22"/>
          <w14:ligatures w14:val="none"/>
        </w:rPr>
        <w:instrText xml:space="preserve"> REF _Ref205224568 \h  \* MERGEFORMAT </w:instrText>
      </w:r>
      <w:r w:rsidR="00B5232E" w:rsidRPr="0053126D">
        <w:rPr>
          <w:rFonts w:ascii="Times New Roman" w:eastAsia="FangSong" w:hAnsi="Times New Roman" w:cs="Times New Roman"/>
          <w:color w:val="000000" w:themeColor="text1"/>
          <w:szCs w:val="22"/>
          <w14:ligatures w14:val="none"/>
        </w:rPr>
      </w:r>
      <w:r w:rsidR="00B5232E" w:rsidRPr="0053126D">
        <w:rPr>
          <w:rFonts w:ascii="Times New Roman" w:eastAsia="FangSong" w:hAnsi="Times New Roman" w:cs="Times New Roman"/>
          <w:color w:val="000000" w:themeColor="text1"/>
          <w:szCs w:val="22"/>
          <w14:ligatures w14:val="none"/>
        </w:rPr>
        <w:fldChar w:fldCharType="separate"/>
      </w:r>
      <w:r w:rsidR="00B5232E" w:rsidRPr="0053126D">
        <w:rPr>
          <w:rFonts w:ascii="Times New Roman" w:eastAsia="FangSong" w:hAnsi="Times New Roman" w:cs="Times New Roman"/>
          <w:color w:val="000000" w:themeColor="text1"/>
          <w:szCs w:val="22"/>
          <w14:ligatures w14:val="none"/>
        </w:rPr>
        <w:t>Table A2</w:t>
      </w:r>
      <w:r w:rsidR="00B5232E"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show that Model 2 (which only includes RV) and Model 6 (which incorporates both RV and GPRNK) perform excellently under various loss functions (MSE, MAE, QLIKE) and pass the MCS test, indicating that their predictive capabilities remain significant and robust even with a relatively short sample period. In particular, Model 6 performed the best overall, </w:t>
      </w:r>
      <w:r w:rsidR="00C75C7D" w:rsidRPr="0053126D">
        <w:rPr>
          <w:rFonts w:ascii="Times New Roman" w:eastAsia="FangSong" w:hAnsi="Times New Roman" w:cs="Times New Roman"/>
          <w:color w:val="000000" w:themeColor="text1"/>
          <w:szCs w:val="22"/>
          <w14:ligatures w14:val="none"/>
        </w:rPr>
        <w:t>suggesting that combining realized volatility with GPR indicators enhances</w:t>
      </w:r>
      <w:r w:rsidRPr="0053126D">
        <w:rPr>
          <w:rFonts w:ascii="Times New Roman" w:eastAsia="FangSong" w:hAnsi="Times New Roman" w:cs="Times New Roman"/>
          <w:color w:val="000000" w:themeColor="text1"/>
          <w:szCs w:val="22"/>
          <w14:ligatures w14:val="none"/>
        </w:rPr>
        <w:t xml:space="preserve"> the accuracy of long-term volatility forecasts.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1171"/>
        <w:gridCol w:w="1170"/>
        <w:gridCol w:w="1170"/>
        <w:gridCol w:w="1170"/>
        <w:gridCol w:w="1170"/>
        <w:gridCol w:w="1166"/>
      </w:tblGrid>
      <w:tr w:rsidR="000F24CC" w:rsidRPr="0053126D" w14:paraId="1DB416C8" w14:textId="77777777" w:rsidTr="006B1A22">
        <w:trPr>
          <w:trHeight w:val="392"/>
          <w:jc w:val="center"/>
        </w:trPr>
        <w:tc>
          <w:tcPr>
            <w:tcW w:w="5000" w:type="pct"/>
            <w:gridSpan w:val="7"/>
            <w:tcBorders>
              <w:bottom w:val="single" w:sz="8" w:space="0" w:color="auto"/>
            </w:tcBorders>
            <w:vAlign w:val="bottom"/>
          </w:tcPr>
          <w:p w14:paraId="53B68FB6" w14:textId="2C973233" w:rsidR="006B1A22" w:rsidRPr="0053126D" w:rsidRDefault="006B1A22" w:rsidP="006B1A22">
            <w:pPr>
              <w:spacing w:beforeLines="100" w:before="312"/>
              <w:contextualSpacing/>
              <w:jc w:val="both"/>
              <w:rPr>
                <w:rFonts w:ascii="Times New Roman" w:eastAsia="FangSong" w:hAnsi="Times New Roman" w:cs="Times New Roman"/>
                <w:b/>
                <w:bCs/>
                <w:color w:val="000000" w:themeColor="text1"/>
                <w:sz w:val="18"/>
                <w:szCs w:val="18"/>
              </w:rPr>
            </w:pPr>
            <w:bookmarkStart w:id="88" w:name="_Ref205224568"/>
            <w:r w:rsidRPr="0053126D">
              <w:rPr>
                <w:rFonts w:ascii="Times New Roman" w:eastAsia="FangSong" w:hAnsi="Times New Roman" w:cs="Times New Roman"/>
                <w:b/>
                <w:bCs/>
                <w:color w:val="000000" w:themeColor="text1"/>
                <w:sz w:val="18"/>
                <w:szCs w:val="18"/>
              </w:rPr>
              <w:t>Table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Table_A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color w:val="000000" w:themeColor="text1"/>
                <w:sz w:val="18"/>
                <w:szCs w:val="18"/>
              </w:rPr>
              <w:t>2</w:t>
            </w:r>
            <w:r w:rsidRPr="0053126D">
              <w:rPr>
                <w:rFonts w:ascii="Times New Roman" w:eastAsia="FangSong" w:hAnsi="Times New Roman" w:cs="Times New Roman"/>
                <w:b/>
                <w:bCs/>
                <w:color w:val="000000" w:themeColor="text1"/>
                <w:sz w:val="18"/>
                <w:szCs w:val="18"/>
              </w:rPr>
              <w:fldChar w:fldCharType="end"/>
            </w:r>
            <w:bookmarkEnd w:id="88"/>
            <w:r w:rsidRPr="0053126D">
              <w:rPr>
                <w:rFonts w:ascii="Times New Roman" w:eastAsia="FangSong" w:hAnsi="Times New Roman" w:cs="Times New Roman"/>
                <w:b/>
                <w:bCs/>
                <w:color w:val="000000" w:themeColor="text1"/>
                <w:sz w:val="18"/>
                <w:szCs w:val="18"/>
              </w:rPr>
              <w:t>.</w:t>
            </w:r>
            <w:r w:rsidRPr="0053126D">
              <w:rPr>
                <w:rFonts w:ascii="Times New Roman" w:eastAsia="FangSong" w:hAnsi="Times New Roman" w:cs="Times New Roman"/>
                <w:color w:val="000000" w:themeColor="text1"/>
                <w:sz w:val="18"/>
                <w:szCs w:val="18"/>
              </w:rPr>
              <w:t xml:space="preserve"> MCS Test Results</w:t>
            </w:r>
          </w:p>
        </w:tc>
      </w:tr>
      <w:tr w:rsidR="000F24CC" w:rsidRPr="0053126D" w14:paraId="1EE2CFB0" w14:textId="77777777" w:rsidTr="00A7614C">
        <w:trPr>
          <w:jc w:val="center"/>
        </w:trPr>
        <w:tc>
          <w:tcPr>
            <w:tcW w:w="1402" w:type="pct"/>
            <w:tcBorders>
              <w:top w:val="single" w:sz="8" w:space="0" w:color="auto"/>
              <w:bottom w:val="single" w:sz="8" w:space="0" w:color="auto"/>
            </w:tcBorders>
          </w:tcPr>
          <w:p w14:paraId="20DAAC15"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p>
        </w:tc>
        <w:tc>
          <w:tcPr>
            <w:tcW w:w="1200" w:type="pct"/>
            <w:gridSpan w:val="2"/>
            <w:tcBorders>
              <w:top w:val="single" w:sz="8" w:space="0" w:color="auto"/>
              <w:bottom w:val="single" w:sz="8" w:space="0" w:color="auto"/>
            </w:tcBorders>
          </w:tcPr>
          <w:p w14:paraId="000868AA"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MSE</w:t>
            </w:r>
          </w:p>
        </w:tc>
        <w:tc>
          <w:tcPr>
            <w:tcW w:w="1200" w:type="pct"/>
            <w:gridSpan w:val="2"/>
            <w:tcBorders>
              <w:top w:val="single" w:sz="8" w:space="0" w:color="auto"/>
              <w:bottom w:val="single" w:sz="8" w:space="0" w:color="auto"/>
            </w:tcBorders>
          </w:tcPr>
          <w:p w14:paraId="5DA3FCBA"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MAE</w:t>
            </w:r>
          </w:p>
        </w:tc>
        <w:tc>
          <w:tcPr>
            <w:tcW w:w="1198" w:type="pct"/>
            <w:gridSpan w:val="2"/>
            <w:tcBorders>
              <w:top w:val="single" w:sz="8" w:space="0" w:color="auto"/>
              <w:bottom w:val="single" w:sz="8" w:space="0" w:color="auto"/>
            </w:tcBorders>
          </w:tcPr>
          <w:p w14:paraId="77234389"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QLIKE</w:t>
            </w:r>
          </w:p>
        </w:tc>
      </w:tr>
      <w:tr w:rsidR="000F24CC" w:rsidRPr="0053126D" w14:paraId="5D61CCC2" w14:textId="77777777" w:rsidTr="00A7614C">
        <w:trPr>
          <w:jc w:val="center"/>
        </w:trPr>
        <w:tc>
          <w:tcPr>
            <w:tcW w:w="1402" w:type="pct"/>
            <w:tcBorders>
              <w:top w:val="single" w:sz="8" w:space="0" w:color="auto"/>
              <w:bottom w:val="single" w:sz="8" w:space="0" w:color="auto"/>
            </w:tcBorders>
          </w:tcPr>
          <w:p w14:paraId="7E466295"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MCS-678 days</w:t>
            </w:r>
          </w:p>
        </w:tc>
        <w:tc>
          <w:tcPr>
            <w:tcW w:w="600" w:type="pct"/>
            <w:tcBorders>
              <w:top w:val="single" w:sz="8" w:space="0" w:color="auto"/>
              <w:bottom w:val="single" w:sz="8" w:space="0" w:color="auto"/>
            </w:tcBorders>
          </w:tcPr>
          <w:p w14:paraId="6D40F18D"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R</m:t>
                    </m:r>
                  </m:sub>
                </m:sSub>
              </m:oMath>
            </m:oMathPara>
          </w:p>
        </w:tc>
        <w:tc>
          <w:tcPr>
            <w:tcW w:w="600" w:type="pct"/>
            <w:tcBorders>
              <w:top w:val="single" w:sz="8" w:space="0" w:color="auto"/>
              <w:bottom w:val="single" w:sz="8" w:space="0" w:color="auto"/>
            </w:tcBorders>
          </w:tcPr>
          <w:p w14:paraId="6F7F9EFD"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max</m:t>
                    </m:r>
                  </m:sub>
                </m:sSub>
              </m:oMath>
            </m:oMathPara>
          </w:p>
        </w:tc>
        <w:tc>
          <w:tcPr>
            <w:tcW w:w="600" w:type="pct"/>
            <w:tcBorders>
              <w:top w:val="single" w:sz="8" w:space="0" w:color="auto"/>
              <w:bottom w:val="single" w:sz="8" w:space="0" w:color="auto"/>
            </w:tcBorders>
          </w:tcPr>
          <w:p w14:paraId="0E0337FD"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R</m:t>
                    </m:r>
                  </m:sub>
                </m:sSub>
              </m:oMath>
            </m:oMathPara>
          </w:p>
        </w:tc>
        <w:tc>
          <w:tcPr>
            <w:tcW w:w="600" w:type="pct"/>
            <w:tcBorders>
              <w:top w:val="single" w:sz="8" w:space="0" w:color="auto"/>
              <w:bottom w:val="single" w:sz="8" w:space="0" w:color="auto"/>
            </w:tcBorders>
          </w:tcPr>
          <w:p w14:paraId="2C87A3ED"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max</m:t>
                    </m:r>
                  </m:sub>
                </m:sSub>
              </m:oMath>
            </m:oMathPara>
          </w:p>
        </w:tc>
        <w:tc>
          <w:tcPr>
            <w:tcW w:w="600" w:type="pct"/>
            <w:tcBorders>
              <w:top w:val="single" w:sz="8" w:space="0" w:color="auto"/>
              <w:bottom w:val="single" w:sz="8" w:space="0" w:color="auto"/>
            </w:tcBorders>
          </w:tcPr>
          <w:p w14:paraId="6AA88BB8"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R</m:t>
                    </m:r>
                  </m:sub>
                </m:sSub>
              </m:oMath>
            </m:oMathPara>
          </w:p>
        </w:tc>
        <w:tc>
          <w:tcPr>
            <w:tcW w:w="598" w:type="pct"/>
            <w:tcBorders>
              <w:top w:val="single" w:sz="8" w:space="0" w:color="auto"/>
              <w:bottom w:val="single" w:sz="8" w:space="0" w:color="auto"/>
            </w:tcBorders>
          </w:tcPr>
          <w:p w14:paraId="5F04FCC4" w14:textId="77777777" w:rsidR="006B1A22" w:rsidRPr="0053126D" w:rsidRDefault="00000000" w:rsidP="00A7614C">
            <w:pPr>
              <w:spacing w:line="60" w:lineRule="atLeast"/>
              <w:jc w:val="center"/>
              <w:rPr>
                <w:rFonts w:ascii="Times New Roman" w:hAnsi="Times New Roman" w:cs="Times New Roman"/>
                <w:iCs/>
                <w:color w:val="000000" w:themeColor="text1"/>
                <w:sz w:val="17"/>
                <w:szCs w:val="17"/>
              </w:rPr>
            </w:pPr>
            <m:oMathPara>
              <m:oMath>
                <m:sSub>
                  <m:sSubPr>
                    <m:ctrlPr>
                      <w:rPr>
                        <w:rFonts w:ascii="Cambria Math" w:hAnsi="Cambria Math" w:cs="Times New Roman"/>
                        <w:iCs/>
                        <w:color w:val="000000" w:themeColor="text1"/>
                        <w:sz w:val="17"/>
                        <w:szCs w:val="17"/>
                      </w:rPr>
                    </m:ctrlPr>
                  </m:sSubPr>
                  <m:e>
                    <m:r>
                      <w:rPr>
                        <w:rFonts w:ascii="Cambria Math" w:hAnsi="Cambria Math" w:cs="Times New Roman"/>
                        <w:color w:val="000000" w:themeColor="text1"/>
                        <w:sz w:val="17"/>
                        <w:szCs w:val="17"/>
                      </w:rPr>
                      <m:t>T</m:t>
                    </m:r>
                  </m:e>
                  <m:sub>
                    <m:r>
                      <w:rPr>
                        <w:rFonts w:ascii="Cambria Math" w:hAnsi="Cambria Math" w:cs="Times New Roman"/>
                        <w:color w:val="000000" w:themeColor="text1"/>
                        <w:sz w:val="17"/>
                        <w:szCs w:val="17"/>
                      </w:rPr>
                      <m:t>max</m:t>
                    </m:r>
                  </m:sub>
                </m:sSub>
              </m:oMath>
            </m:oMathPara>
          </w:p>
        </w:tc>
      </w:tr>
      <w:tr w:rsidR="000F24CC" w:rsidRPr="0053126D" w14:paraId="50A024C2" w14:textId="77777777" w:rsidTr="00A7614C">
        <w:trPr>
          <w:jc w:val="center"/>
        </w:trPr>
        <w:tc>
          <w:tcPr>
            <w:tcW w:w="1402" w:type="pct"/>
            <w:tcBorders>
              <w:top w:val="single" w:sz="8" w:space="0" w:color="auto"/>
            </w:tcBorders>
          </w:tcPr>
          <w:p w14:paraId="0BF91B5A"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GJR-GARCH(1,1)</w:t>
            </w:r>
          </w:p>
        </w:tc>
        <w:tc>
          <w:tcPr>
            <w:tcW w:w="600" w:type="pct"/>
            <w:tcBorders>
              <w:top w:val="single" w:sz="8" w:space="0" w:color="auto"/>
            </w:tcBorders>
          </w:tcPr>
          <w:p w14:paraId="6E9AFC3F"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0.283</w:t>
            </w:r>
          </w:p>
        </w:tc>
        <w:tc>
          <w:tcPr>
            <w:tcW w:w="600" w:type="pct"/>
            <w:tcBorders>
              <w:top w:val="single" w:sz="8" w:space="0" w:color="auto"/>
            </w:tcBorders>
          </w:tcPr>
          <w:p w14:paraId="4ACBF1B3"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0.112</w:t>
            </w:r>
          </w:p>
        </w:tc>
        <w:tc>
          <w:tcPr>
            <w:tcW w:w="600" w:type="pct"/>
            <w:tcBorders>
              <w:top w:val="single" w:sz="8" w:space="0" w:color="auto"/>
            </w:tcBorders>
          </w:tcPr>
          <w:p w14:paraId="0D0440C3"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0.090</w:t>
            </w:r>
          </w:p>
        </w:tc>
        <w:tc>
          <w:tcPr>
            <w:tcW w:w="600" w:type="pct"/>
            <w:tcBorders>
              <w:top w:val="single" w:sz="8" w:space="0" w:color="auto"/>
            </w:tcBorders>
          </w:tcPr>
          <w:p w14:paraId="77353F6B"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0.066</w:t>
            </w:r>
          </w:p>
        </w:tc>
        <w:tc>
          <w:tcPr>
            <w:tcW w:w="600" w:type="pct"/>
            <w:tcBorders>
              <w:top w:val="single" w:sz="8" w:space="0" w:color="auto"/>
            </w:tcBorders>
          </w:tcPr>
          <w:p w14:paraId="50CEF01E"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0.060</w:t>
            </w:r>
          </w:p>
        </w:tc>
        <w:tc>
          <w:tcPr>
            <w:tcW w:w="598" w:type="pct"/>
            <w:tcBorders>
              <w:top w:val="single" w:sz="8" w:space="0" w:color="auto"/>
            </w:tcBorders>
          </w:tcPr>
          <w:p w14:paraId="2DDE9FAB"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0.827</w:t>
            </w:r>
          </w:p>
        </w:tc>
      </w:tr>
      <w:tr w:rsidR="000F24CC" w:rsidRPr="0053126D" w14:paraId="1490BA71" w14:textId="77777777" w:rsidTr="00A7614C">
        <w:trPr>
          <w:jc w:val="center"/>
        </w:trPr>
        <w:tc>
          <w:tcPr>
            <w:tcW w:w="1402" w:type="pct"/>
          </w:tcPr>
          <w:p w14:paraId="2AAF04D0"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Model 2</w:t>
            </w:r>
          </w:p>
        </w:tc>
        <w:tc>
          <w:tcPr>
            <w:tcW w:w="600" w:type="pct"/>
          </w:tcPr>
          <w:p w14:paraId="17586D57"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0.579</w:t>
            </w:r>
          </w:p>
        </w:tc>
        <w:tc>
          <w:tcPr>
            <w:tcW w:w="600" w:type="pct"/>
          </w:tcPr>
          <w:p w14:paraId="36676AEA"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0.579</w:t>
            </w:r>
          </w:p>
        </w:tc>
        <w:tc>
          <w:tcPr>
            <w:tcW w:w="600" w:type="pct"/>
          </w:tcPr>
          <w:p w14:paraId="387D5159"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0.206</w:t>
            </w:r>
          </w:p>
        </w:tc>
        <w:tc>
          <w:tcPr>
            <w:tcW w:w="600" w:type="pct"/>
          </w:tcPr>
          <w:p w14:paraId="3AA6A1F8"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0.206</w:t>
            </w:r>
          </w:p>
        </w:tc>
        <w:tc>
          <w:tcPr>
            <w:tcW w:w="600" w:type="pct"/>
          </w:tcPr>
          <w:p w14:paraId="25A06A62"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0.746</w:t>
            </w:r>
          </w:p>
        </w:tc>
        <w:tc>
          <w:tcPr>
            <w:tcW w:w="598" w:type="pct"/>
          </w:tcPr>
          <w:p w14:paraId="161DE96D"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0.827</w:t>
            </w:r>
          </w:p>
        </w:tc>
      </w:tr>
      <w:tr w:rsidR="000F24CC" w:rsidRPr="0053126D" w14:paraId="63ACACC6" w14:textId="77777777" w:rsidTr="00A7614C">
        <w:trPr>
          <w:jc w:val="center"/>
        </w:trPr>
        <w:tc>
          <w:tcPr>
            <w:tcW w:w="1402" w:type="pct"/>
          </w:tcPr>
          <w:p w14:paraId="0F4D2B3D"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Model 4</w:t>
            </w:r>
          </w:p>
        </w:tc>
        <w:tc>
          <w:tcPr>
            <w:tcW w:w="600" w:type="pct"/>
          </w:tcPr>
          <w:p w14:paraId="1E8080C1"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0.283</w:t>
            </w:r>
          </w:p>
        </w:tc>
        <w:tc>
          <w:tcPr>
            <w:tcW w:w="600" w:type="pct"/>
          </w:tcPr>
          <w:p w14:paraId="42D82B6E"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0.119</w:t>
            </w:r>
          </w:p>
        </w:tc>
        <w:tc>
          <w:tcPr>
            <w:tcW w:w="600" w:type="pct"/>
          </w:tcPr>
          <w:p w14:paraId="7A06E117"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0.089</w:t>
            </w:r>
          </w:p>
        </w:tc>
        <w:tc>
          <w:tcPr>
            <w:tcW w:w="600" w:type="pct"/>
          </w:tcPr>
          <w:p w14:paraId="74F63028" w14:textId="77777777" w:rsidR="006B1A22" w:rsidRPr="0053126D" w:rsidRDefault="006B1A22" w:rsidP="00A7614C">
            <w:pPr>
              <w:spacing w:line="60" w:lineRule="atLeast"/>
              <w:jc w:val="center"/>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0.046</w:t>
            </w:r>
          </w:p>
        </w:tc>
        <w:tc>
          <w:tcPr>
            <w:tcW w:w="600" w:type="pct"/>
          </w:tcPr>
          <w:p w14:paraId="23A251AA"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c>
          <w:tcPr>
            <w:tcW w:w="598" w:type="pct"/>
          </w:tcPr>
          <w:p w14:paraId="2523A639"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r>
      <w:tr w:rsidR="000F24CC" w:rsidRPr="0053126D" w14:paraId="0708100B" w14:textId="77777777" w:rsidTr="00A7614C">
        <w:trPr>
          <w:jc w:val="center"/>
        </w:trPr>
        <w:tc>
          <w:tcPr>
            <w:tcW w:w="1402" w:type="pct"/>
            <w:tcBorders>
              <w:bottom w:val="single" w:sz="8" w:space="0" w:color="auto"/>
            </w:tcBorders>
          </w:tcPr>
          <w:p w14:paraId="726D207D" w14:textId="77777777" w:rsidR="006B1A22" w:rsidRPr="0053126D" w:rsidRDefault="006B1A22" w:rsidP="00A7614C">
            <w:pPr>
              <w:spacing w:line="6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6</w:t>
            </w:r>
          </w:p>
        </w:tc>
        <w:tc>
          <w:tcPr>
            <w:tcW w:w="600" w:type="pct"/>
            <w:tcBorders>
              <w:bottom w:val="single" w:sz="8" w:space="0" w:color="auto"/>
            </w:tcBorders>
          </w:tcPr>
          <w:p w14:paraId="5F843F37"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c>
          <w:tcPr>
            <w:tcW w:w="600" w:type="pct"/>
            <w:tcBorders>
              <w:bottom w:val="single" w:sz="8" w:space="0" w:color="auto"/>
            </w:tcBorders>
          </w:tcPr>
          <w:p w14:paraId="6F79F8B8"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c>
          <w:tcPr>
            <w:tcW w:w="600" w:type="pct"/>
            <w:tcBorders>
              <w:bottom w:val="single" w:sz="8" w:space="0" w:color="auto"/>
            </w:tcBorders>
          </w:tcPr>
          <w:p w14:paraId="35479F95"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c>
          <w:tcPr>
            <w:tcW w:w="600" w:type="pct"/>
            <w:tcBorders>
              <w:bottom w:val="single" w:sz="8" w:space="0" w:color="auto"/>
            </w:tcBorders>
          </w:tcPr>
          <w:p w14:paraId="17C1F0D2"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1.000</w:t>
            </w:r>
          </w:p>
        </w:tc>
        <w:tc>
          <w:tcPr>
            <w:tcW w:w="600" w:type="pct"/>
            <w:tcBorders>
              <w:bottom w:val="single" w:sz="8" w:space="0" w:color="auto"/>
            </w:tcBorders>
          </w:tcPr>
          <w:p w14:paraId="06406C07"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0.746</w:t>
            </w:r>
          </w:p>
        </w:tc>
        <w:tc>
          <w:tcPr>
            <w:tcW w:w="598" w:type="pct"/>
            <w:tcBorders>
              <w:bottom w:val="single" w:sz="8" w:space="0" w:color="auto"/>
            </w:tcBorders>
          </w:tcPr>
          <w:p w14:paraId="707D03CF" w14:textId="77777777" w:rsidR="006B1A22" w:rsidRPr="0053126D" w:rsidRDefault="006B1A22" w:rsidP="00A7614C">
            <w:pPr>
              <w:spacing w:line="60" w:lineRule="atLeast"/>
              <w:jc w:val="center"/>
              <w:rPr>
                <w:rFonts w:ascii="Times New Roman" w:hAnsi="Times New Roman" w:cs="Times New Roman"/>
                <w:b/>
                <w:bCs/>
                <w:iCs/>
                <w:color w:val="000000" w:themeColor="text1"/>
                <w:sz w:val="17"/>
                <w:szCs w:val="17"/>
                <w:u w:val="single"/>
              </w:rPr>
            </w:pPr>
            <w:r w:rsidRPr="0053126D">
              <w:rPr>
                <w:rFonts w:ascii="Times New Roman" w:hAnsi="Times New Roman" w:cs="Times New Roman"/>
                <w:b/>
                <w:bCs/>
                <w:iCs/>
                <w:color w:val="000000" w:themeColor="text1"/>
                <w:sz w:val="17"/>
                <w:szCs w:val="17"/>
                <w:u w:val="single"/>
              </w:rPr>
              <w:t>0.827</w:t>
            </w:r>
          </w:p>
        </w:tc>
      </w:tr>
      <w:tr w:rsidR="000F24CC" w:rsidRPr="0053126D" w14:paraId="78A1A4C8" w14:textId="77777777" w:rsidTr="00A7614C">
        <w:trPr>
          <w:trHeight w:val="439"/>
          <w:jc w:val="center"/>
        </w:trPr>
        <w:tc>
          <w:tcPr>
            <w:tcW w:w="5000" w:type="pct"/>
            <w:gridSpan w:val="7"/>
            <w:tcBorders>
              <w:top w:val="single" w:sz="8" w:space="0" w:color="auto"/>
            </w:tcBorders>
          </w:tcPr>
          <w:p w14:paraId="5B5C226D" w14:textId="77777777" w:rsidR="006B1A22" w:rsidRPr="0053126D" w:rsidRDefault="006B1A22" w:rsidP="00A7614C">
            <w:pPr>
              <w:spacing w:line="0" w:lineRule="atLeast"/>
              <w:jc w:val="both"/>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 xml:space="preserve">Note: The numbers in the table are </w:t>
            </w:r>
            <w:r w:rsidRPr="0053126D">
              <w:rPr>
                <w:rFonts w:ascii="Times New Roman" w:eastAsia="SimSun" w:hAnsi="Times New Roman" w:cs="Times New Roman"/>
                <w:iCs/>
                <w:color w:val="000000" w:themeColor="text1"/>
                <w:sz w:val="17"/>
                <w:szCs w:val="17"/>
              </w:rPr>
              <w:t>p-values</w:t>
            </w:r>
            <w:r w:rsidRPr="0053126D">
              <w:rPr>
                <w:rFonts w:ascii="Times New Roman" w:hAnsi="Times New Roman" w:cs="Times New Roman"/>
                <w:iCs/>
                <w:color w:val="000000" w:themeColor="text1"/>
                <w:sz w:val="17"/>
                <w:szCs w:val="17"/>
              </w:rPr>
              <w:t xml:space="preserve">. Numbers greater than 0.10 are in bold and </w:t>
            </w:r>
            <w:r w:rsidRPr="0053126D">
              <w:rPr>
                <w:rFonts w:ascii="Times New Roman" w:eastAsia="SimSun" w:hAnsi="Times New Roman" w:cs="Times New Roman"/>
                <w:iCs/>
                <w:color w:val="000000" w:themeColor="text1"/>
                <w:sz w:val="17"/>
                <w:szCs w:val="17"/>
              </w:rPr>
              <w:t>underlined</w:t>
            </w:r>
            <w:r w:rsidRPr="0053126D">
              <w:rPr>
                <w:rFonts w:ascii="Times New Roman" w:hAnsi="Times New Roman" w:cs="Times New Roman"/>
                <w:iCs/>
                <w:color w:val="000000" w:themeColor="text1"/>
                <w:sz w:val="17"/>
                <w:szCs w:val="17"/>
              </w:rPr>
              <w:t xml:space="preserve">, indicating that </w:t>
            </w:r>
            <w:r w:rsidRPr="0053126D">
              <w:rPr>
                <w:rFonts w:ascii="Times New Roman" w:eastAsia="SimSun" w:hAnsi="Times New Roman" w:cs="Times New Roman"/>
                <w:iCs/>
                <w:color w:val="000000" w:themeColor="text1"/>
                <w:sz w:val="17"/>
                <w:szCs w:val="17"/>
              </w:rPr>
              <w:t xml:space="preserve">the corresponding </w:t>
            </w:r>
            <w:r w:rsidRPr="0053126D">
              <w:rPr>
                <w:rFonts w:ascii="Times New Roman" w:hAnsi="Times New Roman" w:cs="Times New Roman"/>
                <w:iCs/>
                <w:color w:val="000000" w:themeColor="text1"/>
                <w:sz w:val="17"/>
                <w:szCs w:val="17"/>
              </w:rPr>
              <w:t xml:space="preserve">model performs </w:t>
            </w:r>
            <w:r w:rsidRPr="0053126D">
              <w:rPr>
                <w:rFonts w:ascii="Times New Roman" w:eastAsia="SimSun" w:hAnsi="Times New Roman" w:cs="Times New Roman"/>
                <w:iCs/>
                <w:color w:val="000000" w:themeColor="text1"/>
                <w:sz w:val="17"/>
                <w:szCs w:val="17"/>
              </w:rPr>
              <w:t xml:space="preserve">significantly </w:t>
            </w:r>
            <w:r w:rsidRPr="0053126D">
              <w:rPr>
                <w:rFonts w:ascii="Times New Roman" w:hAnsi="Times New Roman" w:cs="Times New Roman"/>
                <w:iCs/>
                <w:color w:val="000000" w:themeColor="text1"/>
                <w:sz w:val="17"/>
                <w:szCs w:val="17"/>
              </w:rPr>
              <w:t xml:space="preserve">better in the model set. </w:t>
            </w:r>
            <w:r w:rsidRPr="0053126D">
              <w:rPr>
                <w:rFonts w:ascii="Times New Roman" w:eastAsia="SimSun" w:hAnsi="Times New Roman" w:cs="Times New Roman"/>
                <w:iCs/>
                <w:color w:val="000000" w:themeColor="text1"/>
                <w:sz w:val="17"/>
                <w:szCs w:val="17"/>
              </w:rPr>
              <w:t xml:space="preserve">The time horizon is </w:t>
            </w:r>
            <w:r w:rsidRPr="0053126D">
              <w:rPr>
                <w:rFonts w:ascii="Times New Roman" w:hAnsi="Times New Roman" w:cs="Times New Roman"/>
                <w:iCs/>
                <w:color w:val="000000" w:themeColor="text1"/>
                <w:sz w:val="17"/>
                <w:szCs w:val="17"/>
              </w:rPr>
              <w:t>678 days.</w:t>
            </w:r>
          </w:p>
        </w:tc>
      </w:tr>
    </w:tbl>
    <w:p w14:paraId="1B61F817" w14:textId="5D6474F4" w:rsidR="006B1A22" w:rsidRPr="0053126D" w:rsidRDefault="006300C7" w:rsidP="006B1A22">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Furthermore, the DM test results in </w:t>
      </w:r>
      <w:r w:rsidR="00B5232E" w:rsidRPr="0053126D">
        <w:rPr>
          <w:rFonts w:ascii="Times New Roman" w:eastAsia="FangSong" w:hAnsi="Times New Roman" w:cs="Times New Roman"/>
          <w:color w:val="000000" w:themeColor="text1"/>
          <w:szCs w:val="22"/>
          <w14:ligatures w14:val="none"/>
        </w:rPr>
        <w:fldChar w:fldCharType="begin"/>
      </w:r>
      <w:r w:rsidR="00B5232E" w:rsidRPr="0053126D">
        <w:rPr>
          <w:rFonts w:ascii="Times New Roman" w:eastAsia="FangSong" w:hAnsi="Times New Roman" w:cs="Times New Roman"/>
          <w:color w:val="000000" w:themeColor="text1"/>
          <w:szCs w:val="22"/>
          <w14:ligatures w14:val="none"/>
        </w:rPr>
        <w:instrText xml:space="preserve"> REF _Ref205224546 \h  \* MERGEFORMAT </w:instrText>
      </w:r>
      <w:r w:rsidR="00B5232E" w:rsidRPr="0053126D">
        <w:rPr>
          <w:rFonts w:ascii="Times New Roman" w:eastAsia="FangSong" w:hAnsi="Times New Roman" w:cs="Times New Roman"/>
          <w:color w:val="000000" w:themeColor="text1"/>
          <w:szCs w:val="22"/>
          <w14:ligatures w14:val="none"/>
        </w:rPr>
      </w:r>
      <w:r w:rsidR="00B5232E" w:rsidRPr="0053126D">
        <w:rPr>
          <w:rFonts w:ascii="Times New Roman" w:eastAsia="FangSong" w:hAnsi="Times New Roman" w:cs="Times New Roman"/>
          <w:color w:val="000000" w:themeColor="text1"/>
          <w:szCs w:val="22"/>
          <w14:ligatures w14:val="none"/>
        </w:rPr>
        <w:fldChar w:fldCharType="separate"/>
      </w:r>
      <w:r w:rsidR="00B5232E" w:rsidRPr="0053126D">
        <w:rPr>
          <w:rFonts w:ascii="Times New Roman" w:eastAsia="FangSong" w:hAnsi="Times New Roman" w:cs="Times New Roman"/>
          <w:color w:val="000000" w:themeColor="text1"/>
          <w:szCs w:val="22"/>
          <w14:ligatures w14:val="none"/>
        </w:rPr>
        <w:t>Table A3</w:t>
      </w:r>
      <w:r w:rsidR="00B5232E"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support the above conclusions. Under the MSE loss function, the prediction error of Model 6 decreased by approximately 5.6% compared to the baseline GJR-GARCH(1,1) model, and by approximately 4.8% under the MAE standard, demonstrating the important role of GPRNK in enhancing long-term volatility modeling. Although Model 4 (containing only RV) performs best under the </w:t>
      </w:r>
      <w:r w:rsidRPr="0053126D">
        <w:rPr>
          <w:rFonts w:ascii="Times New Roman" w:eastAsia="FangSong" w:hAnsi="Times New Roman" w:cs="Times New Roman"/>
          <w:color w:val="000000" w:themeColor="text1"/>
          <w:szCs w:val="22"/>
          <w14:ligatures w14:val="none"/>
        </w:rPr>
        <w:lastRenderedPageBreak/>
        <w:t xml:space="preserve">QLIKE metric, Model 6 still outperforms the other models overall, further validating the effectiveness and robustness of jointly modeling high-frequency market information with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factors.</w:t>
      </w:r>
    </w:p>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325"/>
        <w:gridCol w:w="2325"/>
        <w:gridCol w:w="2321"/>
      </w:tblGrid>
      <w:tr w:rsidR="000F24CC" w:rsidRPr="0053126D" w14:paraId="37EB3C63" w14:textId="77777777" w:rsidTr="006B1A22">
        <w:trPr>
          <w:trHeight w:val="414"/>
          <w:jc w:val="center"/>
        </w:trPr>
        <w:tc>
          <w:tcPr>
            <w:tcW w:w="5000" w:type="pct"/>
            <w:gridSpan w:val="4"/>
            <w:tcBorders>
              <w:top w:val="nil"/>
              <w:bottom w:val="single" w:sz="8" w:space="0" w:color="auto"/>
            </w:tcBorders>
            <w:vAlign w:val="bottom"/>
          </w:tcPr>
          <w:p w14:paraId="11BDC2EA" w14:textId="7C32B6B5" w:rsidR="006B1A22" w:rsidRPr="0053126D" w:rsidRDefault="006B1A22" w:rsidP="006B1A22">
            <w:pPr>
              <w:spacing w:beforeLines="100" w:before="312"/>
              <w:contextualSpacing/>
              <w:jc w:val="both"/>
              <w:rPr>
                <w:rFonts w:ascii="Times New Roman" w:eastAsia="FangSong" w:hAnsi="Times New Roman" w:cs="Times New Roman"/>
                <w:b/>
                <w:bCs/>
                <w:color w:val="000000" w:themeColor="text1"/>
                <w:sz w:val="18"/>
                <w:szCs w:val="18"/>
              </w:rPr>
            </w:pPr>
            <w:bookmarkStart w:id="89" w:name="_Ref205224546"/>
            <w:r w:rsidRPr="0053126D">
              <w:rPr>
                <w:rFonts w:ascii="Times New Roman" w:eastAsia="FangSong" w:hAnsi="Times New Roman" w:cs="Times New Roman"/>
                <w:b/>
                <w:bCs/>
                <w:color w:val="000000" w:themeColor="text1"/>
                <w:sz w:val="18"/>
                <w:szCs w:val="18"/>
              </w:rPr>
              <w:t>Table A</w:t>
            </w:r>
            <w:r w:rsidRPr="0053126D">
              <w:rPr>
                <w:rFonts w:ascii="Times New Roman" w:eastAsia="FangSong" w:hAnsi="Times New Roman" w:cs="Times New Roman"/>
                <w:b/>
                <w:bCs/>
                <w:color w:val="000000" w:themeColor="text1"/>
                <w:sz w:val="18"/>
                <w:szCs w:val="18"/>
              </w:rPr>
              <w:fldChar w:fldCharType="begin"/>
            </w:r>
            <w:r w:rsidRPr="0053126D">
              <w:rPr>
                <w:rFonts w:ascii="Times New Roman" w:eastAsia="FangSong" w:hAnsi="Times New Roman" w:cs="Times New Roman"/>
                <w:b/>
                <w:bCs/>
                <w:color w:val="000000" w:themeColor="text1"/>
                <w:sz w:val="18"/>
                <w:szCs w:val="18"/>
              </w:rPr>
              <w:instrText xml:space="preserve"> SEQ Table_A \* ARABIC </w:instrText>
            </w:r>
            <w:r w:rsidRPr="0053126D">
              <w:rPr>
                <w:rFonts w:ascii="Times New Roman" w:eastAsia="FangSong" w:hAnsi="Times New Roman" w:cs="Times New Roman"/>
                <w:b/>
                <w:bCs/>
                <w:color w:val="000000" w:themeColor="text1"/>
                <w:sz w:val="18"/>
                <w:szCs w:val="18"/>
              </w:rPr>
              <w:fldChar w:fldCharType="separate"/>
            </w:r>
            <w:r w:rsidRPr="0053126D">
              <w:rPr>
                <w:rFonts w:ascii="Times New Roman" w:eastAsia="FangSong" w:hAnsi="Times New Roman" w:cs="Times New Roman"/>
                <w:b/>
                <w:bCs/>
                <w:color w:val="000000" w:themeColor="text1"/>
                <w:sz w:val="18"/>
                <w:szCs w:val="18"/>
              </w:rPr>
              <w:t>3</w:t>
            </w:r>
            <w:r w:rsidRPr="0053126D">
              <w:rPr>
                <w:rFonts w:ascii="Times New Roman" w:eastAsia="FangSong" w:hAnsi="Times New Roman" w:cs="Times New Roman"/>
                <w:b/>
                <w:bCs/>
                <w:color w:val="000000" w:themeColor="text1"/>
                <w:sz w:val="18"/>
                <w:szCs w:val="18"/>
              </w:rPr>
              <w:fldChar w:fldCharType="end"/>
            </w:r>
            <w:bookmarkEnd w:id="89"/>
            <w:r w:rsidRPr="0053126D">
              <w:rPr>
                <w:rFonts w:ascii="Times New Roman" w:eastAsia="FangSong" w:hAnsi="Times New Roman" w:cs="Times New Roman"/>
                <w:b/>
                <w:bCs/>
                <w:color w:val="000000" w:themeColor="text1"/>
                <w:sz w:val="18"/>
                <w:szCs w:val="18"/>
              </w:rPr>
              <w:t xml:space="preserve">. </w:t>
            </w:r>
            <w:r w:rsidRPr="0053126D">
              <w:rPr>
                <w:rFonts w:ascii="Times New Roman" w:eastAsia="FangSong" w:hAnsi="Times New Roman" w:cs="Times New Roman"/>
                <w:color w:val="000000" w:themeColor="text1"/>
                <w:sz w:val="18"/>
                <w:szCs w:val="18"/>
              </w:rPr>
              <w:t>DM test results</w:t>
            </w:r>
          </w:p>
        </w:tc>
      </w:tr>
      <w:tr w:rsidR="000F24CC" w:rsidRPr="0053126D" w14:paraId="6D208C6B" w14:textId="77777777" w:rsidTr="00A7614C">
        <w:trPr>
          <w:trHeight w:val="319"/>
          <w:jc w:val="center"/>
        </w:trPr>
        <w:tc>
          <w:tcPr>
            <w:tcW w:w="1426" w:type="pct"/>
            <w:tcBorders>
              <w:top w:val="single" w:sz="8" w:space="0" w:color="auto"/>
              <w:bottom w:val="single" w:sz="8" w:space="0" w:color="auto"/>
            </w:tcBorders>
            <w:vAlign w:val="center"/>
          </w:tcPr>
          <w:p w14:paraId="56787057"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DM-678 days</w:t>
            </w:r>
          </w:p>
        </w:tc>
        <w:tc>
          <w:tcPr>
            <w:tcW w:w="1192" w:type="pct"/>
            <w:tcBorders>
              <w:top w:val="single" w:sz="8" w:space="0" w:color="auto"/>
              <w:bottom w:val="single" w:sz="8" w:space="0" w:color="auto"/>
            </w:tcBorders>
            <w:vAlign w:val="center"/>
          </w:tcPr>
          <w:p w14:paraId="657A934B" w14:textId="77777777" w:rsidR="006B1A22" w:rsidRPr="0053126D" w:rsidRDefault="006B1A22"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MSE</w:t>
            </w:r>
          </w:p>
        </w:tc>
        <w:tc>
          <w:tcPr>
            <w:tcW w:w="1192" w:type="pct"/>
            <w:tcBorders>
              <w:top w:val="single" w:sz="8" w:space="0" w:color="auto"/>
              <w:bottom w:val="single" w:sz="8" w:space="0" w:color="auto"/>
            </w:tcBorders>
            <w:vAlign w:val="center"/>
          </w:tcPr>
          <w:p w14:paraId="2A718E59" w14:textId="77777777" w:rsidR="006B1A22" w:rsidRPr="0053126D" w:rsidRDefault="006B1A22"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MAE</w:t>
            </w:r>
          </w:p>
        </w:tc>
        <w:tc>
          <w:tcPr>
            <w:tcW w:w="1190" w:type="pct"/>
            <w:tcBorders>
              <w:top w:val="single" w:sz="8" w:space="0" w:color="auto"/>
              <w:bottom w:val="single" w:sz="8" w:space="0" w:color="auto"/>
            </w:tcBorders>
            <w:vAlign w:val="center"/>
          </w:tcPr>
          <w:p w14:paraId="616EA799" w14:textId="77777777" w:rsidR="006B1A22" w:rsidRPr="0053126D" w:rsidRDefault="006B1A22"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QLIKE</w:t>
            </w:r>
          </w:p>
        </w:tc>
      </w:tr>
      <w:tr w:rsidR="000F24CC" w:rsidRPr="0053126D" w14:paraId="4C8A1659" w14:textId="77777777" w:rsidTr="00A7614C">
        <w:trPr>
          <w:trHeight w:val="377"/>
          <w:jc w:val="center"/>
        </w:trPr>
        <w:tc>
          <w:tcPr>
            <w:tcW w:w="1426" w:type="pct"/>
            <w:tcBorders>
              <w:top w:val="single" w:sz="8" w:space="0" w:color="auto"/>
            </w:tcBorders>
            <w:vAlign w:val="center"/>
          </w:tcPr>
          <w:p w14:paraId="14B7DE08"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2</w:t>
            </w:r>
          </w:p>
        </w:tc>
        <w:tc>
          <w:tcPr>
            <w:tcW w:w="1192" w:type="pct"/>
            <w:tcBorders>
              <w:top w:val="single" w:sz="8" w:space="0" w:color="auto"/>
            </w:tcBorders>
          </w:tcPr>
          <w:p w14:paraId="6CCDA7CE"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0.950***</w:t>
            </w:r>
          </w:p>
          <w:p w14:paraId="28AB6DF1"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(-3.605)</w:t>
            </w:r>
          </w:p>
        </w:tc>
        <w:tc>
          <w:tcPr>
            <w:tcW w:w="1192" w:type="pct"/>
            <w:tcBorders>
              <w:top w:val="single" w:sz="8" w:space="0" w:color="auto"/>
            </w:tcBorders>
          </w:tcPr>
          <w:p w14:paraId="53A583CD"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0.960***</w:t>
            </w:r>
          </w:p>
          <w:p w14:paraId="0FBE33BB"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(-5.247)</w:t>
            </w:r>
          </w:p>
        </w:tc>
        <w:tc>
          <w:tcPr>
            <w:tcW w:w="1190" w:type="pct"/>
            <w:tcBorders>
              <w:top w:val="single" w:sz="8" w:space="0" w:color="auto"/>
            </w:tcBorders>
          </w:tcPr>
          <w:p w14:paraId="0ED341C3"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1.003</w:t>
            </w:r>
          </w:p>
          <w:p w14:paraId="598E8B7D" w14:textId="77777777" w:rsidR="006B1A22" w:rsidRPr="0053126D" w:rsidRDefault="006B1A22"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hAnsi="Times New Roman" w:cs="Times New Roman"/>
                <w:color w:val="000000" w:themeColor="text1"/>
                <w:sz w:val="17"/>
                <w:szCs w:val="17"/>
              </w:rPr>
              <w:t>(0.054)</w:t>
            </w:r>
          </w:p>
        </w:tc>
      </w:tr>
      <w:tr w:rsidR="000F24CC" w:rsidRPr="0053126D" w14:paraId="0660A304" w14:textId="77777777" w:rsidTr="00A7614C">
        <w:trPr>
          <w:trHeight w:val="340"/>
          <w:jc w:val="center"/>
        </w:trPr>
        <w:tc>
          <w:tcPr>
            <w:tcW w:w="1426" w:type="pct"/>
            <w:vAlign w:val="center"/>
          </w:tcPr>
          <w:p w14:paraId="6888294C"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4</w:t>
            </w:r>
          </w:p>
        </w:tc>
        <w:tc>
          <w:tcPr>
            <w:tcW w:w="1192" w:type="pct"/>
          </w:tcPr>
          <w:p w14:paraId="4AA54810"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0.993</w:t>
            </w:r>
          </w:p>
          <w:p w14:paraId="41CA6687"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(-1.414)</w:t>
            </w:r>
          </w:p>
        </w:tc>
        <w:tc>
          <w:tcPr>
            <w:tcW w:w="1192" w:type="pct"/>
          </w:tcPr>
          <w:p w14:paraId="0CCC2548"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0.993**</w:t>
            </w:r>
          </w:p>
          <w:p w14:paraId="0EBF05A3"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(-2.193)</w:t>
            </w:r>
          </w:p>
        </w:tc>
        <w:tc>
          <w:tcPr>
            <w:tcW w:w="1190" w:type="pct"/>
          </w:tcPr>
          <w:p w14:paraId="514806D2"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0.966***</w:t>
            </w:r>
          </w:p>
          <w:p w14:paraId="533A8080" w14:textId="77777777" w:rsidR="006B1A22" w:rsidRPr="0053126D" w:rsidRDefault="006B1A22"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hAnsi="Times New Roman" w:cs="Times New Roman"/>
                <w:color w:val="000000" w:themeColor="text1"/>
                <w:sz w:val="17"/>
                <w:szCs w:val="17"/>
              </w:rPr>
              <w:t>(-2.791)</w:t>
            </w:r>
          </w:p>
        </w:tc>
      </w:tr>
      <w:tr w:rsidR="000F24CC" w:rsidRPr="0053126D" w14:paraId="34387B2B" w14:textId="77777777" w:rsidTr="00A7614C">
        <w:trPr>
          <w:trHeight w:val="426"/>
          <w:jc w:val="center"/>
        </w:trPr>
        <w:tc>
          <w:tcPr>
            <w:tcW w:w="1426" w:type="pct"/>
            <w:tcBorders>
              <w:bottom w:val="single" w:sz="8" w:space="0" w:color="auto"/>
            </w:tcBorders>
            <w:vAlign w:val="center"/>
          </w:tcPr>
          <w:p w14:paraId="445A953D"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6</w:t>
            </w:r>
          </w:p>
        </w:tc>
        <w:tc>
          <w:tcPr>
            <w:tcW w:w="1192" w:type="pct"/>
            <w:tcBorders>
              <w:bottom w:val="single" w:sz="8" w:space="0" w:color="auto"/>
            </w:tcBorders>
          </w:tcPr>
          <w:p w14:paraId="621C1542"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0.944***</w:t>
            </w:r>
          </w:p>
          <w:p w14:paraId="6A68657B"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(-3.535)</w:t>
            </w:r>
          </w:p>
        </w:tc>
        <w:tc>
          <w:tcPr>
            <w:tcW w:w="1192" w:type="pct"/>
            <w:tcBorders>
              <w:bottom w:val="single" w:sz="8" w:space="0" w:color="auto"/>
            </w:tcBorders>
          </w:tcPr>
          <w:p w14:paraId="420A1E16"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0.952***</w:t>
            </w:r>
          </w:p>
          <w:p w14:paraId="19311C3E"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(-4.726)</w:t>
            </w:r>
          </w:p>
        </w:tc>
        <w:tc>
          <w:tcPr>
            <w:tcW w:w="1190" w:type="pct"/>
          </w:tcPr>
          <w:p w14:paraId="0C153FBB"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1.007</w:t>
            </w:r>
          </w:p>
          <w:p w14:paraId="263AAE2B" w14:textId="77777777" w:rsidR="006B1A22" w:rsidRPr="0053126D" w:rsidRDefault="006B1A22"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(0.131)</w:t>
            </w:r>
          </w:p>
        </w:tc>
      </w:tr>
      <w:tr w:rsidR="000F24CC" w:rsidRPr="0053126D" w14:paraId="43B591B5" w14:textId="77777777" w:rsidTr="00A7614C">
        <w:trPr>
          <w:trHeight w:val="53"/>
          <w:jc w:val="center"/>
        </w:trPr>
        <w:tc>
          <w:tcPr>
            <w:tcW w:w="5000" w:type="pct"/>
            <w:gridSpan w:val="4"/>
            <w:tcBorders>
              <w:top w:val="single" w:sz="8" w:space="0" w:color="auto"/>
              <w:bottom w:val="nil"/>
            </w:tcBorders>
          </w:tcPr>
          <w:p w14:paraId="75D9E866" w14:textId="77777777" w:rsidR="006B1A22" w:rsidRPr="0053126D" w:rsidRDefault="006B1A22" w:rsidP="00A7614C">
            <w:pPr>
              <w:spacing w:line="0" w:lineRule="atLeast"/>
              <w:jc w:val="both"/>
              <w:rPr>
                <w:rFonts w:ascii="Times New Roman" w:hAnsi="Times New Roman" w:cs="Times New Roman"/>
                <w:iCs/>
                <w:color w:val="000000" w:themeColor="text1"/>
                <w:sz w:val="17"/>
                <w:szCs w:val="17"/>
              </w:rPr>
            </w:pPr>
            <w:r w:rsidRPr="0053126D">
              <w:rPr>
                <w:rFonts w:ascii="Times New Roman" w:hAnsi="Times New Roman" w:cs="Times New Roman"/>
                <w:iCs/>
                <w:color w:val="000000" w:themeColor="text1"/>
                <w:sz w:val="17"/>
                <w:szCs w:val="17"/>
              </w:rPr>
              <w:t>Note: This table shows the results of the Diebold-Mariano forecast evaluation relative to various models for which the GJR-GARCH(1,1) model is used as a benchmark. A ratio of less than 1 indicates that the model predicts volatility better than the benchmark model.DM test statistics are shown in parentheses. The time horizon is 678 days. ***,**,* denote rejection of the original hypothesis at the 1 per cent, 5 per cent and 10 per cent significance levels, respectively.</w:t>
            </w:r>
          </w:p>
        </w:tc>
      </w:tr>
    </w:tbl>
    <w:p w14:paraId="5CA009BF" w14:textId="6C3B9027" w:rsidR="006300C7" w:rsidRPr="0053126D" w:rsidRDefault="006300C7" w:rsidP="006B1A22">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In summary, Model 6 performed well overall under the three main evaluation indicators of MSE, MAE, and QLIKE, validating the high predictive ability of the combination of “realized volatility + GPRNK”. This model significantly improves the accuracy and robustness of long-term volatility prediction, providing a solid theoretical basis and empirical support for stock market volatility modeling.</w:t>
      </w:r>
      <w:bookmarkEnd w:id="87"/>
    </w:p>
    <w:p w14:paraId="648FA7FF" w14:textId="40110E0D" w:rsidR="00E10073" w:rsidRPr="0053126D" w:rsidRDefault="00E10073" w:rsidP="00E10073">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bookmarkStart w:id="90" w:name="OLE_LINK123"/>
      <w:bookmarkStart w:id="91" w:name="OLE_LINK39"/>
      <w:r w:rsidRPr="0053126D">
        <w:rPr>
          <w:rFonts w:ascii="Times New Roman" w:hAnsi="Times New Roman" w:cs="Times New Roman"/>
          <w:b/>
          <w:snapToGrid w:val="0"/>
          <w:color w:val="000000" w:themeColor="text1"/>
          <w:kern w:val="0"/>
          <w:sz w:val="22"/>
          <w:szCs w:val="22"/>
          <w:lang w:bidi="en-US"/>
        </w:rPr>
        <w:t>Appendix H</w:t>
      </w:r>
      <w:bookmarkEnd w:id="90"/>
      <w:r w:rsidRPr="0053126D">
        <w:rPr>
          <w:rFonts w:ascii="Times New Roman" w:hAnsi="Times New Roman" w:cs="Times New Roman"/>
          <w:b/>
          <w:snapToGrid w:val="0"/>
          <w:color w:val="000000" w:themeColor="text1"/>
          <w:kern w:val="0"/>
          <w:sz w:val="22"/>
          <w:szCs w:val="22"/>
          <w:lang w:bidi="en-US"/>
        </w:rPr>
        <w:t>: Conclusions and Implications</w:t>
      </w:r>
    </w:p>
    <w:p w14:paraId="762CDACB" w14:textId="77777777" w:rsidR="00E10073" w:rsidRPr="0053126D" w:rsidRDefault="00E10073" w:rsidP="00E10073">
      <w:pPr>
        <w:pStyle w:val="MDPI22heading2"/>
        <w:spacing w:before="240"/>
        <w:ind w:left="0"/>
        <w:rPr>
          <w:rFonts w:ascii="Times New Roman" w:hAnsi="Times New Roman"/>
          <w:b/>
          <w:bCs/>
          <w:color w:val="000000" w:themeColor="text1"/>
          <w:sz w:val="22"/>
          <w:szCs w:val="28"/>
          <w:lang w:eastAsia="zh-CN"/>
        </w:rPr>
      </w:pPr>
      <w:r w:rsidRPr="0053126D">
        <w:rPr>
          <w:rFonts w:ascii="Times New Roman" w:hAnsi="Times New Roman"/>
          <w:b/>
          <w:bCs/>
          <w:color w:val="000000" w:themeColor="text1"/>
          <w:sz w:val="22"/>
          <w:szCs w:val="28"/>
          <w:lang w:eastAsia="zh-CN"/>
        </w:rPr>
        <w:t>Conclusions</w:t>
      </w:r>
    </w:p>
    <w:p w14:paraId="31D292EF" w14:textId="37BC779A" w:rsidR="00E10073" w:rsidRPr="0053126D" w:rsidRDefault="00E10073" w:rsidP="00E10073">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Based on the GJR-GARCH-MIDAS model, this study empirically examines the impact of GPRNK on the long-term volatility of the Korean KOSPI stock market. The key findings are as follows: First, realized volatility exerts a significant positive effect on long-term volatility, indicating that</w:t>
      </w:r>
      <w:bookmarkStart w:id="92" w:name="OLE_LINK144"/>
      <w:r w:rsidR="00D75C69" w:rsidRPr="0053126D">
        <w:rPr>
          <w:rFonts w:ascii="Times New Roman" w:eastAsia="FangSong" w:hAnsi="Times New Roman" w:cs="Times New Roman"/>
          <w:color w:val="000000" w:themeColor="text1"/>
          <w:szCs w:val="22"/>
          <w14:ligatures w14:val="none"/>
        </w:rPr>
        <w:t xml:space="preserve"> short-term volatility has a cumulative impact on long-term market risk.</w:t>
      </w:r>
      <w:bookmarkEnd w:id="92"/>
      <w:r w:rsidR="00D75C69" w:rsidRPr="0053126D">
        <w:rPr>
          <w:rFonts w:ascii="Times New Roman" w:eastAsia="FangSong" w:hAnsi="Times New Roman" w:cs="Times New Roman"/>
          <w:color w:val="000000" w:themeColor="text1"/>
          <w:szCs w:val="22"/>
          <w14:ligatures w14:val="none"/>
        </w:rPr>
        <w:t xml:space="preserve"> </w:t>
      </w:r>
      <w:r w:rsidRPr="0053126D">
        <w:rPr>
          <w:rFonts w:ascii="Times New Roman" w:eastAsia="FangSong" w:hAnsi="Times New Roman" w:cs="Times New Roman"/>
          <w:color w:val="000000" w:themeColor="text1"/>
          <w:szCs w:val="22"/>
          <w14:ligatures w14:val="none"/>
        </w:rPr>
        <w:t xml:space="preserve">Second, GPRNK </w:t>
      </w:r>
      <w:r w:rsidR="00D75C69" w:rsidRPr="0053126D">
        <w:rPr>
          <w:rFonts w:ascii="Times New Roman" w:eastAsia="FangSong" w:hAnsi="Times New Roman" w:cs="Times New Roman"/>
          <w:color w:val="000000" w:themeColor="text1"/>
          <w:szCs w:val="22"/>
          <w14:ligatures w14:val="none"/>
        </w:rPr>
        <w:t>exhibits a significant negative effect on long-term volatility, suggesting that heightened geopolitical tensions may prompt conservative or wait-and-see behavior among investors, thereby mitigat</w:t>
      </w:r>
      <w:r w:rsidRPr="0053126D">
        <w:rPr>
          <w:rFonts w:ascii="Times New Roman" w:eastAsia="FangSong" w:hAnsi="Times New Roman" w:cs="Times New Roman"/>
          <w:color w:val="000000" w:themeColor="text1"/>
          <w:szCs w:val="22"/>
          <w14:ligatures w14:val="none"/>
        </w:rPr>
        <w:t>ing long-term volatility through market adaptation. Third, incorporating both realized volatility and GPRNK significantly enhances the model’s predictive performance, reducing forecast error by approximately 4.2%</w:t>
      </w:r>
      <w:r w:rsidR="00D75C69" w:rsidRPr="0053126D">
        <w:rPr>
          <w:rFonts w:ascii="Times New Roman" w:eastAsia="FangSong" w:hAnsi="Times New Roman" w:cs="Times New Roman"/>
          <w:color w:val="000000" w:themeColor="text1"/>
          <w:szCs w:val="22"/>
          <w14:ligatures w14:val="none"/>
        </w:rPr>
        <w:t>. This underscores</w:t>
      </w:r>
      <w:r w:rsidRPr="0053126D">
        <w:rPr>
          <w:rFonts w:ascii="Times New Roman" w:eastAsia="FangSong" w:hAnsi="Times New Roman" w:cs="Times New Roman"/>
          <w:color w:val="000000" w:themeColor="text1"/>
          <w:szCs w:val="22"/>
          <w14:ligatures w14:val="none"/>
        </w:rPr>
        <w:t xml:space="preserve"> the value of integrating high-frequency market dynamics with low-frequency geopolitical indicators in modeling long-term stock market volatility.</w:t>
      </w:r>
    </w:p>
    <w:p w14:paraId="765BB7F5" w14:textId="77777777" w:rsidR="00E10073" w:rsidRPr="0053126D" w:rsidRDefault="00E10073" w:rsidP="00E10073">
      <w:pPr>
        <w:pStyle w:val="MDPI22heading2"/>
        <w:spacing w:before="240"/>
        <w:ind w:left="0"/>
        <w:rPr>
          <w:rFonts w:ascii="Times New Roman" w:hAnsi="Times New Roman"/>
          <w:b/>
          <w:bCs/>
          <w:color w:val="000000" w:themeColor="text1"/>
          <w:sz w:val="22"/>
          <w:szCs w:val="28"/>
          <w:lang w:eastAsia="zh-CN"/>
        </w:rPr>
      </w:pPr>
      <w:r w:rsidRPr="0053126D">
        <w:rPr>
          <w:rFonts w:ascii="Times New Roman" w:hAnsi="Times New Roman"/>
          <w:b/>
          <w:bCs/>
          <w:color w:val="000000" w:themeColor="text1"/>
          <w:sz w:val="22"/>
          <w:szCs w:val="28"/>
          <w:lang w:eastAsia="zh-CN"/>
        </w:rPr>
        <w:t>Discussion</w:t>
      </w:r>
    </w:p>
    <w:p w14:paraId="19645550" w14:textId="15522B0D" w:rsidR="009B6F6B" w:rsidRPr="0053126D" w:rsidRDefault="009B6F6B" w:rsidP="009B6F6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93" w:name="OLE_LINK146"/>
      <w:r w:rsidRPr="0053126D">
        <w:rPr>
          <w:rFonts w:ascii="Times New Roman" w:eastAsia="FangSong" w:hAnsi="Times New Roman" w:cs="Times New Roman"/>
          <w:color w:val="000000" w:themeColor="text1"/>
          <w:szCs w:val="22"/>
          <w14:ligatures w14:val="none"/>
        </w:rPr>
        <w:t>This study finds that GPRNK exerts a significant negative impact on the long-term volatility of the South Korean stock market. This result aligns with existing theoretical and empirical research on the transmission of exogenous risks to financial market behavior. First, from a behavioral finance perspective, the phenomenon of volatility gradually diminishing over time is consistent with the concepts of habit formation and adaptive expectations</w:t>
      </w:r>
      <w:r w:rsidR="00B04806" w:rsidRPr="0053126D">
        <w:rPr>
          <w:rFonts w:ascii="Times New Roman" w:eastAsia="FangSong" w:hAnsi="Times New Roman" w:cs="Times New Roman" w:hint="eastAsia"/>
          <w:color w:val="000000" w:themeColor="text1"/>
          <w:szCs w:val="22"/>
          <w14:ligatures w14:val="none"/>
        </w:rPr>
        <w:t xml:space="preserve"> </w:t>
      </w:r>
      <w:r w:rsidR="00B04806"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&lt;EndNote&gt;&lt;Cite&gt;&lt;Author&gt;Bordalo&lt;/Author&gt;&lt;Year&gt;2020&lt;/Year&gt;&lt;RecNum&gt;22&lt;/RecNum&gt;&lt;DisplayText&gt;(Bordalo et al., 2020)&lt;/DisplayText&gt;&lt;record&gt;&lt;rec-number&gt;22&lt;/rec-number&gt;&lt;foreign-keys&gt;&lt;key app="EN" db-id="v0ffzw0attzvegext9k5ed51e5az2zvssta9" timestamp="1754290570"&gt;22&lt;/key&gt;&lt;/foreign-keys&gt;&lt;ref-type name="Journal Article"&gt;17&lt;/ref-type&gt;&lt;contributors&gt;&lt;authors&gt;&lt;author&gt;Bordalo, Pedro&lt;/author&gt;&lt;author&gt;Gennaioli, Nicola&lt;/author&gt;&lt;author&gt;Ma, Yueran&lt;/author&gt;&lt;author&gt;Shleifer, Andrei&lt;/author&gt;&lt;/authors&gt;&lt;/contributors&gt;&lt;titles&gt;&lt;title&gt;Overreaction in Macroeconomic Expectations&lt;/title&gt;&lt;secondary-title&gt;American Economic Review&lt;/secondary-title&gt;&lt;/titles&gt;&lt;periodical&gt;&lt;full-title&gt;American Economic Review&lt;/full-title&gt;&lt;/periodical&gt;&lt;pages&gt;2748-82&lt;/pages&gt;&lt;volume&gt;110&lt;/volume&gt;&lt;number&gt;9&lt;/number&gt;&lt;dates&gt;&lt;year&gt;2020&lt;/year&gt;&lt;/dates&gt;&lt;urls&gt;&lt;related-urls&gt;&lt;url&gt;https://www.aeaweb.org/articles?id=10.1257/aer.20181219&lt;/url&gt;&lt;/related-urls&gt;&lt;/urls&gt;&lt;electronic-resource-num&gt;https://doi.org/10.1257/aer.20181219&lt;/electronic-resource-num&gt;&lt;/record&gt;&lt;/Cite&gt;&lt;/EndNote&gt;</w:instrText>
      </w:r>
      <w:r w:rsidR="00B04806" w:rsidRPr="0053126D">
        <w:rPr>
          <w:rFonts w:ascii="Times New Roman" w:eastAsia="FangSong" w:hAnsi="Times New Roman" w:cs="Times New Roman"/>
          <w:color w:val="000000" w:themeColor="text1"/>
          <w:szCs w:val="22"/>
          <w14:ligatures w14:val="none"/>
        </w:rPr>
        <w:fldChar w:fldCharType="separate"/>
      </w:r>
      <w:r w:rsidR="00B04806" w:rsidRPr="0053126D">
        <w:rPr>
          <w:rFonts w:ascii="Times New Roman" w:eastAsia="FangSong" w:hAnsi="Times New Roman" w:cs="Times New Roman"/>
          <w:noProof/>
          <w:color w:val="000000" w:themeColor="text1"/>
          <w:szCs w:val="22"/>
          <w14:ligatures w14:val="none"/>
        </w:rPr>
        <w:t>(Bordalo et al., 2020)</w:t>
      </w:r>
      <w:r w:rsidR="00B04806"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xml:space="preserve">. Amid persistent geopolitical tensions, investors recalibrate their risk </w:t>
      </w:r>
      <w:r w:rsidRPr="0053126D">
        <w:rPr>
          <w:rFonts w:ascii="Times New Roman" w:eastAsia="FangSong" w:hAnsi="Times New Roman" w:cs="Times New Roman"/>
          <w:color w:val="000000" w:themeColor="text1"/>
          <w:szCs w:val="22"/>
          <w14:ligatures w14:val="none"/>
        </w:rPr>
        <w:lastRenderedPageBreak/>
        <w:t>perceptions, forming “risk-adaptive expectations” that reduce sensitivity to recurring shocks</w:t>
      </w:r>
      <w:r w:rsidR="00B04806" w:rsidRPr="0053126D">
        <w:rPr>
          <w:rFonts w:ascii="Times New Roman" w:eastAsia="FangSong" w:hAnsi="Times New Roman" w:cs="Times New Roman" w:hint="eastAsia"/>
          <w:color w:val="000000" w:themeColor="text1"/>
          <w:szCs w:val="22"/>
          <w14:ligatures w14:val="none"/>
        </w:rPr>
        <w:t xml:space="preserve"> </w:t>
      </w:r>
      <w:r w:rsidR="00B04806" w:rsidRPr="0053126D">
        <w:rPr>
          <w:rFonts w:ascii="Times New Roman" w:eastAsia="FangSong" w:hAnsi="Times New Roman" w:cs="Times New Roman"/>
          <w:color w:val="000000" w:themeColor="text1"/>
          <w:szCs w:val="22"/>
          <w14:ligatures w14:val="none"/>
        </w:rPr>
        <w:fldChar w:fldCharType="begin"/>
      </w:r>
      <w:r w:rsidR="00B04806" w:rsidRPr="0053126D">
        <w:rPr>
          <w:rFonts w:ascii="Times New Roman" w:eastAsia="FangSong" w:hAnsi="Times New Roman" w:cs="Times New Roman"/>
          <w:color w:val="000000" w:themeColor="text1"/>
          <w:szCs w:val="22"/>
          <w14:ligatures w14:val="none"/>
        </w:rPr>
        <w:instrText xml:space="preserve"> ADDIN EN.CITE &lt;EndNote&gt;&lt;Cite&gt;&lt;Author&gt;Kim&lt;/Author&gt;&lt;Year&gt;2014&lt;/Year&gt;&lt;RecNum&gt;14&lt;/RecNum&gt;&lt;DisplayText&gt;(Kim &amp;amp; Roland, 2014)&lt;/DisplayText&gt;&lt;record&gt;&lt;rec-number&gt;14&lt;/rec-number&gt;&lt;foreign-keys&gt;&lt;key app="EN" db-id="v0ffzw0attzvegext9k5ed51e5az2zvssta9" timestamp="1754286938"&gt;14&lt;/key&gt;&lt;/foreign-keys&gt;&lt;ref-type name="Journal Article"&gt;17&lt;/ref-type&gt;&lt;contributors&gt;&lt;authors&gt;&lt;author&gt;Kim, Byung-Yeon&lt;/author&gt;&lt;author&gt;Roland, Gérard&lt;/author&gt;&lt;/authors&gt;&lt;/contributors&gt;&lt;titles&gt;&lt;title&gt;How credible is the North Korean threat?&lt;/title&gt;&lt;secondary-title&gt;Economics of Transition&lt;/secondary-title&gt;&lt;/titles&gt;&lt;periodical&gt;&lt;full-title&gt;Economics of Transition&lt;/full-title&gt;&lt;/periodical&gt;&lt;pages&gt;433-459&lt;/pages&gt;&lt;volume&gt;22&lt;/volume&gt;&lt;number&gt;3&lt;/number&gt;&lt;keywords&gt;&lt;keyword&gt;Event studies&lt;/keyword&gt;&lt;keyword&gt;North Korean threat&lt;/keyword&gt;&lt;keyword&gt;South Korea&lt;/keyword&gt;&lt;keyword&gt;political economy&lt;/keyword&gt;&lt;keyword&gt;aggregation of information on financial markets&lt;/keyword&gt;&lt;/keywords&gt;&lt;dates&gt;&lt;year&gt;2014&lt;/year&gt;&lt;pub-dates&gt;&lt;date&gt;2014/07/01&lt;/date&gt;&lt;/pub-dates&gt;&lt;/dates&gt;&lt;publisher&gt;John Wiley &amp;amp; Sons, Ltd&lt;/publisher&gt;&lt;isbn&gt;0967-0750&lt;/isbn&gt;&lt;urls&gt;&lt;related-urls&gt;&lt;url&gt;https://doi.org/10.1111/ecot.12044&lt;/url&gt;&lt;/related-urls&gt;&lt;/urls&gt;&lt;electronic-resource-num&gt;https://doi.org/10.1111/ecot.12044&lt;/electronic-resource-num&gt;&lt;access-date&gt;2025/08/03&lt;/access-date&gt;&lt;/record&gt;&lt;/Cite&gt;&lt;/EndNote&gt;</w:instrText>
      </w:r>
      <w:r w:rsidR="00B04806" w:rsidRPr="0053126D">
        <w:rPr>
          <w:rFonts w:ascii="Times New Roman" w:eastAsia="FangSong" w:hAnsi="Times New Roman" w:cs="Times New Roman"/>
          <w:color w:val="000000" w:themeColor="text1"/>
          <w:szCs w:val="22"/>
          <w14:ligatures w14:val="none"/>
        </w:rPr>
        <w:fldChar w:fldCharType="separate"/>
      </w:r>
      <w:r w:rsidR="00B04806" w:rsidRPr="0053126D">
        <w:rPr>
          <w:rFonts w:ascii="Times New Roman" w:eastAsia="FangSong" w:hAnsi="Times New Roman" w:cs="Times New Roman"/>
          <w:noProof/>
          <w:color w:val="000000" w:themeColor="text1"/>
          <w:szCs w:val="22"/>
          <w14:ligatures w14:val="none"/>
        </w:rPr>
        <w:t>(Kim &amp; Roland, 2014)</w:t>
      </w:r>
      <w:r w:rsidR="00B04806"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This mechanism also aligns with prospect theory predictions: repeated exposure to losses alters reference points and mitigates the adverse effects of diminishing marginal utility</w:t>
      </w:r>
      <w:r w:rsidR="007E071B" w:rsidRPr="0053126D">
        <w:rPr>
          <w:rFonts w:ascii="Times New Roman" w:eastAsia="FangSong" w:hAnsi="Times New Roman" w:cs="Times New Roman" w:hint="eastAsia"/>
          <w:color w:val="000000" w:themeColor="text1"/>
          <w:szCs w:val="22"/>
          <w14:ligatures w14:val="none"/>
        </w:rPr>
        <w:t xml:space="preserve"> </w:t>
      </w:r>
      <w:r w:rsidR="007E071B" w:rsidRPr="0053126D">
        <w:rPr>
          <w:rFonts w:ascii="Times New Roman" w:eastAsia="FangSong" w:hAnsi="Times New Roman" w:cs="Times New Roman"/>
          <w:color w:val="000000" w:themeColor="text1"/>
          <w:szCs w:val="22"/>
          <w14:ligatures w14:val="none"/>
        </w:rPr>
        <w:fldChar w:fldCharType="begin"/>
      </w:r>
      <w:r w:rsidR="007E071B" w:rsidRPr="0053126D">
        <w:rPr>
          <w:rFonts w:ascii="Times New Roman" w:eastAsia="FangSong" w:hAnsi="Times New Roman" w:cs="Times New Roman"/>
          <w:color w:val="000000" w:themeColor="text1"/>
          <w:szCs w:val="22"/>
          <w14:ligatures w14:val="none"/>
        </w:rPr>
        <w:instrText xml:space="preserve"> ADDIN EN.CITE &lt;EndNote&gt;&lt;Cite&gt;&lt;Author&gt;Kahneman&lt;/Author&gt;&lt;Year&gt;1979&lt;/Year&gt;&lt;RecNum&gt;45&lt;/RecNum&gt;&lt;DisplayText&gt;(Kahneman &amp;amp; Tversky, 1979)&lt;/DisplayText&gt;&lt;record&gt;&lt;rec-number&gt;45&lt;/rec-number&gt;&lt;foreign-keys&gt;&lt;key app="EN" db-id="v0ffzw0attzvegext9k5ed51e5az2zvssta9" timestamp="1759383248"&gt;45&lt;/key&gt;&lt;/foreign-keys&gt;&lt;ref-type name="Journal Article"&gt;17&lt;/ref-type&gt;&lt;contributors&gt;&lt;authors&gt;&lt;author&gt;Kahneman, Daniel&lt;/author&gt;&lt;author&gt;Tversky, Amos&lt;/author&gt;&lt;/authors&gt;&lt;/contributors&gt;&lt;titles&gt;&lt;title&gt;Prospect Theory: An Analysis of Decision under Risk&lt;/title&gt;&lt;secondary-title&gt;Econometrica&lt;/secondary-title&gt;&lt;/titles&gt;&lt;periodical&gt;&lt;full-title&gt;Econometrica&lt;/full-title&gt;&lt;/periodical&gt;&lt;pages&gt;263-291&lt;/pages&gt;&lt;volume&gt;47&lt;/volume&gt;&lt;number&gt;2&lt;/number&gt;&lt;dates&gt;&lt;year&gt;1979&lt;/year&gt;&lt;/dates&gt;&lt;publisher&gt;[Wiley, Econometric Society]&lt;/publisher&gt;&lt;isbn&gt;00129682, 14680262&lt;/isbn&gt;&lt;urls&gt;&lt;related-urls&gt;&lt;url&gt;http://www.jstor.org/stable/1914185&lt;/url&gt;&lt;/related-urls&gt;&lt;/urls&gt;&lt;custom1&gt;Full publication date: Mar., 1979&lt;/custom1&gt;&lt;electronic-resource-num&gt;https://doi.org/10.2307/1914185&lt;/electronic-resource-num&gt;&lt;remote-database-name&gt;JSTOR&lt;/remote-database-name&gt;&lt;access-date&gt;2025/10/02/&lt;/access-date&gt;&lt;/record&gt;&lt;/Cite&gt;&lt;/EndNote&gt;</w:instrText>
      </w:r>
      <w:r w:rsidR="007E071B" w:rsidRPr="0053126D">
        <w:rPr>
          <w:rFonts w:ascii="Times New Roman" w:eastAsia="FangSong" w:hAnsi="Times New Roman" w:cs="Times New Roman"/>
          <w:color w:val="000000" w:themeColor="text1"/>
          <w:szCs w:val="22"/>
          <w14:ligatures w14:val="none"/>
        </w:rPr>
        <w:fldChar w:fldCharType="separate"/>
      </w:r>
      <w:r w:rsidR="007E071B" w:rsidRPr="0053126D">
        <w:rPr>
          <w:rFonts w:ascii="Times New Roman" w:eastAsia="FangSong" w:hAnsi="Times New Roman" w:cs="Times New Roman"/>
          <w:noProof/>
          <w:color w:val="000000" w:themeColor="text1"/>
          <w:szCs w:val="22"/>
          <w14:ligatures w14:val="none"/>
        </w:rPr>
        <w:t>(Kahneman &amp; Tversky, 1979)</w:t>
      </w:r>
      <w:r w:rsidR="007E07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p>
    <w:p w14:paraId="39298AA5" w14:textId="73C37EC2" w:rsidR="009B6F6B" w:rsidRPr="0053126D" w:rsidRDefault="009B6F6B" w:rsidP="009B6F6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Second, the information accumulation and volatility transmission theory suggests that high-frequency shocks influence long-term volatility through temporal aggregation effects</w:t>
      </w:r>
      <w:r w:rsidR="007E071B" w:rsidRPr="0053126D">
        <w:rPr>
          <w:rFonts w:ascii="Times New Roman" w:eastAsia="FangSong" w:hAnsi="Times New Roman" w:cs="Times New Roman" w:hint="eastAsia"/>
          <w:color w:val="000000" w:themeColor="text1"/>
          <w:szCs w:val="22"/>
          <w14:ligatures w14:val="none"/>
        </w:rPr>
        <w:t xml:space="preserve"> </w:t>
      </w:r>
      <w:r w:rsidR="007E071B" w:rsidRPr="0053126D">
        <w:rPr>
          <w:rFonts w:ascii="Times New Roman" w:eastAsia="FangSong" w:hAnsi="Times New Roman" w:cs="Times New Roman"/>
          <w:color w:val="000000" w:themeColor="text1"/>
          <w:szCs w:val="22"/>
          <w14:ligatures w14:val="none"/>
        </w:rPr>
        <w:fldChar w:fldCharType="begin"/>
      </w:r>
      <w:r w:rsidR="00866D4D" w:rsidRPr="0053126D">
        <w:rPr>
          <w:rFonts w:ascii="Times New Roman" w:eastAsia="FangSong" w:hAnsi="Times New Roman" w:cs="Times New Roman"/>
          <w:color w:val="000000" w:themeColor="text1"/>
          <w:szCs w:val="22"/>
          <w14:ligatures w14:val="none"/>
        </w:rPr>
        <w:instrText xml:space="preserve"> ADDIN EN.CITE &lt;EndNote&gt;&lt;Cite&gt;&lt;Author&gt;Corsi&lt;/Author&gt;&lt;Year&gt;2009&lt;/Year&gt;&lt;RecNum&gt;23&lt;/RecNum&gt;&lt;DisplayText&gt;(Corsi, 2009)&lt;/DisplayText&gt;&lt;record&gt;&lt;rec-number&gt;23&lt;/rec-number&gt;&lt;foreign-keys&gt;&lt;key app="EN" db-id="v0ffzw0attzvegext9k5ed51e5az2zvssta9" timestamp="1754290795"&gt;23&lt;/key&gt;&lt;/foreign-keys&gt;&lt;ref-type name="Journal Article"&gt;17&lt;/ref-type&gt;&lt;contributors&gt;&lt;authors&gt;&lt;author&gt;Corsi, Fulvio&lt;/author&gt;&lt;/authors&gt;&lt;/contributors&gt;&lt;titles&gt;&lt;title&gt;A Simple Approximate Long-Memory Model of Realized Volatility&lt;/title&gt;&lt;secondary-title&gt;Journal of Financial Econometrics&lt;/secondary-title&gt;&lt;/titles&gt;&lt;periodical&gt;&lt;full-title&gt;Journal of Financial Econometrics&lt;/full-title&gt;&lt;/periodical&gt;&lt;pages&gt;174-196&lt;/pages&gt;&lt;volume&gt;7&lt;/volume&gt;&lt;number&gt;2&lt;/number&gt;&lt;dates&gt;&lt;year&gt;2009&lt;/year&gt;&lt;/dates&gt;&lt;isbn&gt;1479-8409&lt;/isbn&gt;&lt;urls&gt;&lt;related-urls&gt;&lt;url&gt;https://doi.org/10.1093/jjfinec/nbp001&lt;/url&gt;&lt;/related-urls&gt;&lt;/urls&gt;&lt;electronic-resource-num&gt;https://doi.org/10.1093/jjfinec/nbp001&lt;/electronic-resource-num&gt;&lt;access-date&gt;8/4/2025&lt;/access-date&gt;&lt;/record&gt;&lt;/Cite&gt;&lt;/EndNote&gt;</w:instrText>
      </w:r>
      <w:r w:rsidR="007E071B" w:rsidRPr="0053126D">
        <w:rPr>
          <w:rFonts w:ascii="Times New Roman" w:eastAsia="FangSong" w:hAnsi="Times New Roman" w:cs="Times New Roman"/>
          <w:color w:val="000000" w:themeColor="text1"/>
          <w:szCs w:val="22"/>
          <w14:ligatures w14:val="none"/>
        </w:rPr>
        <w:fldChar w:fldCharType="separate"/>
      </w:r>
      <w:r w:rsidR="007E071B" w:rsidRPr="0053126D">
        <w:rPr>
          <w:rFonts w:ascii="Times New Roman" w:eastAsia="FangSong" w:hAnsi="Times New Roman" w:cs="Times New Roman"/>
          <w:noProof/>
          <w:color w:val="000000" w:themeColor="text1"/>
          <w:szCs w:val="22"/>
          <w14:ligatures w14:val="none"/>
        </w:rPr>
        <w:t>(Corsi, 2009)</w:t>
      </w:r>
      <w:r w:rsidR="007E07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Thus, realized volatility becomes a key proxy for measuring the arrival and persistence of information. Our results demonstrate that incorporating GPRNK, an exogenous non-economic risk factor, significantly enhances the predictive power of long-term volatility in high-volatility environments, complementing the explanatory power of traditional macroeconomic indicators</w:t>
      </w:r>
      <w:r w:rsidR="007E071B" w:rsidRPr="0053126D">
        <w:rPr>
          <w:rFonts w:ascii="Times New Roman" w:eastAsia="FangSong" w:hAnsi="Times New Roman" w:cs="Times New Roman" w:hint="eastAsia"/>
          <w:color w:val="000000" w:themeColor="text1"/>
          <w:szCs w:val="22"/>
          <w14:ligatures w14:val="none"/>
        </w:rPr>
        <w:t xml:space="preserve"> </w:t>
      </w:r>
      <w:r w:rsidR="007E071B" w:rsidRPr="0053126D">
        <w:rPr>
          <w:rFonts w:ascii="Times New Roman" w:eastAsia="FangSong" w:hAnsi="Times New Roman" w:cs="Times New Roman"/>
          <w:color w:val="000000" w:themeColor="text1"/>
          <w:szCs w:val="22"/>
          <w14:ligatures w14:val="none"/>
        </w:rPr>
        <w:fldChar w:fldCharType="begin"/>
      </w:r>
      <w:r w:rsidR="007E071B" w:rsidRPr="0053126D">
        <w:rPr>
          <w:rFonts w:ascii="Times New Roman" w:eastAsia="FangSong" w:hAnsi="Times New Roman" w:cs="Times New Roman"/>
          <w:color w:val="000000" w:themeColor="text1"/>
          <w:szCs w:val="22"/>
          <w14:ligatures w14:val="none"/>
        </w:rPr>
        <w:instrText xml:space="preserve"> ADDIN EN.CITE &lt;EndNote&gt;&lt;Cite&gt;&lt;Author&gt;Salisu&lt;/Author&gt;&lt;Year&gt;2022&lt;/Year&gt;&lt;RecNum&gt;24&lt;/RecNum&gt;&lt;DisplayText&gt;(Salisu et al., 2022)&lt;/DisplayText&gt;&lt;record&gt;&lt;rec-number&gt;24&lt;/rec-number&gt;&lt;foreign-keys&gt;&lt;key app="EN" db-id="v0ffzw0attzvegext9k5ed51e5az2zvssta9" timestamp="1754291269"&gt;24&lt;/key&gt;&lt;/foreign-keys&gt;&lt;ref-type name="Journal Article"&gt;17&lt;/ref-type&gt;&lt;contributors&gt;&lt;authors&gt;&lt;author&gt;Salisu, Afees A.&lt;/author&gt;&lt;author&gt;Ogbonna, Ahamuefula E.&lt;/author&gt;&lt;author&gt;Lasisi, Lukman&lt;/author&gt;&lt;author&gt;Olaniran, Abeeb&lt;/author&gt;&lt;/authors&gt;&lt;/contributors&gt;&lt;titles&gt;&lt;title&gt;Geopolitical risk and stock market volatility in emerging markets: A GARCH – MIDAS approach&lt;/title&gt;&lt;secondary-title&gt;The North American Journal of Economics and Finance&lt;/secondary-title&gt;&lt;/titles&gt;&lt;periodical&gt;&lt;full-title&gt;The North American Journal of Economics and Finance&lt;/full-title&gt;&lt;/periodical&gt;&lt;pages&gt;101755&lt;/pages&gt;&lt;volume&gt;62&lt;/volume&gt;&lt;keywords&gt;&lt;keyword&gt;Geopolitical risk&lt;/keyword&gt;&lt;keyword&gt;Stock market volatility&lt;/keyword&gt;&lt;keyword&gt;Emerging markets&lt;/keyword&gt;&lt;keyword&gt;GARCH-MIDAS&lt;/keyword&gt;&lt;/keywords&gt;&lt;dates&gt;&lt;year&gt;2022&lt;/year&gt;&lt;pub-dates&gt;&lt;date&gt;2022/11/01/&lt;/date&gt;&lt;/pub-dates&gt;&lt;/dates&gt;&lt;isbn&gt;1062-9408&lt;/isbn&gt;&lt;urls&gt;&lt;related-urls&gt;&lt;url&gt;https://www.sciencedirect.com/science/article/pii/S1062940822001024&lt;/url&gt;&lt;/related-urls&gt;&lt;/urls&gt;&lt;electronic-resource-num&gt;https://doi.org/10.1016/j.najef.2022.101755&lt;/electronic-resource-num&gt;&lt;/record&gt;&lt;/Cite&gt;&lt;/EndNote&gt;</w:instrText>
      </w:r>
      <w:r w:rsidR="007E071B" w:rsidRPr="0053126D">
        <w:rPr>
          <w:rFonts w:ascii="Times New Roman" w:eastAsia="FangSong" w:hAnsi="Times New Roman" w:cs="Times New Roman"/>
          <w:color w:val="000000" w:themeColor="text1"/>
          <w:szCs w:val="22"/>
          <w14:ligatures w14:val="none"/>
        </w:rPr>
        <w:fldChar w:fldCharType="separate"/>
      </w:r>
      <w:r w:rsidR="007E071B" w:rsidRPr="0053126D">
        <w:rPr>
          <w:rFonts w:ascii="Times New Roman" w:eastAsia="FangSong" w:hAnsi="Times New Roman" w:cs="Times New Roman"/>
          <w:noProof/>
          <w:color w:val="000000" w:themeColor="text1"/>
          <w:szCs w:val="22"/>
          <w14:ligatures w14:val="none"/>
        </w:rPr>
        <w:t>(Salisu et al., 2022)</w:t>
      </w:r>
      <w:r w:rsidR="007E07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w:t>
      </w:r>
    </w:p>
    <w:p w14:paraId="09B8B8B5" w14:textId="45E60E9E" w:rsidR="009B6F6B" w:rsidRPr="0053126D" w:rsidRDefault="009B6F6B" w:rsidP="009B6F6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Furthermore, the investor reaction heterogeneity framework emphasizes that investor responses to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vary depending on event characteristics, market structures, and behavioral biases (such as overreaction, herd behavior, and attention constraints)</w:t>
      </w:r>
      <w:r w:rsidR="007E071B" w:rsidRPr="0053126D">
        <w:rPr>
          <w:rFonts w:ascii="Times New Roman" w:eastAsia="FangSong" w:hAnsi="Times New Roman" w:cs="Times New Roman" w:hint="eastAsia"/>
          <w:color w:val="000000" w:themeColor="text1"/>
          <w:szCs w:val="22"/>
          <w14:ligatures w14:val="none"/>
        </w:rPr>
        <w:t xml:space="preserve"> </w:t>
      </w:r>
      <w:r w:rsidR="007E071B" w:rsidRPr="0053126D">
        <w:rPr>
          <w:rFonts w:ascii="Times New Roman" w:eastAsia="FangSong" w:hAnsi="Times New Roman" w:cs="Times New Roman"/>
          <w:color w:val="000000" w:themeColor="text1"/>
          <w:szCs w:val="22"/>
          <w14:ligatures w14:val="none"/>
        </w:rPr>
        <w:fldChar w:fldCharType="begin"/>
      </w:r>
      <w:r w:rsidR="007E071B" w:rsidRPr="0053126D">
        <w:rPr>
          <w:rFonts w:ascii="Times New Roman" w:eastAsia="FangSong" w:hAnsi="Times New Roman" w:cs="Times New Roman"/>
          <w:color w:val="000000" w:themeColor="text1"/>
          <w:szCs w:val="22"/>
          <w14:ligatures w14:val="none"/>
        </w:rPr>
        <w:instrText xml:space="preserve"> ADDIN EN.CITE &lt;EndNote&gt;&lt;Cite&gt;&lt;Author&gt;BEKAERT&lt;/Author&gt;&lt;Year&gt;2014&lt;/Year&gt;&lt;RecNum&gt;46&lt;/RecNum&gt;&lt;DisplayText&gt;(BEKAERT et al., 2014)&lt;/DisplayText&gt;&lt;record&gt;&lt;rec-number&gt;46&lt;/rec-number&gt;&lt;foreign-keys&gt;&lt;key app="EN" db-id="v0ffzw0attzvegext9k5ed51e5az2zvssta9" timestamp="1759383742"&gt;46&lt;/key&gt;&lt;/foreign-keys&gt;&lt;ref-type name="Journal Article"&gt;17&lt;/ref-type&gt;&lt;contributors&gt;&lt;authors&gt;&lt;author&gt;BEKAERT, GEERT&lt;/author&gt;&lt;author&gt;EHRMANN, MICHAEL&lt;/author&gt;&lt;author&gt;FRATZSCHER, MARCEL&lt;/author&gt;&lt;author&gt;MEHL, ARNAUD&lt;/author&gt;&lt;/authors&gt;&lt;/contributors&gt;&lt;titles&gt;&lt;title&gt;The Global Crisis and Equity Market Contagion&lt;/title&gt;&lt;secondary-title&gt;The Journal of Finance&lt;/secondary-title&gt;&lt;/titles&gt;&lt;periodical&gt;&lt;full-title&gt;The Journal of Finance&lt;/full-title&gt;&lt;/periodical&gt;&lt;pages&gt;2597-2649&lt;/pages&gt;&lt;volume&gt;69&lt;/volume&gt;&lt;number&gt;6&lt;/number&gt;&lt;dates&gt;&lt;year&gt;2014&lt;/year&gt;&lt;/dates&gt;&lt;isbn&gt;0022-1082&lt;/isbn&gt;&lt;urls&gt;&lt;related-urls&gt;&lt;url&gt;https://onlinelibrary.wiley.com/doi/abs/10.1111/jofi.12203&lt;/url&gt;&lt;/related-urls&gt;&lt;/urls&gt;&lt;electronic-resource-num&gt;https://doi.org/10.1111/jofi.12203&lt;/electronic-resource-num&gt;&lt;/record&gt;&lt;/Cite&gt;&lt;/EndNote&gt;</w:instrText>
      </w:r>
      <w:r w:rsidR="007E071B" w:rsidRPr="0053126D">
        <w:rPr>
          <w:rFonts w:ascii="Times New Roman" w:eastAsia="FangSong" w:hAnsi="Times New Roman" w:cs="Times New Roman"/>
          <w:color w:val="000000" w:themeColor="text1"/>
          <w:szCs w:val="22"/>
          <w14:ligatures w14:val="none"/>
        </w:rPr>
        <w:fldChar w:fldCharType="separate"/>
      </w:r>
      <w:r w:rsidR="007E071B" w:rsidRPr="0053126D">
        <w:rPr>
          <w:rFonts w:ascii="Times New Roman" w:eastAsia="FangSong" w:hAnsi="Times New Roman" w:cs="Times New Roman"/>
          <w:noProof/>
          <w:color w:val="000000" w:themeColor="text1"/>
          <w:szCs w:val="22"/>
          <w14:ligatures w14:val="none"/>
        </w:rPr>
        <w:t>(BEKAERT et al., 2014)</w:t>
      </w:r>
      <w:r w:rsidR="007E071B" w:rsidRPr="0053126D">
        <w:rPr>
          <w:rFonts w:ascii="Times New Roman" w:eastAsia="FangSong" w:hAnsi="Times New Roman" w:cs="Times New Roman"/>
          <w:color w:val="000000" w:themeColor="text1"/>
          <w:szCs w:val="22"/>
          <w14:ligatures w14:val="none"/>
        </w:rPr>
        <w:fldChar w:fldCharType="end"/>
      </w:r>
      <w:r w:rsidRPr="0053126D">
        <w:rPr>
          <w:rFonts w:ascii="Times New Roman" w:eastAsia="FangSong" w:hAnsi="Times New Roman" w:cs="Times New Roman"/>
          <w:color w:val="000000" w:themeColor="text1"/>
          <w:szCs w:val="22"/>
          <w14:ligatures w14:val="none"/>
        </w:rPr>
        <w:t>. This heterogeneity provides micro-level evidence explaining why GPRNK may amplify volatility in the short term but dampen it in the long term.</w:t>
      </w:r>
    </w:p>
    <w:p w14:paraId="0E92A64A" w14:textId="07A74D3E" w:rsidR="009B6F6B" w:rsidRPr="0053126D" w:rsidRDefault="009B6F6B" w:rsidP="009B6F6B">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In summary, multiple theoretical perspectives collectively reinforce this study's empirical finding that GPRNK exerts an adverse effect on long-term volatility. They also point to promising directions for future research, such as integrating more granular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indicators with investor-level behavioral data to identify underlying mechanisms and marginal effects.</w:t>
      </w:r>
      <w:bookmarkEnd w:id="93"/>
    </w:p>
    <w:p w14:paraId="24C837BA" w14:textId="77777777" w:rsidR="00E10073" w:rsidRPr="0053126D" w:rsidRDefault="00E10073" w:rsidP="00E10073">
      <w:pPr>
        <w:pStyle w:val="MDPI22heading2"/>
        <w:spacing w:before="240"/>
        <w:ind w:left="0"/>
        <w:rPr>
          <w:rFonts w:ascii="Times New Roman" w:hAnsi="Times New Roman"/>
          <w:b/>
          <w:bCs/>
          <w:color w:val="000000" w:themeColor="text1"/>
          <w:sz w:val="22"/>
          <w:szCs w:val="28"/>
          <w:lang w:eastAsia="zh-CN"/>
        </w:rPr>
      </w:pPr>
      <w:bookmarkStart w:id="94" w:name="OLE_LINK689"/>
      <w:bookmarkStart w:id="95" w:name="OLE_LINK690"/>
      <w:r w:rsidRPr="0053126D">
        <w:rPr>
          <w:rFonts w:ascii="Times New Roman" w:hAnsi="Times New Roman"/>
          <w:b/>
          <w:bCs/>
          <w:color w:val="000000" w:themeColor="text1"/>
          <w:sz w:val="22"/>
          <w:szCs w:val="28"/>
          <w:lang w:eastAsia="zh-CN"/>
        </w:rPr>
        <w:t>Implications</w:t>
      </w:r>
      <w:bookmarkEnd w:id="94"/>
      <w:bookmarkEnd w:id="95"/>
    </w:p>
    <w:p w14:paraId="1F8C67D8" w14:textId="77777777" w:rsidR="005741E1" w:rsidRPr="0053126D" w:rsidRDefault="005741E1" w:rsidP="005741E1">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bookmarkStart w:id="96" w:name="OLE_LINK130"/>
      <w:r w:rsidRPr="0053126D">
        <w:rPr>
          <w:rFonts w:ascii="Times New Roman" w:eastAsia="FangSong" w:hAnsi="Times New Roman" w:cs="Times New Roman"/>
          <w:color w:val="000000" w:themeColor="text1"/>
          <w:szCs w:val="22"/>
          <w14:ligatures w14:val="none"/>
        </w:rPr>
        <w:t>The findings of this study carry significant practical implications for policymakers, regulatory authorities, risk managers, international investors, and other market participants.</w:t>
      </w:r>
    </w:p>
    <w:p w14:paraId="755D738B" w14:textId="11479645" w:rsidR="005741E1" w:rsidRPr="0053126D" w:rsidRDefault="005741E1" w:rsidP="005741E1">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For policymakers, it is essential to closely monitor geopolitical developments on the Korean Peninsula and establish proactive, flexible contingency mechanisms to mitigate the impact of sudden events on financial markets. During periods of heightened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fiscal and monetary policy tools can be employed strategically to stabilize market expectations and reduce investor panic, thereby maintaining market stability. </w:t>
      </w:r>
    </w:p>
    <w:p w14:paraId="63E60D80" w14:textId="32F80F55" w:rsidR="005741E1" w:rsidRPr="0053126D" w:rsidRDefault="005741E1" w:rsidP="005741E1">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Regulatory authorities should further strengthen risk disclosure requirements, enhance transparency, and promote cross-border regulatory cooperation to bolster market resilience. Risk managers need to systematically integrate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into their assessment frameworks, refine stress-testing models, and implement more effective hedging strategies.</w:t>
      </w:r>
    </w:p>
    <w:p w14:paraId="3DCE6B40" w14:textId="77777777" w:rsidR="005741E1" w:rsidRPr="0053126D" w:rsidRDefault="005741E1" w:rsidP="005741E1">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For international investors, the geopolitical sensitivity of the Korean market highlights the importance of risk diversification and defensive investment strategies in cross-border portfolio allocation, along with dynamic </w:t>
      </w:r>
      <w:r w:rsidRPr="0053126D">
        <w:rPr>
          <w:rFonts w:ascii="Times New Roman" w:eastAsia="FangSong" w:hAnsi="Times New Roman" w:cs="Times New Roman"/>
          <w:color w:val="000000" w:themeColor="text1"/>
          <w:szCs w:val="22"/>
          <w14:ligatures w14:val="none"/>
        </w:rPr>
        <w:lastRenderedPageBreak/>
        <w:t>adjustments that align with long-term investment objectives. Individual investors should likewise incorporate geopolitical factors into asset allocation and long-term risk management, adjusting portfolio structures and enhancing hedging measures to achieve a more optimal balance between risk and return.</w:t>
      </w:r>
    </w:p>
    <w:p w14:paraId="442AC3A8" w14:textId="301A7E0C" w:rsidR="00B870E8" w:rsidRPr="0053126D" w:rsidRDefault="005D52B4" w:rsidP="005741E1">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Ultimately,</w:t>
      </w:r>
      <w:r w:rsidR="005741E1" w:rsidRPr="0053126D">
        <w:rPr>
          <w:rFonts w:ascii="Times New Roman" w:eastAsia="FangSong" w:hAnsi="Times New Roman" w:cs="Times New Roman"/>
          <w:color w:val="000000" w:themeColor="text1"/>
          <w:szCs w:val="22"/>
          <w14:ligatures w14:val="none"/>
        </w:rPr>
        <w:t xml:space="preserve"> establishing a coordinated risk governance system that integrates policy guidance with market-based responses is crucial for enhancing the resilience and adaptability of the Korean capital market in the face of external shocks, while providing a valuable reference for global investors in risk management.</w:t>
      </w:r>
    </w:p>
    <w:p w14:paraId="4FBA8540" w14:textId="57CEEF33" w:rsidR="00B44DDD" w:rsidRPr="0053126D" w:rsidRDefault="00B44DDD" w:rsidP="00B44DDD">
      <w:pPr>
        <w:pStyle w:val="MDPI22heading2"/>
        <w:spacing w:before="240"/>
        <w:ind w:left="0"/>
        <w:rPr>
          <w:rFonts w:ascii="Times New Roman" w:hAnsi="Times New Roman"/>
          <w:b/>
          <w:bCs/>
          <w:color w:val="000000" w:themeColor="text1"/>
          <w:sz w:val="22"/>
          <w:szCs w:val="28"/>
          <w:lang w:eastAsia="zh-CN"/>
        </w:rPr>
      </w:pPr>
      <w:bookmarkStart w:id="97" w:name="OLE_LINK124"/>
      <w:bookmarkEnd w:id="96"/>
      <w:r w:rsidRPr="0053126D">
        <w:rPr>
          <w:rFonts w:ascii="Times New Roman" w:hAnsi="Times New Roman"/>
          <w:b/>
          <w:bCs/>
          <w:color w:val="000000" w:themeColor="text1"/>
          <w:sz w:val="22"/>
          <w:szCs w:val="28"/>
          <w:lang w:eastAsia="zh-CN"/>
        </w:rPr>
        <w:t>Research Limitations and Future Research Prospects</w:t>
      </w:r>
    </w:p>
    <w:bookmarkEnd w:id="97"/>
    <w:p w14:paraId="4ECB6AA3" w14:textId="7BC6A0E5" w:rsidR="00DE2968" w:rsidRPr="0053126D" w:rsidRDefault="00DE2968" w:rsidP="00B44DDD">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Despite achieving </w:t>
      </w:r>
      <w:r w:rsidR="00B44DDD" w:rsidRPr="0053126D">
        <w:rPr>
          <w:rFonts w:ascii="Times New Roman" w:eastAsia="FangSong" w:hAnsi="Times New Roman" w:cs="Times New Roman"/>
          <w:color w:val="000000" w:themeColor="text1"/>
          <w:szCs w:val="22"/>
          <w14:ligatures w14:val="none"/>
        </w:rPr>
        <w:t>specific</w:t>
      </w:r>
      <w:r w:rsidRPr="0053126D">
        <w:rPr>
          <w:rFonts w:ascii="Times New Roman" w:eastAsia="FangSong" w:hAnsi="Times New Roman" w:cs="Times New Roman"/>
          <w:color w:val="000000" w:themeColor="text1"/>
          <w:szCs w:val="22"/>
          <w14:ligatures w14:val="none"/>
        </w:rPr>
        <w:t xml:space="preserve"> research outcomes, this </w:t>
      </w:r>
      <w:r w:rsidR="0066710E" w:rsidRPr="0053126D">
        <w:rPr>
          <w:rFonts w:ascii="Times New Roman" w:eastAsia="FangSong" w:hAnsi="Times New Roman" w:cs="Times New Roman"/>
          <w:color w:val="000000" w:themeColor="text1"/>
          <w:szCs w:val="22"/>
          <w14:ligatures w14:val="none"/>
        </w:rPr>
        <w:t>study</w:t>
      </w:r>
      <w:r w:rsidRPr="0053126D">
        <w:rPr>
          <w:rFonts w:ascii="Times New Roman" w:eastAsia="FangSong" w:hAnsi="Times New Roman" w:cs="Times New Roman"/>
          <w:color w:val="000000" w:themeColor="text1"/>
          <w:szCs w:val="22"/>
          <w14:ligatures w14:val="none"/>
        </w:rPr>
        <w:t xml:space="preserve"> still has several limitations. First, the study scope is confined to the Korean Peninsula. Given the region's unique geopolitical and economic landscape, the findings may not be directly applicable to other countries or regions. Second, </w:t>
      </w:r>
      <w:r w:rsidR="001A2FCA" w:rsidRPr="0053126D">
        <w:rPr>
          <w:rFonts w:ascii="Times New Roman" w:eastAsia="FangSong" w:hAnsi="Times New Roman" w:cs="Times New Roman"/>
          <w:color w:val="000000" w:themeColor="text1"/>
          <w:szCs w:val="22"/>
          <w14:ligatures w14:val="none"/>
        </w:rPr>
        <w:t>this study</w:t>
      </w:r>
      <w:r w:rsidRPr="0053126D">
        <w:rPr>
          <w:rFonts w:ascii="Times New Roman" w:eastAsia="FangSong" w:hAnsi="Times New Roman" w:cs="Times New Roman"/>
          <w:color w:val="000000" w:themeColor="text1"/>
          <w:szCs w:val="22"/>
          <w14:ligatures w14:val="none"/>
        </w:rPr>
        <w:t xml:space="preserve"> employs a single GJR-GARCH-MIDAS model framework, which has not fully captured potential nonlinear effects and cross-market spillover effects. Third, the empirical analysis relies on the GPRNK index. While this indicator has gained widespread academic adoption, it may still fall short in fully revealing the multidimensional characteristics of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w:t>
      </w:r>
    </w:p>
    <w:p w14:paraId="117D9381" w14:textId="03C6BFBC" w:rsidR="00DE2968" w:rsidRPr="0053126D" w:rsidRDefault="00DE2968" w:rsidP="00B44DDD">
      <w:pPr>
        <w:spacing w:before="120" w:after="120" w:line="360" w:lineRule="auto"/>
        <w:ind w:firstLineChars="200" w:firstLine="440"/>
        <w:contextualSpacing/>
        <w:jc w:val="both"/>
        <w:rPr>
          <w:rFonts w:ascii="Times New Roman" w:eastAsia="FangSong" w:hAnsi="Times New Roman" w:cs="Times New Roman"/>
          <w:color w:val="000000" w:themeColor="text1"/>
          <w:szCs w:val="22"/>
          <w14:ligatures w14:val="none"/>
        </w:rPr>
      </w:pPr>
      <w:r w:rsidRPr="0053126D">
        <w:rPr>
          <w:rFonts w:ascii="Times New Roman" w:eastAsia="FangSong" w:hAnsi="Times New Roman" w:cs="Times New Roman"/>
          <w:color w:val="000000" w:themeColor="text1"/>
          <w:szCs w:val="22"/>
          <w14:ligatures w14:val="none"/>
        </w:rPr>
        <w:t xml:space="preserve">Future research may pursue more targeted extensions in the following areas: Firstly, expanding the scope to countries or regions under different geopolitical configurations to enhance the universality and comparative significance of the findings. Moreover, exploring diverse modeling approaches, such as nonlinear dynamic models, machine learning methods, or multi-factor frameworks, can help characterize risk transmission mechanisms more comprehensively. More importantly, further consideration of cross-market linkage effects is needed to explore the diffusion pathways of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across financial markets. Lastly, the integration of multi-source data is required to construct more generalized and comprehensive </w:t>
      </w:r>
      <w:r w:rsidR="00C75C7D" w:rsidRPr="0053126D">
        <w:rPr>
          <w:rFonts w:ascii="Times New Roman" w:eastAsia="FangSong" w:hAnsi="Times New Roman" w:cs="Times New Roman"/>
          <w:color w:val="000000" w:themeColor="text1"/>
          <w:szCs w:val="22"/>
          <w14:ligatures w14:val="none"/>
        </w:rPr>
        <w:t>GPR</w:t>
      </w:r>
      <w:r w:rsidRPr="0053126D">
        <w:rPr>
          <w:rFonts w:ascii="Times New Roman" w:eastAsia="FangSong" w:hAnsi="Times New Roman" w:cs="Times New Roman"/>
          <w:color w:val="000000" w:themeColor="text1"/>
          <w:szCs w:val="22"/>
          <w14:ligatures w14:val="none"/>
        </w:rPr>
        <w:t xml:space="preserve"> indicators, thereby addressing the potential limitations of single indices. By following these directions, future research can yield more interpretable and predictive outcomes in both theoretical deepening and practical applications.</w:t>
      </w:r>
    </w:p>
    <w:bookmarkEnd w:id="91"/>
    <w:p w14:paraId="44F3B41B" w14:textId="09C0AC58" w:rsidR="006300C7" w:rsidRPr="0053126D" w:rsidRDefault="006300C7" w:rsidP="00B5232E">
      <w:pPr>
        <w:pStyle w:val="Heading4"/>
        <w:keepNext w:val="0"/>
        <w:keepLines w:val="0"/>
        <w:widowControl/>
        <w:spacing w:before="240" w:after="0" w:line="360" w:lineRule="auto"/>
        <w:rPr>
          <w:rFonts w:ascii="Times New Roman" w:hAnsi="Times New Roman" w:cs="Times New Roman"/>
          <w:b/>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 xml:space="preserve">Appendix </w:t>
      </w:r>
      <w:r w:rsidR="00E10073" w:rsidRPr="0053126D">
        <w:rPr>
          <w:rFonts w:ascii="Times New Roman" w:hAnsi="Times New Roman" w:cs="Times New Roman"/>
          <w:b/>
          <w:snapToGrid w:val="0"/>
          <w:color w:val="000000" w:themeColor="text1"/>
          <w:kern w:val="0"/>
          <w:sz w:val="22"/>
          <w:szCs w:val="22"/>
          <w:lang w:bidi="en-US"/>
        </w:rPr>
        <w:t>I</w:t>
      </w:r>
      <w:r w:rsidRPr="0053126D">
        <w:rPr>
          <w:rFonts w:ascii="Times New Roman" w:hAnsi="Times New Roman" w:cs="Times New Roman"/>
          <w:b/>
          <w:snapToGrid w:val="0"/>
          <w:color w:val="000000" w:themeColor="text1"/>
          <w:kern w:val="0"/>
          <w:sz w:val="22"/>
          <w:szCs w:val="22"/>
          <w:lang w:bidi="en-US"/>
        </w:rPr>
        <w:t>: Tables</w:t>
      </w:r>
    </w:p>
    <w:tbl>
      <w:tblPr>
        <w:tblStyle w:val="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1256"/>
        <w:gridCol w:w="1256"/>
        <w:gridCol w:w="1256"/>
        <w:gridCol w:w="1433"/>
        <w:gridCol w:w="1516"/>
        <w:gridCol w:w="1878"/>
      </w:tblGrid>
      <w:tr w:rsidR="000F24CC" w:rsidRPr="0053126D" w14:paraId="78A603CA" w14:textId="77777777" w:rsidTr="00655AEB">
        <w:trPr>
          <w:trHeight w:val="274"/>
          <w:jc w:val="center"/>
        </w:trPr>
        <w:tc>
          <w:tcPr>
            <w:tcW w:w="0" w:type="auto"/>
            <w:gridSpan w:val="7"/>
            <w:vAlign w:val="center"/>
          </w:tcPr>
          <w:p w14:paraId="76716E6B" w14:textId="77777777" w:rsidR="00655AEB" w:rsidRPr="0053126D" w:rsidRDefault="00655AEB" w:rsidP="00655AEB">
            <w:pPr>
              <w:spacing w:line="0" w:lineRule="atLeast"/>
              <w:rPr>
                <w:rFonts w:ascii="Times New Roman" w:hAnsi="Times New Roman" w:cs="Times New Roman"/>
                <w:color w:val="000000" w:themeColor="text1"/>
                <w:sz w:val="18"/>
                <w:szCs w:val="18"/>
              </w:rPr>
            </w:pPr>
            <w:r w:rsidRPr="0053126D">
              <w:rPr>
                <w:rFonts w:ascii="Times New Roman" w:hAnsi="Times New Roman" w:cs="Times New Roman"/>
                <w:b/>
                <w:bCs/>
                <w:color w:val="000000" w:themeColor="text1"/>
                <w:sz w:val="18"/>
                <w:szCs w:val="18"/>
              </w:rPr>
              <w:t xml:space="preserve">Table 1. </w:t>
            </w:r>
            <w:r w:rsidRPr="0053126D">
              <w:rPr>
                <w:rFonts w:ascii="Times New Roman" w:hAnsi="Times New Roman" w:cs="Times New Roman"/>
                <w:color w:val="000000" w:themeColor="text1"/>
                <w:sz w:val="18"/>
                <w:szCs w:val="18"/>
              </w:rPr>
              <w:t>In-sample estimation results for the model</w:t>
            </w:r>
          </w:p>
        </w:tc>
      </w:tr>
      <w:tr w:rsidR="000F24CC" w:rsidRPr="0053126D" w14:paraId="523764A9" w14:textId="77777777" w:rsidTr="00655AEB">
        <w:trPr>
          <w:trHeight w:val="371"/>
          <w:jc w:val="center"/>
        </w:trPr>
        <w:tc>
          <w:tcPr>
            <w:tcW w:w="0" w:type="auto"/>
            <w:tcBorders>
              <w:top w:val="single" w:sz="4" w:space="0" w:color="auto"/>
            </w:tcBorders>
            <w:vAlign w:val="center"/>
          </w:tcPr>
          <w:p w14:paraId="13EC656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tcBorders>
              <w:top w:val="single" w:sz="4" w:space="0" w:color="auto"/>
              <w:bottom w:val="single" w:sz="4" w:space="0" w:color="auto"/>
            </w:tcBorders>
            <w:vAlign w:val="center"/>
          </w:tcPr>
          <w:p w14:paraId="6EFBE8F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1</w:t>
            </w:r>
          </w:p>
        </w:tc>
        <w:tc>
          <w:tcPr>
            <w:tcW w:w="0" w:type="auto"/>
            <w:tcBorders>
              <w:top w:val="single" w:sz="4" w:space="0" w:color="auto"/>
              <w:bottom w:val="single" w:sz="4" w:space="0" w:color="auto"/>
            </w:tcBorders>
            <w:vAlign w:val="center"/>
          </w:tcPr>
          <w:p w14:paraId="5125AB9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2</w:t>
            </w:r>
          </w:p>
        </w:tc>
        <w:tc>
          <w:tcPr>
            <w:tcW w:w="0" w:type="auto"/>
            <w:tcBorders>
              <w:top w:val="single" w:sz="4" w:space="0" w:color="auto"/>
              <w:bottom w:val="single" w:sz="4" w:space="0" w:color="auto"/>
            </w:tcBorders>
            <w:vAlign w:val="center"/>
          </w:tcPr>
          <w:p w14:paraId="2D359C59"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3</w:t>
            </w:r>
          </w:p>
        </w:tc>
        <w:tc>
          <w:tcPr>
            <w:tcW w:w="0" w:type="auto"/>
            <w:tcBorders>
              <w:top w:val="single" w:sz="4" w:space="0" w:color="auto"/>
              <w:bottom w:val="single" w:sz="4" w:space="0" w:color="auto"/>
            </w:tcBorders>
            <w:vAlign w:val="center"/>
          </w:tcPr>
          <w:p w14:paraId="7CBBD4E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4</w:t>
            </w:r>
          </w:p>
        </w:tc>
        <w:tc>
          <w:tcPr>
            <w:tcW w:w="0" w:type="auto"/>
            <w:tcBorders>
              <w:top w:val="single" w:sz="4" w:space="0" w:color="auto"/>
              <w:bottom w:val="single" w:sz="4" w:space="0" w:color="auto"/>
            </w:tcBorders>
            <w:vAlign w:val="center"/>
          </w:tcPr>
          <w:p w14:paraId="4CE3823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5</w:t>
            </w:r>
          </w:p>
        </w:tc>
        <w:tc>
          <w:tcPr>
            <w:tcW w:w="0" w:type="auto"/>
            <w:tcBorders>
              <w:top w:val="single" w:sz="4" w:space="0" w:color="auto"/>
              <w:bottom w:val="single" w:sz="4" w:space="0" w:color="auto"/>
            </w:tcBorders>
            <w:vAlign w:val="center"/>
          </w:tcPr>
          <w:p w14:paraId="4F06C81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Model 6</w:t>
            </w:r>
          </w:p>
        </w:tc>
      </w:tr>
      <w:tr w:rsidR="000F24CC" w:rsidRPr="0053126D" w14:paraId="4CB5F1E0" w14:textId="77777777" w:rsidTr="00655AEB">
        <w:trPr>
          <w:trHeight w:val="374"/>
          <w:jc w:val="center"/>
        </w:trPr>
        <w:tc>
          <w:tcPr>
            <w:tcW w:w="0" w:type="auto"/>
            <w:tcBorders>
              <w:bottom w:val="single" w:sz="4" w:space="0" w:color="auto"/>
            </w:tcBorders>
            <w:vAlign w:val="center"/>
          </w:tcPr>
          <w:p w14:paraId="321D91B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tcBorders>
              <w:top w:val="single" w:sz="4" w:space="0" w:color="auto"/>
              <w:bottom w:val="single" w:sz="4" w:space="0" w:color="auto"/>
            </w:tcBorders>
            <w:vAlign w:val="center"/>
          </w:tcPr>
          <w:p w14:paraId="336C100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RV</m:t>
                </m:r>
              </m:oMath>
            </m:oMathPara>
          </w:p>
        </w:tc>
        <w:tc>
          <w:tcPr>
            <w:tcW w:w="0" w:type="auto"/>
            <w:tcBorders>
              <w:top w:val="single" w:sz="4" w:space="0" w:color="auto"/>
              <w:bottom w:val="single" w:sz="4" w:space="0" w:color="auto"/>
            </w:tcBorders>
            <w:vAlign w:val="center"/>
          </w:tcPr>
          <w:p w14:paraId="53AF50EE" w14:textId="77777777" w:rsidR="00655AEB" w:rsidRPr="0053126D" w:rsidRDefault="00000000" w:rsidP="00A7614C">
            <w:pPr>
              <w:spacing w:line="0" w:lineRule="atLeast"/>
              <w:jc w:val="center"/>
              <w:rPr>
                <w:rFonts w:ascii="Times New Roman" w:hAnsi="Times New Roman" w:cs="Times New Roman"/>
                <w:color w:val="000000" w:themeColor="text1"/>
                <w:sz w:val="18"/>
                <w:szCs w:val="18"/>
              </w:rPr>
            </w:pPr>
            <m:oMathPara>
              <m:oMath>
                <m:sSup>
                  <m:sSupPr>
                    <m:ctrlPr>
                      <w:rPr>
                        <w:rFonts w:ascii="Cambria Math" w:hAnsi="Cambria Math" w:cs="Times New Roman"/>
                        <w:i/>
                        <w:color w:val="000000" w:themeColor="text1"/>
                        <w:sz w:val="18"/>
                        <w:szCs w:val="18"/>
                      </w:rPr>
                    </m:ctrlPr>
                  </m:sSupPr>
                  <m:e>
                    <m:r>
                      <w:rPr>
                        <w:rFonts w:ascii="Cambria Math" w:hAnsi="Cambria Math" w:cs="Times New Roman"/>
                        <w:color w:val="000000" w:themeColor="text1"/>
                        <w:sz w:val="18"/>
                        <w:szCs w:val="18"/>
                      </w:rPr>
                      <m:t>RV</m:t>
                    </m:r>
                  </m:e>
                  <m:sup>
                    <m:r>
                      <w:rPr>
                        <w:rFonts w:ascii="Cambria Math" w:hAnsi="Cambria Math" w:cs="Times New Roman"/>
                        <w:color w:val="000000" w:themeColor="text1"/>
                        <w:sz w:val="18"/>
                        <w:szCs w:val="18"/>
                      </w:rPr>
                      <m:t>rw</m:t>
                    </m:r>
                  </m:sup>
                </m:sSup>
              </m:oMath>
            </m:oMathPara>
          </w:p>
        </w:tc>
        <w:tc>
          <w:tcPr>
            <w:tcW w:w="0" w:type="auto"/>
            <w:tcBorders>
              <w:top w:val="single" w:sz="4" w:space="0" w:color="auto"/>
              <w:bottom w:val="single" w:sz="4" w:space="0" w:color="auto"/>
            </w:tcBorders>
            <w:vAlign w:val="center"/>
          </w:tcPr>
          <w:p w14:paraId="07C08E62" w14:textId="77777777" w:rsidR="00655AEB" w:rsidRPr="0053126D" w:rsidRDefault="00655AEB" w:rsidP="00A7614C">
            <w:pPr>
              <w:spacing w:line="0" w:lineRule="atLeast"/>
              <w:jc w:val="center"/>
              <w:rPr>
                <w:rFonts w:ascii="Times New Roman" w:hAnsi="Times New Roman" w:cs="Times New Roman"/>
                <w:i/>
                <w:iCs/>
                <w:color w:val="000000" w:themeColor="text1"/>
                <w:sz w:val="18"/>
                <w:szCs w:val="18"/>
              </w:rPr>
            </w:pPr>
            <m:oMathPara>
              <m:oMath>
                <m:r>
                  <w:rPr>
                    <w:rFonts w:ascii="Cambria Math" w:hAnsi="Cambria Math" w:cs="Times New Roman"/>
                    <w:color w:val="000000" w:themeColor="text1"/>
                    <w:sz w:val="18"/>
                    <w:szCs w:val="18"/>
                  </w:rPr>
                  <m:t>ΔGPRNK</m:t>
                </m:r>
              </m:oMath>
            </m:oMathPara>
          </w:p>
        </w:tc>
        <w:tc>
          <w:tcPr>
            <w:tcW w:w="0" w:type="auto"/>
            <w:tcBorders>
              <w:top w:val="single" w:sz="4" w:space="0" w:color="auto"/>
              <w:bottom w:val="single" w:sz="4" w:space="0" w:color="auto"/>
            </w:tcBorders>
            <w:vAlign w:val="center"/>
          </w:tcPr>
          <w:p w14:paraId="012309DE" w14:textId="77777777" w:rsidR="00655AEB" w:rsidRPr="0053126D" w:rsidRDefault="00000000" w:rsidP="00A7614C">
            <w:pPr>
              <w:spacing w:line="0" w:lineRule="atLeast"/>
              <w:jc w:val="center"/>
              <w:rPr>
                <w:rFonts w:ascii="Times New Roman" w:hAnsi="Times New Roman" w:cs="Times New Roman"/>
                <w:i/>
                <w:color w:val="000000" w:themeColor="text1"/>
                <w:sz w:val="18"/>
                <w:szCs w:val="18"/>
              </w:rPr>
            </w:pPr>
            <m:oMathPara>
              <m:oMath>
                <m:sSup>
                  <m:sSupPr>
                    <m:ctrlPr>
                      <w:rPr>
                        <w:rFonts w:ascii="Cambria Math" w:hAnsi="Cambria Math" w:cs="Times New Roman"/>
                        <w:i/>
                        <w:color w:val="000000" w:themeColor="text1"/>
                        <w:sz w:val="18"/>
                        <w:szCs w:val="18"/>
                      </w:rPr>
                    </m:ctrlPr>
                  </m:sSupPr>
                  <m:e>
                    <w:bookmarkStart w:id="98" w:name="OLE_LINK22"/>
                    <w:bookmarkStart w:id="99" w:name="OLE_LINK21"/>
                    <m:r>
                      <w:rPr>
                        <w:rFonts w:ascii="Cambria Math" w:hAnsi="Cambria Math" w:cs="Times New Roman"/>
                        <w:color w:val="000000" w:themeColor="text1"/>
                        <w:sz w:val="18"/>
                        <w:szCs w:val="18"/>
                      </w:rPr>
                      <m:t>ΔGPRNK</m:t>
                    </m:r>
                    <w:bookmarkEnd w:id="98"/>
                    <w:bookmarkEnd w:id="99"/>
                  </m:e>
                  <m:sup>
                    <m:r>
                      <w:rPr>
                        <w:rFonts w:ascii="Cambria Math" w:hAnsi="Cambria Math" w:cs="Times New Roman"/>
                        <w:color w:val="000000" w:themeColor="text1"/>
                        <w:sz w:val="18"/>
                        <w:szCs w:val="18"/>
                      </w:rPr>
                      <m:t>rw</m:t>
                    </m:r>
                  </m:sup>
                </m:sSup>
              </m:oMath>
            </m:oMathPara>
          </w:p>
        </w:tc>
        <w:tc>
          <w:tcPr>
            <w:tcW w:w="0" w:type="auto"/>
            <w:tcBorders>
              <w:top w:val="single" w:sz="4" w:space="0" w:color="auto"/>
              <w:bottom w:val="single" w:sz="4" w:space="0" w:color="auto"/>
            </w:tcBorders>
            <w:vAlign w:val="center"/>
          </w:tcPr>
          <w:p w14:paraId="383E28F8" w14:textId="77777777" w:rsidR="00655AEB" w:rsidRPr="0053126D" w:rsidRDefault="00655AEB" w:rsidP="00A7614C">
            <w:pPr>
              <w:spacing w:line="0" w:lineRule="atLeast"/>
              <w:jc w:val="center"/>
              <w:rPr>
                <w:rFonts w:ascii="Times New Roman" w:hAnsi="Times New Roman" w:cs="Times New Roman"/>
                <w:i/>
                <w:iCs/>
                <w:color w:val="000000" w:themeColor="text1"/>
                <w:sz w:val="18"/>
                <w:szCs w:val="18"/>
              </w:rPr>
            </w:pPr>
            <m:oMathPara>
              <m:oMath>
                <m:r>
                  <w:rPr>
                    <w:rFonts w:ascii="Cambria Math" w:hAnsi="Cambria Math" w:cs="Times New Roman"/>
                    <w:color w:val="000000" w:themeColor="text1"/>
                    <w:sz w:val="18"/>
                    <w:szCs w:val="18"/>
                  </w:rPr>
                  <m:t>RV+ΔGPRNK</m:t>
                </m:r>
              </m:oMath>
            </m:oMathPara>
          </w:p>
        </w:tc>
        <w:tc>
          <w:tcPr>
            <w:tcW w:w="0" w:type="auto"/>
            <w:tcBorders>
              <w:top w:val="single" w:sz="4" w:space="0" w:color="auto"/>
              <w:bottom w:val="single" w:sz="4" w:space="0" w:color="auto"/>
            </w:tcBorders>
            <w:vAlign w:val="center"/>
          </w:tcPr>
          <w:p w14:paraId="43B68916" w14:textId="77777777" w:rsidR="00655AEB" w:rsidRPr="0053126D" w:rsidRDefault="00000000" w:rsidP="00A7614C">
            <w:pPr>
              <w:spacing w:line="0" w:lineRule="atLeast"/>
              <w:jc w:val="center"/>
              <w:rPr>
                <w:rFonts w:ascii="Times New Roman" w:hAnsi="Times New Roman" w:cs="Times New Roman"/>
                <w:i/>
                <w:color w:val="000000" w:themeColor="text1"/>
                <w:sz w:val="18"/>
                <w:szCs w:val="18"/>
              </w:rPr>
            </w:pPr>
            <m:oMathPara>
              <m:oMath>
                <m:sSup>
                  <m:sSupPr>
                    <m:ctrlPr>
                      <w:rPr>
                        <w:rFonts w:ascii="Cambria Math" w:hAnsi="Cambria Math" w:cs="Times New Roman"/>
                        <w:i/>
                        <w:color w:val="000000" w:themeColor="text1"/>
                        <w:sz w:val="18"/>
                        <w:szCs w:val="18"/>
                      </w:rPr>
                    </m:ctrlPr>
                  </m:sSupPr>
                  <m:e>
                    <m:d>
                      <m:dPr>
                        <m:ctrlPr>
                          <w:rPr>
                            <w:rFonts w:ascii="Cambria Math" w:hAnsi="Cambria Math" w:cs="Times New Roman"/>
                            <w:i/>
                            <w:color w:val="000000" w:themeColor="text1"/>
                            <w:sz w:val="18"/>
                            <w:szCs w:val="18"/>
                          </w:rPr>
                        </m:ctrlPr>
                      </m:dPr>
                      <m:e>
                        <m:r>
                          <w:rPr>
                            <w:rFonts w:ascii="Cambria Math" w:hAnsi="Cambria Math" w:cs="Times New Roman"/>
                            <w:color w:val="000000" w:themeColor="text1"/>
                            <w:sz w:val="18"/>
                            <w:szCs w:val="18"/>
                          </w:rPr>
                          <m:t>RV+ΔGPRNK</m:t>
                        </m:r>
                      </m:e>
                    </m:d>
                  </m:e>
                  <m:sup>
                    <m:r>
                      <w:rPr>
                        <w:rFonts w:ascii="Cambria Math" w:hAnsi="Cambria Math" w:cs="Times New Roman"/>
                        <w:color w:val="000000" w:themeColor="text1"/>
                        <w:sz w:val="18"/>
                        <w:szCs w:val="18"/>
                      </w:rPr>
                      <m:t>rw</m:t>
                    </m:r>
                  </m:sup>
                </m:sSup>
              </m:oMath>
            </m:oMathPara>
          </w:p>
        </w:tc>
      </w:tr>
      <w:tr w:rsidR="000F24CC" w:rsidRPr="0053126D" w14:paraId="23386CB4" w14:textId="77777777" w:rsidTr="00655AEB">
        <w:trPr>
          <w:trHeight w:val="507"/>
          <w:jc w:val="center"/>
        </w:trPr>
        <w:tc>
          <w:tcPr>
            <w:tcW w:w="0" w:type="auto"/>
            <w:tcBorders>
              <w:top w:val="single" w:sz="4" w:space="0" w:color="auto"/>
            </w:tcBorders>
            <w:vAlign w:val="center"/>
          </w:tcPr>
          <w:p w14:paraId="7B0CF2E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μ</m:t>
                </m:r>
              </m:oMath>
            </m:oMathPara>
          </w:p>
        </w:tc>
        <w:tc>
          <w:tcPr>
            <w:tcW w:w="0" w:type="auto"/>
            <w:tcBorders>
              <w:top w:val="single" w:sz="4" w:space="0" w:color="auto"/>
            </w:tcBorders>
            <w:vAlign w:val="center"/>
          </w:tcPr>
          <w:p w14:paraId="3ACF10D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0.029**</w:t>
            </w:r>
          </w:p>
          <w:p w14:paraId="34C5ACE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tcBorders>
              <w:top w:val="single" w:sz="4" w:space="0" w:color="auto"/>
            </w:tcBorders>
            <w:vAlign w:val="center"/>
          </w:tcPr>
          <w:p w14:paraId="1E86AE2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0.029***</w:t>
            </w:r>
          </w:p>
          <w:p w14:paraId="2FD3C34B"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tcBorders>
              <w:top w:val="single" w:sz="4" w:space="0" w:color="auto"/>
            </w:tcBorders>
            <w:vAlign w:val="center"/>
          </w:tcPr>
          <w:p w14:paraId="69F7E5C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0.026*</w:t>
            </w:r>
          </w:p>
          <w:p w14:paraId="6636820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tcBorders>
              <w:top w:val="single" w:sz="4" w:space="0" w:color="auto"/>
            </w:tcBorders>
            <w:vAlign w:val="center"/>
          </w:tcPr>
          <w:p w14:paraId="5426D04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0.028*</w:t>
            </w:r>
          </w:p>
          <w:p w14:paraId="70114B8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tcBorders>
              <w:top w:val="single" w:sz="4" w:space="0" w:color="auto"/>
            </w:tcBorders>
            <w:vAlign w:val="center"/>
          </w:tcPr>
          <w:p w14:paraId="628B26B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0.029***</w:t>
            </w:r>
          </w:p>
          <w:p w14:paraId="0F5884C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tcBorders>
              <w:top w:val="single" w:sz="4" w:space="0" w:color="auto"/>
            </w:tcBorders>
            <w:vAlign w:val="center"/>
          </w:tcPr>
          <w:p w14:paraId="51E9D74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0.030***</w:t>
            </w:r>
          </w:p>
          <w:p w14:paraId="12F384C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r>
      <w:tr w:rsidR="000F24CC" w:rsidRPr="0053126D" w14:paraId="0B01F1B2" w14:textId="77777777" w:rsidTr="00655AEB">
        <w:trPr>
          <w:trHeight w:val="543"/>
          <w:jc w:val="center"/>
        </w:trPr>
        <w:tc>
          <w:tcPr>
            <w:tcW w:w="0" w:type="auto"/>
            <w:vAlign w:val="center"/>
          </w:tcPr>
          <w:p w14:paraId="46AEFCA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α</m:t>
                </m:r>
              </m:oMath>
            </m:oMathPara>
          </w:p>
        </w:tc>
        <w:tc>
          <w:tcPr>
            <w:tcW w:w="0" w:type="auto"/>
            <w:vAlign w:val="center"/>
          </w:tcPr>
          <w:p w14:paraId="421F3C2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0.008</w:t>
            </w:r>
          </w:p>
          <w:p w14:paraId="43547C5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1B31ED7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0.008</w:t>
            </w:r>
          </w:p>
          <w:p w14:paraId="656FD75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0EA591D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0.035***</w:t>
            </w:r>
          </w:p>
          <w:p w14:paraId="00D84EB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05501D5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0.035***</w:t>
            </w:r>
          </w:p>
          <w:p w14:paraId="6D8182AB"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1C7EC21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0.016***</w:t>
            </w:r>
          </w:p>
          <w:p w14:paraId="45E88DB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(0.006)</w:t>
            </w:r>
          </w:p>
        </w:tc>
        <w:tc>
          <w:tcPr>
            <w:tcW w:w="0" w:type="auto"/>
            <w:vAlign w:val="center"/>
          </w:tcPr>
          <w:p w14:paraId="0590DF5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0.005</w:t>
            </w:r>
          </w:p>
          <w:p w14:paraId="21D5329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r>
      <w:tr w:rsidR="000F24CC" w:rsidRPr="0053126D" w14:paraId="6A2832F4" w14:textId="77777777" w:rsidTr="00655AEB">
        <w:trPr>
          <w:trHeight w:val="565"/>
          <w:jc w:val="center"/>
        </w:trPr>
        <w:tc>
          <w:tcPr>
            <w:tcW w:w="0" w:type="auto"/>
            <w:vAlign w:val="center"/>
          </w:tcPr>
          <w:p w14:paraId="64A1E74B"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β</m:t>
                </m:r>
              </m:oMath>
            </m:oMathPara>
          </w:p>
        </w:tc>
        <w:tc>
          <w:tcPr>
            <w:tcW w:w="0" w:type="auto"/>
            <w:vAlign w:val="center"/>
          </w:tcPr>
          <w:p w14:paraId="323319D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0.834***</w:t>
            </w:r>
          </w:p>
          <w:p w14:paraId="6D730EA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(0.011)</w:t>
            </w:r>
          </w:p>
        </w:tc>
        <w:tc>
          <w:tcPr>
            <w:tcW w:w="0" w:type="auto"/>
            <w:vAlign w:val="center"/>
          </w:tcPr>
          <w:p w14:paraId="72068D7C"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0.835***</w:t>
            </w:r>
          </w:p>
          <w:p w14:paraId="006EC65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(0.011)</w:t>
            </w:r>
          </w:p>
        </w:tc>
        <w:tc>
          <w:tcPr>
            <w:tcW w:w="0" w:type="auto"/>
            <w:vAlign w:val="center"/>
          </w:tcPr>
          <w:p w14:paraId="34BA8CB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0.895***</w:t>
            </w:r>
          </w:p>
          <w:p w14:paraId="73B4C49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78E682B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0.894***</w:t>
            </w:r>
          </w:p>
          <w:p w14:paraId="3E32D02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(0.007)</w:t>
            </w:r>
          </w:p>
        </w:tc>
        <w:tc>
          <w:tcPr>
            <w:tcW w:w="0" w:type="auto"/>
            <w:vAlign w:val="center"/>
          </w:tcPr>
          <w:p w14:paraId="3E6817E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0.864***</w:t>
            </w:r>
          </w:p>
          <w:p w14:paraId="3A69A11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(0.009)</w:t>
            </w:r>
          </w:p>
        </w:tc>
        <w:tc>
          <w:tcPr>
            <w:tcW w:w="0" w:type="auto"/>
            <w:vAlign w:val="center"/>
          </w:tcPr>
          <w:p w14:paraId="015563E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0.838***</w:t>
            </w:r>
          </w:p>
          <w:p w14:paraId="43E603A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(0.012)</w:t>
            </w:r>
          </w:p>
        </w:tc>
      </w:tr>
      <w:tr w:rsidR="000F24CC" w:rsidRPr="0053126D" w14:paraId="7556221F" w14:textId="77777777" w:rsidTr="00655AEB">
        <w:trPr>
          <w:trHeight w:val="559"/>
          <w:jc w:val="center"/>
        </w:trPr>
        <w:tc>
          <w:tcPr>
            <w:tcW w:w="0" w:type="auto"/>
            <w:vAlign w:val="center"/>
          </w:tcPr>
          <w:p w14:paraId="2337B2E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w:lastRenderedPageBreak/>
                  <m:t>γ</m:t>
                </m:r>
              </m:oMath>
            </m:oMathPara>
          </w:p>
        </w:tc>
        <w:tc>
          <w:tcPr>
            <w:tcW w:w="0" w:type="auto"/>
            <w:vAlign w:val="center"/>
          </w:tcPr>
          <w:p w14:paraId="2AD70FD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0.179***</w:t>
            </w:r>
          </w:p>
          <w:p w14:paraId="1787E00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vAlign w:val="center"/>
          </w:tcPr>
          <w:p w14:paraId="52AB6C5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0.178***</w:t>
            </w:r>
          </w:p>
          <w:p w14:paraId="156793E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c>
          <w:tcPr>
            <w:tcW w:w="0" w:type="auto"/>
            <w:vAlign w:val="center"/>
          </w:tcPr>
          <w:p w14:paraId="41A2DAE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0.107***</w:t>
            </w:r>
          </w:p>
          <w:p w14:paraId="1FB436F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(0.011)</w:t>
            </w:r>
          </w:p>
        </w:tc>
        <w:tc>
          <w:tcPr>
            <w:tcW w:w="0" w:type="auto"/>
            <w:vAlign w:val="center"/>
          </w:tcPr>
          <w:p w14:paraId="5FAD8F4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0.106***</w:t>
            </w:r>
          </w:p>
          <w:p w14:paraId="205E5FB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(0.010)</w:t>
            </w:r>
          </w:p>
        </w:tc>
        <w:tc>
          <w:tcPr>
            <w:tcW w:w="0" w:type="auto"/>
            <w:vAlign w:val="center"/>
          </w:tcPr>
          <w:p w14:paraId="5F8A25C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0.144***</w:t>
            </w:r>
          </w:p>
          <w:p w14:paraId="51D71AC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(0.012)</w:t>
            </w:r>
          </w:p>
        </w:tc>
        <w:tc>
          <w:tcPr>
            <w:tcW w:w="0" w:type="auto"/>
            <w:vAlign w:val="center"/>
          </w:tcPr>
          <w:p w14:paraId="442B30F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0.176***</w:t>
            </w:r>
          </w:p>
          <w:p w14:paraId="48014F9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(0.014)</w:t>
            </w:r>
          </w:p>
        </w:tc>
      </w:tr>
      <w:tr w:rsidR="000F24CC" w:rsidRPr="0053126D" w14:paraId="5D53A80E" w14:textId="77777777" w:rsidTr="00655AEB">
        <w:trPr>
          <w:trHeight w:val="553"/>
          <w:jc w:val="center"/>
        </w:trPr>
        <w:tc>
          <w:tcPr>
            <w:tcW w:w="0" w:type="auto"/>
            <w:vAlign w:val="center"/>
          </w:tcPr>
          <w:p w14:paraId="0468052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m:t>
                </m:r>
              </m:oMath>
            </m:oMathPara>
          </w:p>
        </w:tc>
        <w:tc>
          <w:tcPr>
            <w:tcW w:w="0" w:type="auto"/>
            <w:vAlign w:val="center"/>
          </w:tcPr>
          <w:p w14:paraId="259AC02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-0.436***</w:t>
            </w:r>
          </w:p>
          <w:p w14:paraId="3CCA4BD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(0.065)</w:t>
            </w:r>
          </w:p>
        </w:tc>
        <w:tc>
          <w:tcPr>
            <w:tcW w:w="0" w:type="auto"/>
            <w:vAlign w:val="center"/>
          </w:tcPr>
          <w:p w14:paraId="37CD6A3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-0.454***</w:t>
            </w:r>
          </w:p>
          <w:p w14:paraId="5E71001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(0.065)</w:t>
            </w:r>
          </w:p>
        </w:tc>
        <w:tc>
          <w:tcPr>
            <w:tcW w:w="0" w:type="auto"/>
            <w:vAlign w:val="center"/>
          </w:tcPr>
          <w:p w14:paraId="301D8E6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0.380***</w:t>
            </w:r>
          </w:p>
          <w:p w14:paraId="78EDF98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(0.111)</w:t>
            </w:r>
          </w:p>
        </w:tc>
        <w:tc>
          <w:tcPr>
            <w:tcW w:w="0" w:type="auto"/>
            <w:vAlign w:val="center"/>
          </w:tcPr>
          <w:p w14:paraId="5C89F17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0.312***</w:t>
            </w:r>
          </w:p>
          <w:p w14:paraId="3301BBE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(0.110)</w:t>
            </w:r>
          </w:p>
        </w:tc>
        <w:tc>
          <w:tcPr>
            <w:tcW w:w="0" w:type="auto"/>
            <w:vAlign w:val="center"/>
          </w:tcPr>
          <w:p w14:paraId="6492339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-0.485***</w:t>
            </w:r>
          </w:p>
          <w:p w14:paraId="57D1AA7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(0.078)</w:t>
            </w:r>
          </w:p>
        </w:tc>
        <w:tc>
          <w:tcPr>
            <w:tcW w:w="0" w:type="auto"/>
            <w:vAlign w:val="center"/>
          </w:tcPr>
          <w:p w14:paraId="2185F1E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-0.490***</w:t>
            </w:r>
          </w:p>
          <w:p w14:paraId="2A9CD2E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(0.065)</w:t>
            </w:r>
          </w:p>
        </w:tc>
      </w:tr>
      <w:tr w:rsidR="000F24CC" w:rsidRPr="0053126D" w14:paraId="503D6571" w14:textId="77777777" w:rsidTr="00655AEB">
        <w:trPr>
          <w:trHeight w:val="561"/>
          <w:jc w:val="center"/>
        </w:trPr>
        <w:tc>
          <w:tcPr>
            <w:tcW w:w="0" w:type="auto"/>
            <w:vAlign w:val="center"/>
          </w:tcPr>
          <w:p w14:paraId="6D630D81" w14:textId="77777777" w:rsidR="00655AEB" w:rsidRPr="0053126D" w:rsidRDefault="00000000" w:rsidP="00A7614C">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RV</m:t>
                    </m:r>
                  </m:sub>
                </m:sSub>
              </m:oMath>
            </m:oMathPara>
          </w:p>
        </w:tc>
        <w:tc>
          <w:tcPr>
            <w:tcW w:w="0" w:type="auto"/>
            <w:vAlign w:val="center"/>
          </w:tcPr>
          <w:p w14:paraId="0C0A07B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0.016***</w:t>
            </w:r>
          </w:p>
          <w:p w14:paraId="77D61ED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(0.001)</w:t>
            </w:r>
          </w:p>
        </w:tc>
        <w:tc>
          <w:tcPr>
            <w:tcW w:w="0" w:type="auto"/>
            <w:vAlign w:val="center"/>
          </w:tcPr>
          <w:p w14:paraId="6C69FC8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0.016***</w:t>
            </w:r>
          </w:p>
          <w:p w14:paraId="390928B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(0.001)</w:t>
            </w:r>
          </w:p>
        </w:tc>
        <w:tc>
          <w:tcPr>
            <w:tcW w:w="0" w:type="auto"/>
            <w:vAlign w:val="center"/>
          </w:tcPr>
          <w:p w14:paraId="2F6B1F4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3B9C1F91"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6F73D4A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0.017***</w:t>
            </w:r>
          </w:p>
          <w:p w14:paraId="49B2798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(0.001)</w:t>
            </w:r>
          </w:p>
        </w:tc>
        <w:tc>
          <w:tcPr>
            <w:tcW w:w="0" w:type="auto"/>
            <w:vAlign w:val="center"/>
          </w:tcPr>
          <w:p w14:paraId="5EED7FAB"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0.016***</w:t>
            </w:r>
          </w:p>
          <w:p w14:paraId="5847A979"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(0.001)</w:t>
            </w:r>
          </w:p>
        </w:tc>
      </w:tr>
      <w:tr w:rsidR="000F24CC" w:rsidRPr="0053126D" w14:paraId="44A8650D" w14:textId="77777777" w:rsidTr="00655AEB">
        <w:trPr>
          <w:trHeight w:val="555"/>
          <w:jc w:val="center"/>
        </w:trPr>
        <w:tc>
          <w:tcPr>
            <w:tcW w:w="0" w:type="auto"/>
            <w:vAlign w:val="center"/>
          </w:tcPr>
          <w:p w14:paraId="5E697BC3" w14:textId="77777777" w:rsidR="00655AEB" w:rsidRPr="0053126D" w:rsidRDefault="00000000" w:rsidP="00A7614C">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GPRNK</m:t>
                    </m:r>
                  </m:sub>
                </m:sSub>
              </m:oMath>
            </m:oMathPara>
          </w:p>
        </w:tc>
        <w:tc>
          <w:tcPr>
            <w:tcW w:w="0" w:type="auto"/>
            <w:vAlign w:val="center"/>
          </w:tcPr>
          <w:p w14:paraId="0FBDCE4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7F9EEC2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0ED6922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-0.075***</w:t>
            </w:r>
          </w:p>
          <w:p w14:paraId="58B0962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(0.026)</w:t>
            </w:r>
          </w:p>
        </w:tc>
        <w:tc>
          <w:tcPr>
            <w:tcW w:w="0" w:type="auto"/>
            <w:vAlign w:val="center"/>
          </w:tcPr>
          <w:p w14:paraId="097CA59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-0.116***</w:t>
            </w:r>
          </w:p>
          <w:p w14:paraId="0DEA5D4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(0.031)</w:t>
            </w:r>
          </w:p>
        </w:tc>
        <w:tc>
          <w:tcPr>
            <w:tcW w:w="0" w:type="auto"/>
            <w:vAlign w:val="center"/>
          </w:tcPr>
          <w:p w14:paraId="7308BC6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-0.122**</w:t>
            </w:r>
          </w:p>
          <w:p w14:paraId="3130152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(0.022)</w:t>
            </w:r>
          </w:p>
        </w:tc>
        <w:tc>
          <w:tcPr>
            <w:tcW w:w="0" w:type="auto"/>
            <w:vAlign w:val="center"/>
          </w:tcPr>
          <w:p w14:paraId="1CA773D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-0.105***</w:t>
            </w:r>
          </w:p>
          <w:p w14:paraId="5F150687"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(0.022)</w:t>
            </w:r>
          </w:p>
        </w:tc>
      </w:tr>
      <w:tr w:rsidR="000F24CC" w:rsidRPr="0053126D" w14:paraId="02E1D5AA" w14:textId="77777777" w:rsidTr="00655AEB">
        <w:trPr>
          <w:trHeight w:val="549"/>
          <w:jc w:val="center"/>
        </w:trPr>
        <w:tc>
          <w:tcPr>
            <w:tcW w:w="0" w:type="auto"/>
            <w:vAlign w:val="center"/>
          </w:tcPr>
          <w:p w14:paraId="0B396ECE" w14:textId="77777777" w:rsidR="00655AEB" w:rsidRPr="0053126D" w:rsidRDefault="00000000" w:rsidP="00A7614C">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2,RV</m:t>
                    </m:r>
                  </m:sub>
                </m:sSub>
              </m:oMath>
            </m:oMathPara>
          </w:p>
        </w:tc>
        <w:tc>
          <w:tcPr>
            <w:tcW w:w="0" w:type="auto"/>
            <w:vAlign w:val="center"/>
          </w:tcPr>
          <w:p w14:paraId="355C887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4.531***</w:t>
            </w:r>
          </w:p>
          <w:p w14:paraId="39EBF67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(0.628)</w:t>
            </w:r>
          </w:p>
        </w:tc>
        <w:tc>
          <w:tcPr>
            <w:tcW w:w="0" w:type="auto"/>
            <w:vAlign w:val="center"/>
          </w:tcPr>
          <w:p w14:paraId="2C5B777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4.836***</w:t>
            </w:r>
          </w:p>
          <w:p w14:paraId="4C030591"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(0.631)</w:t>
            </w:r>
          </w:p>
        </w:tc>
        <w:tc>
          <w:tcPr>
            <w:tcW w:w="0" w:type="auto"/>
            <w:vAlign w:val="center"/>
          </w:tcPr>
          <w:p w14:paraId="2AF976C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3F4D6CE1"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1856D85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1.000***</w:t>
            </w:r>
          </w:p>
          <w:p w14:paraId="56B765D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(0.178)</w:t>
            </w:r>
          </w:p>
        </w:tc>
        <w:tc>
          <w:tcPr>
            <w:tcW w:w="0" w:type="auto"/>
            <w:vAlign w:val="center"/>
          </w:tcPr>
          <w:p w14:paraId="54C9CA5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3.907***</w:t>
            </w:r>
          </w:p>
          <w:p w14:paraId="5C63FCB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(0.514)</w:t>
            </w:r>
          </w:p>
        </w:tc>
      </w:tr>
      <w:tr w:rsidR="000F24CC" w:rsidRPr="0053126D" w14:paraId="79FF02E1" w14:textId="77777777" w:rsidTr="00655AEB">
        <w:trPr>
          <w:trHeight w:val="571"/>
          <w:jc w:val="center"/>
        </w:trPr>
        <w:tc>
          <w:tcPr>
            <w:tcW w:w="0" w:type="auto"/>
            <w:vAlign w:val="center"/>
          </w:tcPr>
          <w:p w14:paraId="2CCE998D" w14:textId="77777777" w:rsidR="00655AEB" w:rsidRPr="0053126D" w:rsidRDefault="00000000" w:rsidP="00A7614C">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2,GPRNK</m:t>
                    </m:r>
                  </m:sub>
                </m:sSub>
              </m:oMath>
            </m:oMathPara>
          </w:p>
        </w:tc>
        <w:tc>
          <w:tcPr>
            <w:tcW w:w="0" w:type="auto"/>
            <w:vAlign w:val="center"/>
          </w:tcPr>
          <w:p w14:paraId="0CE571F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5951127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p>
        </w:tc>
        <w:tc>
          <w:tcPr>
            <w:tcW w:w="0" w:type="auto"/>
            <w:vAlign w:val="center"/>
          </w:tcPr>
          <w:p w14:paraId="163EA9B1"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1.000***</w:t>
            </w:r>
          </w:p>
          <w:p w14:paraId="7D0096D5"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(0.167)</w:t>
            </w:r>
          </w:p>
        </w:tc>
        <w:tc>
          <w:tcPr>
            <w:tcW w:w="0" w:type="auto"/>
            <w:vAlign w:val="center"/>
          </w:tcPr>
          <w:p w14:paraId="1AA757AD"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1.000***</w:t>
            </w:r>
          </w:p>
          <w:p w14:paraId="20DB49B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(0.126)</w:t>
            </w:r>
          </w:p>
        </w:tc>
        <w:tc>
          <w:tcPr>
            <w:tcW w:w="0" w:type="auto"/>
            <w:vAlign w:val="center"/>
          </w:tcPr>
          <w:p w14:paraId="17A797F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1.000***</w:t>
            </w:r>
          </w:p>
          <w:p w14:paraId="137ED30D"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(0.092)</w:t>
            </w:r>
          </w:p>
        </w:tc>
        <w:tc>
          <w:tcPr>
            <w:tcW w:w="0" w:type="auto"/>
            <w:vAlign w:val="center"/>
          </w:tcPr>
          <w:p w14:paraId="0373632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1.000***</w:t>
            </w:r>
          </w:p>
          <w:p w14:paraId="7CAFA94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(0.100)</w:t>
            </w:r>
          </w:p>
        </w:tc>
      </w:tr>
      <w:tr w:rsidR="000F24CC" w:rsidRPr="0053126D" w14:paraId="5D56FCB5" w14:textId="77777777" w:rsidTr="00655AEB">
        <w:trPr>
          <w:trHeight w:val="453"/>
          <w:jc w:val="center"/>
        </w:trPr>
        <w:tc>
          <w:tcPr>
            <w:tcW w:w="0" w:type="auto"/>
            <w:vAlign w:val="center"/>
          </w:tcPr>
          <w:p w14:paraId="471E610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LLH</m:t>
                </m:r>
              </m:oMath>
            </m:oMathPara>
          </w:p>
        </w:tc>
        <w:tc>
          <w:tcPr>
            <w:tcW w:w="0" w:type="auto"/>
            <w:vAlign w:val="center"/>
          </w:tcPr>
          <w:p w14:paraId="737C5986"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-6776.137</w:t>
            </w:r>
          </w:p>
        </w:tc>
        <w:tc>
          <w:tcPr>
            <w:tcW w:w="0" w:type="auto"/>
            <w:vAlign w:val="center"/>
          </w:tcPr>
          <w:p w14:paraId="048354AE"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-6722.552</w:t>
            </w:r>
          </w:p>
        </w:tc>
        <w:tc>
          <w:tcPr>
            <w:tcW w:w="0" w:type="auto"/>
            <w:vAlign w:val="center"/>
          </w:tcPr>
          <w:p w14:paraId="3D545960"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-6803.259</w:t>
            </w:r>
          </w:p>
        </w:tc>
        <w:tc>
          <w:tcPr>
            <w:tcW w:w="0" w:type="auto"/>
            <w:vAlign w:val="center"/>
          </w:tcPr>
          <w:p w14:paraId="67F57A42"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-6750.022</w:t>
            </w:r>
          </w:p>
        </w:tc>
        <w:tc>
          <w:tcPr>
            <w:tcW w:w="0" w:type="auto"/>
            <w:vAlign w:val="center"/>
          </w:tcPr>
          <w:p w14:paraId="4F6033A1"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-6775.112</w:t>
            </w:r>
          </w:p>
        </w:tc>
        <w:tc>
          <w:tcPr>
            <w:tcW w:w="0" w:type="auto"/>
            <w:vAlign w:val="center"/>
          </w:tcPr>
          <w:p w14:paraId="38A998C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-6714.583</w:t>
            </w:r>
          </w:p>
        </w:tc>
      </w:tr>
      <w:tr w:rsidR="000F24CC" w:rsidRPr="0053126D" w14:paraId="660F55A4" w14:textId="77777777" w:rsidTr="00655AEB">
        <w:trPr>
          <w:trHeight w:val="417"/>
          <w:jc w:val="center"/>
        </w:trPr>
        <w:tc>
          <w:tcPr>
            <w:tcW w:w="0" w:type="auto"/>
            <w:vAlign w:val="center"/>
          </w:tcPr>
          <w:p w14:paraId="6D29939A"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AIC</m:t>
                </m:r>
              </m:oMath>
            </m:oMathPara>
          </w:p>
        </w:tc>
        <w:tc>
          <w:tcPr>
            <w:tcW w:w="0" w:type="auto"/>
            <w:vAlign w:val="center"/>
          </w:tcPr>
          <w:p w14:paraId="6F1071B4"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13566.274</w:t>
            </w:r>
          </w:p>
        </w:tc>
        <w:tc>
          <w:tcPr>
            <w:tcW w:w="0" w:type="auto"/>
            <w:vAlign w:val="center"/>
          </w:tcPr>
          <w:p w14:paraId="64E702D8"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13459.104</w:t>
            </w:r>
          </w:p>
        </w:tc>
        <w:tc>
          <w:tcPr>
            <w:tcW w:w="0" w:type="auto"/>
            <w:vAlign w:val="center"/>
          </w:tcPr>
          <w:p w14:paraId="0D650D6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13620.518</w:t>
            </w:r>
          </w:p>
        </w:tc>
        <w:tc>
          <w:tcPr>
            <w:tcW w:w="0" w:type="auto"/>
            <w:vAlign w:val="center"/>
          </w:tcPr>
          <w:p w14:paraId="78C1238D"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13514.044</w:t>
            </w:r>
          </w:p>
        </w:tc>
        <w:tc>
          <w:tcPr>
            <w:tcW w:w="0" w:type="auto"/>
            <w:vAlign w:val="center"/>
          </w:tcPr>
          <w:p w14:paraId="247DDC53"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13568.224</w:t>
            </w:r>
          </w:p>
        </w:tc>
        <w:tc>
          <w:tcPr>
            <w:tcW w:w="0" w:type="auto"/>
            <w:vAlign w:val="center"/>
          </w:tcPr>
          <w:p w14:paraId="0B7A189F"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13447.166</w:t>
            </w:r>
          </w:p>
        </w:tc>
      </w:tr>
      <w:tr w:rsidR="000F24CC" w:rsidRPr="0053126D" w14:paraId="4EB26756" w14:textId="77777777" w:rsidTr="00655AEB">
        <w:trPr>
          <w:trHeight w:val="408"/>
          <w:jc w:val="center"/>
        </w:trPr>
        <w:tc>
          <w:tcPr>
            <w:tcW w:w="0" w:type="auto"/>
            <w:tcBorders>
              <w:bottom w:val="single" w:sz="4" w:space="0" w:color="auto"/>
            </w:tcBorders>
            <w:vAlign w:val="center"/>
          </w:tcPr>
          <w:p w14:paraId="75555229" w14:textId="77777777" w:rsidR="00655AEB" w:rsidRPr="0053126D" w:rsidRDefault="00655AEB" w:rsidP="00A7614C">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BIC</m:t>
                </m:r>
              </m:oMath>
            </m:oMathPara>
          </w:p>
        </w:tc>
        <w:tc>
          <w:tcPr>
            <w:tcW w:w="0" w:type="auto"/>
            <w:tcBorders>
              <w:bottom w:val="single" w:sz="4" w:space="0" w:color="auto"/>
            </w:tcBorders>
            <w:vAlign w:val="center"/>
          </w:tcPr>
          <w:p w14:paraId="653DEA13" w14:textId="77777777" w:rsidR="00655AEB" w:rsidRPr="0053126D" w:rsidRDefault="00655AEB" w:rsidP="00A7614C">
            <w:pPr>
              <w:jc w:val="center"/>
              <w:rPr>
                <w:rFonts w:ascii="Times New Roman" w:hAnsi="Times New Roman" w:cs="Times New Roman"/>
                <w:color w:val="000000" w:themeColor="text1"/>
                <w:sz w:val="18"/>
                <w:szCs w:val="18"/>
              </w:rPr>
            </w:pPr>
            <w:r w:rsidRPr="0053126D">
              <w:rPr>
                <w:rFonts w:ascii="Times New Roman" w:hAnsi="Times New Roman" w:cs="Times New Roman"/>
                <w:color w:val="000000" w:themeColor="text1"/>
                <w:sz w:val="18"/>
                <w:szCs w:val="18"/>
              </w:rPr>
              <w:t>13611.369</w:t>
            </w:r>
          </w:p>
        </w:tc>
        <w:tc>
          <w:tcPr>
            <w:tcW w:w="0" w:type="auto"/>
            <w:tcBorders>
              <w:bottom w:val="single" w:sz="4" w:space="0" w:color="auto"/>
            </w:tcBorders>
            <w:vAlign w:val="center"/>
          </w:tcPr>
          <w:p w14:paraId="1349CC6C" w14:textId="77777777" w:rsidR="00655AEB" w:rsidRPr="0053126D" w:rsidRDefault="00655AEB" w:rsidP="00A7614C">
            <w:pPr>
              <w:jc w:val="center"/>
              <w:rPr>
                <w:rFonts w:ascii="Times New Roman" w:hAnsi="Times New Roman" w:cs="Times New Roman"/>
                <w:color w:val="000000" w:themeColor="text1"/>
                <w:sz w:val="18"/>
                <w:szCs w:val="18"/>
              </w:rPr>
            </w:pPr>
            <w:r w:rsidRPr="0053126D">
              <w:rPr>
                <w:rFonts w:ascii="Times New Roman" w:hAnsi="Times New Roman" w:cs="Times New Roman"/>
                <w:iCs/>
                <w:color w:val="000000" w:themeColor="text1"/>
                <w:sz w:val="18"/>
                <w:szCs w:val="18"/>
              </w:rPr>
              <w:t>13504.160</w:t>
            </w:r>
          </w:p>
        </w:tc>
        <w:tc>
          <w:tcPr>
            <w:tcW w:w="0" w:type="auto"/>
            <w:tcBorders>
              <w:bottom w:val="single" w:sz="4" w:space="0" w:color="auto"/>
            </w:tcBorders>
            <w:vAlign w:val="center"/>
          </w:tcPr>
          <w:p w14:paraId="113405D5" w14:textId="77777777" w:rsidR="00655AEB" w:rsidRPr="0053126D" w:rsidRDefault="00655AEB" w:rsidP="00A7614C">
            <w:pPr>
              <w:jc w:val="center"/>
              <w:rPr>
                <w:rFonts w:ascii="Times New Roman" w:hAnsi="Times New Roman" w:cs="Times New Roman"/>
                <w:color w:val="000000" w:themeColor="text1"/>
                <w:sz w:val="18"/>
                <w:szCs w:val="18"/>
              </w:rPr>
            </w:pPr>
            <w:r w:rsidRPr="0053126D">
              <w:rPr>
                <w:rFonts w:ascii="Times New Roman" w:hAnsi="Times New Roman" w:cs="Times New Roman"/>
                <w:iCs/>
                <w:color w:val="000000" w:themeColor="text1"/>
                <w:sz w:val="18"/>
                <w:szCs w:val="18"/>
              </w:rPr>
              <w:t>13665.612</w:t>
            </w:r>
          </w:p>
        </w:tc>
        <w:tc>
          <w:tcPr>
            <w:tcW w:w="0" w:type="auto"/>
            <w:tcBorders>
              <w:bottom w:val="single" w:sz="4" w:space="0" w:color="auto"/>
            </w:tcBorders>
            <w:vAlign w:val="center"/>
          </w:tcPr>
          <w:p w14:paraId="13D07182" w14:textId="77777777" w:rsidR="00655AEB" w:rsidRPr="0053126D" w:rsidRDefault="00655AEB" w:rsidP="00A7614C">
            <w:pPr>
              <w:jc w:val="center"/>
              <w:rPr>
                <w:rFonts w:ascii="Times New Roman" w:hAnsi="Times New Roman" w:cs="Times New Roman"/>
                <w:color w:val="000000" w:themeColor="text1"/>
                <w:sz w:val="18"/>
                <w:szCs w:val="18"/>
              </w:rPr>
            </w:pPr>
            <w:r w:rsidRPr="0053126D">
              <w:rPr>
                <w:rFonts w:ascii="Times New Roman" w:hAnsi="Times New Roman" w:cs="Times New Roman"/>
                <w:iCs/>
                <w:color w:val="000000" w:themeColor="text1"/>
                <w:sz w:val="18"/>
                <w:szCs w:val="18"/>
              </w:rPr>
              <w:t>13559.101</w:t>
            </w:r>
          </w:p>
        </w:tc>
        <w:tc>
          <w:tcPr>
            <w:tcW w:w="0" w:type="auto"/>
            <w:tcBorders>
              <w:bottom w:val="single" w:sz="4" w:space="0" w:color="auto"/>
            </w:tcBorders>
            <w:vAlign w:val="center"/>
          </w:tcPr>
          <w:p w14:paraId="3E9F3363" w14:textId="77777777" w:rsidR="00655AEB" w:rsidRPr="0053126D" w:rsidRDefault="00655AEB" w:rsidP="00A7614C">
            <w:pPr>
              <w:jc w:val="center"/>
              <w:rPr>
                <w:rFonts w:ascii="Times New Roman" w:hAnsi="Times New Roman" w:cs="Times New Roman"/>
                <w:color w:val="000000" w:themeColor="text1"/>
                <w:sz w:val="18"/>
                <w:szCs w:val="18"/>
              </w:rPr>
            </w:pPr>
            <w:r w:rsidRPr="0053126D">
              <w:rPr>
                <w:rFonts w:ascii="Times New Roman" w:hAnsi="Times New Roman" w:cs="Times New Roman"/>
                <w:iCs/>
                <w:color w:val="000000" w:themeColor="text1"/>
                <w:sz w:val="18"/>
                <w:szCs w:val="18"/>
              </w:rPr>
              <w:t>13626.203</w:t>
            </w:r>
          </w:p>
        </w:tc>
        <w:tc>
          <w:tcPr>
            <w:tcW w:w="0" w:type="auto"/>
            <w:tcBorders>
              <w:bottom w:val="single" w:sz="4" w:space="0" w:color="auto"/>
            </w:tcBorders>
            <w:vAlign w:val="center"/>
          </w:tcPr>
          <w:p w14:paraId="7C83286A" w14:textId="77777777" w:rsidR="00655AEB" w:rsidRPr="0053126D" w:rsidRDefault="00655AEB" w:rsidP="00A7614C">
            <w:pPr>
              <w:spacing w:line="0" w:lineRule="atLeast"/>
              <w:jc w:val="center"/>
              <w:rPr>
                <w:rFonts w:ascii="Times New Roman" w:hAnsi="Times New Roman" w:cs="Times New Roman"/>
                <w:iCs/>
                <w:color w:val="000000" w:themeColor="text1"/>
                <w:sz w:val="18"/>
                <w:szCs w:val="18"/>
              </w:rPr>
            </w:pPr>
            <w:r w:rsidRPr="0053126D">
              <w:rPr>
                <w:rFonts w:ascii="Times New Roman" w:hAnsi="Times New Roman" w:cs="Times New Roman"/>
                <w:iCs/>
                <w:color w:val="000000" w:themeColor="text1"/>
                <w:sz w:val="18"/>
                <w:szCs w:val="18"/>
              </w:rPr>
              <w:t>13505.096</w:t>
            </w:r>
          </w:p>
        </w:tc>
      </w:tr>
      <w:tr w:rsidR="00655AEB" w:rsidRPr="0053126D" w14:paraId="221C16B2" w14:textId="77777777" w:rsidTr="00655AEB">
        <w:trPr>
          <w:trHeight w:val="321"/>
          <w:jc w:val="center"/>
        </w:trPr>
        <w:tc>
          <w:tcPr>
            <w:tcW w:w="0" w:type="auto"/>
            <w:gridSpan w:val="7"/>
            <w:tcBorders>
              <w:top w:val="single" w:sz="4" w:space="0" w:color="auto"/>
            </w:tcBorders>
            <w:vAlign w:val="center"/>
          </w:tcPr>
          <w:p w14:paraId="2D333F9C" w14:textId="77777777" w:rsidR="00655AEB" w:rsidRPr="0053126D" w:rsidRDefault="00655AEB" w:rsidP="00A7614C">
            <w:pPr>
              <w:spacing w:line="0" w:lineRule="atLeast"/>
              <w:jc w:val="both"/>
              <w:rPr>
                <w:rFonts w:ascii="Times New Roman" w:hAnsi="Times New Roman" w:cs="Times New Roman"/>
                <w:iCs/>
                <w:color w:val="000000" w:themeColor="text1"/>
                <w:sz w:val="18"/>
                <w:szCs w:val="18"/>
              </w:rPr>
            </w:pPr>
            <w:r w:rsidRPr="0053126D">
              <w:rPr>
                <w:rFonts w:ascii="Times New Roman" w:eastAsia="SimSun" w:hAnsi="Times New Roman" w:cs="Times New Roman"/>
                <w:color w:val="000000" w:themeColor="text1"/>
                <w:sz w:val="16"/>
                <w:szCs w:val="16"/>
              </w:rPr>
              <w:t>Note: This table reports parameter estimates for one- and two-factor models. LLH is the log-likelihood function, AIC denotes the Akaike Information Criterion, and BIC denotes the Bayesian Information Criterion. Numbers in parentheses are standard errors. ***, **,and * denote 1%, 5%, and 10% significance levels, respectively. No superscripts indicate fixed window parameters, while superscripts with the superscript "rw" indicate rolling window parameters. Monthly values in the rolling window version will be copied to the values for each day of the corresponding month.</w:t>
            </w:r>
          </w:p>
        </w:tc>
      </w:tr>
    </w:tbl>
    <w:p w14:paraId="51A9B429" w14:textId="77777777" w:rsidR="00655AEB" w:rsidRPr="0053126D" w:rsidRDefault="00655AEB" w:rsidP="00655AEB">
      <w:pPr>
        <w:spacing w:after="0" w:line="0" w:lineRule="atLeast"/>
        <w:rPr>
          <w:rFonts w:ascii="Times New Roman" w:hAnsi="Times New Roman" w:cs="Times New Roman"/>
          <w:color w:val="000000" w:themeColor="text1"/>
          <w:lang w:bidi="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1171"/>
        <w:gridCol w:w="1170"/>
        <w:gridCol w:w="1170"/>
        <w:gridCol w:w="1170"/>
        <w:gridCol w:w="1170"/>
        <w:gridCol w:w="1166"/>
      </w:tblGrid>
      <w:tr w:rsidR="000F24CC" w:rsidRPr="0053126D" w14:paraId="57A14E4E" w14:textId="77777777" w:rsidTr="00A7614C">
        <w:trPr>
          <w:trHeight w:val="87"/>
          <w:jc w:val="center"/>
        </w:trPr>
        <w:tc>
          <w:tcPr>
            <w:tcW w:w="5000" w:type="pct"/>
            <w:gridSpan w:val="7"/>
            <w:tcBorders>
              <w:bottom w:val="single" w:sz="8" w:space="0" w:color="auto"/>
            </w:tcBorders>
          </w:tcPr>
          <w:p w14:paraId="427D2FD8" w14:textId="77777777" w:rsidR="00655AEB" w:rsidRPr="0053126D" w:rsidRDefault="00655AEB" w:rsidP="00A7614C">
            <w:pPr>
              <w:spacing w:before="120" w:after="120" w:line="0" w:lineRule="atLeast"/>
              <w:contextualSpacing/>
              <w:jc w:val="both"/>
              <w:rPr>
                <w:rFonts w:ascii="Times New Roman" w:eastAsia="Batang" w:hAnsi="Times New Roman" w:cs="Times New Roman"/>
                <w:b/>
                <w:bCs/>
                <w:iCs/>
                <w:color w:val="000000" w:themeColor="text1"/>
                <w:sz w:val="18"/>
                <w:szCs w:val="18"/>
                <w:lang w:eastAsia="ko-KR"/>
              </w:rPr>
            </w:pPr>
            <w:r w:rsidRPr="0053126D">
              <w:rPr>
                <w:rFonts w:ascii="Times New Roman" w:eastAsia="Batang" w:hAnsi="Times New Roman" w:cs="Times New Roman"/>
                <w:b/>
                <w:bCs/>
                <w:iCs/>
                <w:color w:val="000000" w:themeColor="text1"/>
                <w:sz w:val="18"/>
                <w:szCs w:val="18"/>
                <w:lang w:eastAsia="ko-KR"/>
              </w:rPr>
              <w:t xml:space="preserve">Table </w:t>
            </w:r>
            <w:r w:rsidRPr="0053126D">
              <w:rPr>
                <w:rFonts w:ascii="Times New Roman" w:eastAsia="Batang" w:hAnsi="Times New Roman" w:cs="Times New Roman"/>
                <w:b/>
                <w:bCs/>
                <w:iCs/>
                <w:color w:val="000000" w:themeColor="text1"/>
                <w:sz w:val="18"/>
                <w:szCs w:val="18"/>
              </w:rPr>
              <w:t>2</w:t>
            </w:r>
            <w:r w:rsidRPr="0053126D">
              <w:rPr>
                <w:rFonts w:ascii="Times New Roman" w:eastAsia="Batang" w:hAnsi="Times New Roman" w:cs="Times New Roman"/>
                <w:b/>
                <w:bCs/>
                <w:iCs/>
                <w:color w:val="000000" w:themeColor="text1"/>
                <w:sz w:val="18"/>
                <w:szCs w:val="18"/>
                <w:lang w:eastAsia="ko-KR"/>
              </w:rPr>
              <w:t xml:space="preserve">. </w:t>
            </w:r>
            <w:r w:rsidRPr="0053126D">
              <w:rPr>
                <w:rFonts w:ascii="Times New Roman" w:eastAsia="Batang" w:hAnsi="Times New Roman" w:cs="Times New Roman"/>
                <w:iCs/>
                <w:color w:val="000000" w:themeColor="text1"/>
                <w:sz w:val="18"/>
                <w:szCs w:val="18"/>
                <w:lang w:eastAsia="ko-KR"/>
              </w:rPr>
              <w:t>MCS test results</w:t>
            </w:r>
          </w:p>
        </w:tc>
      </w:tr>
      <w:tr w:rsidR="000F24CC" w:rsidRPr="0053126D" w14:paraId="7FA92565" w14:textId="77777777" w:rsidTr="00A7614C">
        <w:trPr>
          <w:jc w:val="center"/>
        </w:trPr>
        <w:tc>
          <w:tcPr>
            <w:tcW w:w="1402" w:type="pct"/>
            <w:tcBorders>
              <w:top w:val="single" w:sz="8" w:space="0" w:color="auto"/>
              <w:bottom w:val="single" w:sz="8" w:space="0" w:color="auto"/>
            </w:tcBorders>
          </w:tcPr>
          <w:p w14:paraId="6245E232"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bookmarkStart w:id="100" w:name="_Hlk188718464"/>
          </w:p>
        </w:tc>
        <w:tc>
          <w:tcPr>
            <w:tcW w:w="1199" w:type="pct"/>
            <w:gridSpan w:val="2"/>
            <w:tcBorders>
              <w:top w:val="single" w:sz="8" w:space="0" w:color="auto"/>
              <w:bottom w:val="single" w:sz="8" w:space="0" w:color="auto"/>
            </w:tcBorders>
          </w:tcPr>
          <w:p w14:paraId="2E038C87"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MSE</w:t>
            </w:r>
          </w:p>
        </w:tc>
        <w:tc>
          <w:tcPr>
            <w:tcW w:w="1199" w:type="pct"/>
            <w:gridSpan w:val="2"/>
            <w:tcBorders>
              <w:top w:val="single" w:sz="8" w:space="0" w:color="auto"/>
              <w:bottom w:val="single" w:sz="8" w:space="0" w:color="auto"/>
            </w:tcBorders>
          </w:tcPr>
          <w:p w14:paraId="5932F441"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MAE</w:t>
            </w:r>
          </w:p>
        </w:tc>
        <w:tc>
          <w:tcPr>
            <w:tcW w:w="1199" w:type="pct"/>
            <w:gridSpan w:val="2"/>
            <w:tcBorders>
              <w:top w:val="single" w:sz="8" w:space="0" w:color="auto"/>
              <w:bottom w:val="single" w:sz="8" w:space="0" w:color="auto"/>
            </w:tcBorders>
          </w:tcPr>
          <w:p w14:paraId="12D139F5"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QLIKE</w:t>
            </w:r>
          </w:p>
        </w:tc>
      </w:tr>
      <w:tr w:rsidR="000F24CC" w:rsidRPr="0053126D" w14:paraId="407A02F7" w14:textId="77777777" w:rsidTr="00A7614C">
        <w:trPr>
          <w:jc w:val="center"/>
        </w:trPr>
        <w:tc>
          <w:tcPr>
            <w:tcW w:w="1402" w:type="pct"/>
            <w:tcBorders>
              <w:top w:val="single" w:sz="8" w:space="0" w:color="auto"/>
              <w:bottom w:val="single" w:sz="8" w:space="0" w:color="auto"/>
            </w:tcBorders>
          </w:tcPr>
          <w:p w14:paraId="170C9924"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MCS-1165 days</w:t>
            </w:r>
          </w:p>
        </w:tc>
        <w:tc>
          <w:tcPr>
            <w:tcW w:w="600" w:type="pct"/>
            <w:tcBorders>
              <w:top w:val="single" w:sz="8" w:space="0" w:color="auto"/>
              <w:bottom w:val="single" w:sz="8" w:space="0" w:color="auto"/>
            </w:tcBorders>
          </w:tcPr>
          <w:p w14:paraId="595BC0E2"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R</m:t>
                    </m:r>
                  </m:sub>
                </m:sSub>
              </m:oMath>
            </m:oMathPara>
          </w:p>
        </w:tc>
        <w:tc>
          <w:tcPr>
            <w:tcW w:w="600" w:type="pct"/>
            <w:tcBorders>
              <w:top w:val="single" w:sz="8" w:space="0" w:color="auto"/>
              <w:bottom w:val="single" w:sz="8" w:space="0" w:color="auto"/>
            </w:tcBorders>
          </w:tcPr>
          <w:p w14:paraId="300390E5"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max</m:t>
                    </m:r>
                  </m:sub>
                </m:sSub>
              </m:oMath>
            </m:oMathPara>
          </w:p>
        </w:tc>
        <w:tc>
          <w:tcPr>
            <w:tcW w:w="600" w:type="pct"/>
            <w:tcBorders>
              <w:top w:val="single" w:sz="8" w:space="0" w:color="auto"/>
              <w:bottom w:val="single" w:sz="8" w:space="0" w:color="auto"/>
            </w:tcBorders>
          </w:tcPr>
          <w:p w14:paraId="13DA5F29"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R</m:t>
                    </m:r>
                  </m:sub>
                </m:sSub>
              </m:oMath>
            </m:oMathPara>
          </w:p>
        </w:tc>
        <w:tc>
          <w:tcPr>
            <w:tcW w:w="600" w:type="pct"/>
            <w:tcBorders>
              <w:top w:val="single" w:sz="8" w:space="0" w:color="auto"/>
              <w:bottom w:val="single" w:sz="8" w:space="0" w:color="auto"/>
            </w:tcBorders>
          </w:tcPr>
          <w:p w14:paraId="3B8163B0"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w:bookmarkStart w:id="101" w:name="OLE_LINK17"/>
                    <w:bookmarkStart w:id="102" w:name="OLE_LINK18"/>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max</m:t>
                    </m:r>
                    <w:bookmarkEnd w:id="101"/>
                    <w:bookmarkEnd w:id="102"/>
                  </m:sub>
                </m:sSub>
              </m:oMath>
            </m:oMathPara>
          </w:p>
        </w:tc>
        <w:tc>
          <w:tcPr>
            <w:tcW w:w="600" w:type="pct"/>
            <w:tcBorders>
              <w:top w:val="single" w:sz="8" w:space="0" w:color="auto"/>
              <w:bottom w:val="single" w:sz="8" w:space="0" w:color="auto"/>
            </w:tcBorders>
          </w:tcPr>
          <w:p w14:paraId="6DDA2ED3"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R</m:t>
                    </m:r>
                  </m:sub>
                </m:sSub>
              </m:oMath>
            </m:oMathPara>
          </w:p>
        </w:tc>
        <w:tc>
          <w:tcPr>
            <w:tcW w:w="600" w:type="pct"/>
            <w:tcBorders>
              <w:top w:val="single" w:sz="8" w:space="0" w:color="auto"/>
              <w:bottom w:val="single" w:sz="8" w:space="0" w:color="auto"/>
            </w:tcBorders>
          </w:tcPr>
          <w:p w14:paraId="66435753" w14:textId="77777777" w:rsidR="00655AEB" w:rsidRPr="0053126D" w:rsidRDefault="00000000" w:rsidP="00A7614C">
            <w:pPr>
              <w:spacing w:before="120" w:after="120" w:line="60" w:lineRule="atLeast"/>
              <w:contextualSpacing/>
              <w:jc w:val="center"/>
              <w:rPr>
                <w:rFonts w:ascii="Times New Roman" w:eastAsia="Batang" w:hAnsi="Times New Roman" w:cs="Times New Roman"/>
                <w:iCs/>
                <w:color w:val="000000" w:themeColor="text1"/>
                <w:sz w:val="17"/>
                <w:szCs w:val="17"/>
              </w:rPr>
            </w:pPr>
            <m:oMathPara>
              <m:oMath>
                <m:sSub>
                  <m:sSubPr>
                    <m:ctrlPr>
                      <w:rPr>
                        <w:rFonts w:ascii="Cambria Math" w:eastAsia="Batang" w:hAnsi="Cambria Math" w:cs="Times New Roman"/>
                        <w:iCs/>
                        <w:color w:val="000000" w:themeColor="text1"/>
                        <w:sz w:val="17"/>
                        <w:szCs w:val="17"/>
                      </w:rPr>
                    </m:ctrlPr>
                  </m:sSubPr>
                  <m:e>
                    <m:r>
                      <w:rPr>
                        <w:rFonts w:ascii="Cambria Math" w:eastAsia="Batang" w:hAnsi="Cambria Math" w:cs="Times New Roman"/>
                        <w:color w:val="000000" w:themeColor="text1"/>
                        <w:sz w:val="17"/>
                        <w:szCs w:val="17"/>
                      </w:rPr>
                      <m:t>T</m:t>
                    </m:r>
                  </m:e>
                  <m:sub>
                    <m:r>
                      <w:rPr>
                        <w:rFonts w:ascii="Cambria Math" w:eastAsia="Batang" w:hAnsi="Cambria Math" w:cs="Times New Roman"/>
                        <w:color w:val="000000" w:themeColor="text1"/>
                        <w:sz w:val="17"/>
                        <w:szCs w:val="17"/>
                      </w:rPr>
                      <m:t>max</m:t>
                    </m:r>
                  </m:sub>
                </m:sSub>
              </m:oMath>
            </m:oMathPara>
          </w:p>
        </w:tc>
      </w:tr>
      <w:tr w:rsidR="000F24CC" w:rsidRPr="0053126D" w14:paraId="435F274C" w14:textId="77777777" w:rsidTr="00A7614C">
        <w:trPr>
          <w:jc w:val="center"/>
        </w:trPr>
        <w:tc>
          <w:tcPr>
            <w:tcW w:w="1402" w:type="pct"/>
            <w:tcBorders>
              <w:top w:val="single" w:sz="8" w:space="0" w:color="auto"/>
            </w:tcBorders>
          </w:tcPr>
          <w:p w14:paraId="23D08238"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GJR-GARCH(1,1)</w:t>
            </w:r>
          </w:p>
        </w:tc>
        <w:tc>
          <w:tcPr>
            <w:tcW w:w="600" w:type="pct"/>
            <w:tcBorders>
              <w:top w:val="single" w:sz="8" w:space="0" w:color="auto"/>
            </w:tcBorders>
          </w:tcPr>
          <w:p w14:paraId="11205292"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0.353</w:t>
            </w:r>
          </w:p>
        </w:tc>
        <w:tc>
          <w:tcPr>
            <w:tcW w:w="600" w:type="pct"/>
            <w:tcBorders>
              <w:top w:val="single" w:sz="8" w:space="0" w:color="auto"/>
            </w:tcBorders>
          </w:tcPr>
          <w:p w14:paraId="200C75AB"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0.205</w:t>
            </w:r>
          </w:p>
        </w:tc>
        <w:tc>
          <w:tcPr>
            <w:tcW w:w="600" w:type="pct"/>
            <w:tcBorders>
              <w:top w:val="single" w:sz="8" w:space="0" w:color="auto"/>
            </w:tcBorders>
          </w:tcPr>
          <w:p w14:paraId="190AF7AA"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0.041</w:t>
            </w:r>
          </w:p>
        </w:tc>
        <w:tc>
          <w:tcPr>
            <w:tcW w:w="600" w:type="pct"/>
            <w:tcBorders>
              <w:top w:val="single" w:sz="8" w:space="0" w:color="auto"/>
            </w:tcBorders>
          </w:tcPr>
          <w:p w14:paraId="54CC06BA"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0.132</w:t>
            </w:r>
          </w:p>
        </w:tc>
        <w:tc>
          <w:tcPr>
            <w:tcW w:w="600" w:type="pct"/>
            <w:tcBorders>
              <w:top w:val="single" w:sz="8" w:space="0" w:color="auto"/>
            </w:tcBorders>
          </w:tcPr>
          <w:p w14:paraId="322B02D6"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0.175</w:t>
            </w:r>
          </w:p>
        </w:tc>
        <w:tc>
          <w:tcPr>
            <w:tcW w:w="600" w:type="pct"/>
            <w:tcBorders>
              <w:top w:val="single" w:sz="8" w:space="0" w:color="auto"/>
            </w:tcBorders>
          </w:tcPr>
          <w:p w14:paraId="3718897C"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0.115</w:t>
            </w:r>
          </w:p>
        </w:tc>
      </w:tr>
      <w:tr w:rsidR="000F24CC" w:rsidRPr="0053126D" w14:paraId="2AA62027" w14:textId="77777777" w:rsidTr="00A7614C">
        <w:trPr>
          <w:jc w:val="center"/>
        </w:trPr>
        <w:tc>
          <w:tcPr>
            <w:tcW w:w="1402" w:type="pct"/>
          </w:tcPr>
          <w:p w14:paraId="347372DD"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Model 2</w:t>
            </w:r>
          </w:p>
        </w:tc>
        <w:tc>
          <w:tcPr>
            <w:tcW w:w="600" w:type="pct"/>
          </w:tcPr>
          <w:p w14:paraId="4C0A6379"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0.672</w:t>
            </w:r>
          </w:p>
        </w:tc>
        <w:tc>
          <w:tcPr>
            <w:tcW w:w="600" w:type="pct"/>
          </w:tcPr>
          <w:p w14:paraId="4596F4F8"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0.672</w:t>
            </w:r>
          </w:p>
        </w:tc>
        <w:tc>
          <w:tcPr>
            <w:tcW w:w="600" w:type="pct"/>
          </w:tcPr>
          <w:p w14:paraId="4B40AA08"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c>
          <w:tcPr>
            <w:tcW w:w="600" w:type="pct"/>
          </w:tcPr>
          <w:p w14:paraId="0AC7C9E1"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c>
          <w:tcPr>
            <w:tcW w:w="600" w:type="pct"/>
          </w:tcPr>
          <w:p w14:paraId="2D986F77"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0.825</w:t>
            </w:r>
          </w:p>
        </w:tc>
        <w:tc>
          <w:tcPr>
            <w:tcW w:w="600" w:type="pct"/>
          </w:tcPr>
          <w:p w14:paraId="4BF900F2"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0.825</w:t>
            </w:r>
          </w:p>
        </w:tc>
      </w:tr>
      <w:tr w:rsidR="000F24CC" w:rsidRPr="0053126D" w14:paraId="2FA05C9D" w14:textId="77777777" w:rsidTr="00A7614C">
        <w:trPr>
          <w:jc w:val="center"/>
        </w:trPr>
        <w:tc>
          <w:tcPr>
            <w:tcW w:w="1402" w:type="pct"/>
          </w:tcPr>
          <w:p w14:paraId="422C42A6"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Model 4</w:t>
            </w:r>
          </w:p>
        </w:tc>
        <w:tc>
          <w:tcPr>
            <w:tcW w:w="600" w:type="pct"/>
          </w:tcPr>
          <w:p w14:paraId="3705A2E9"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0.353</w:t>
            </w:r>
          </w:p>
        </w:tc>
        <w:tc>
          <w:tcPr>
            <w:tcW w:w="600" w:type="pct"/>
          </w:tcPr>
          <w:p w14:paraId="6E479EDB"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0.205</w:t>
            </w:r>
          </w:p>
        </w:tc>
        <w:tc>
          <w:tcPr>
            <w:tcW w:w="600" w:type="pct"/>
          </w:tcPr>
          <w:p w14:paraId="4CA62C12"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0.011</w:t>
            </w:r>
          </w:p>
        </w:tc>
        <w:tc>
          <w:tcPr>
            <w:tcW w:w="600" w:type="pct"/>
          </w:tcPr>
          <w:p w14:paraId="1DF599C4" w14:textId="77777777" w:rsidR="00655AEB" w:rsidRPr="0053126D" w:rsidRDefault="00655AEB" w:rsidP="00A7614C">
            <w:pPr>
              <w:spacing w:before="120" w:after="120" w:line="60" w:lineRule="atLeast"/>
              <w:contextualSpacing/>
              <w:jc w:val="center"/>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0.009</w:t>
            </w:r>
          </w:p>
        </w:tc>
        <w:tc>
          <w:tcPr>
            <w:tcW w:w="600" w:type="pct"/>
          </w:tcPr>
          <w:p w14:paraId="7218A4E7"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0.189</w:t>
            </w:r>
          </w:p>
        </w:tc>
        <w:tc>
          <w:tcPr>
            <w:tcW w:w="600" w:type="pct"/>
          </w:tcPr>
          <w:p w14:paraId="367B34AB"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0.126</w:t>
            </w:r>
          </w:p>
        </w:tc>
      </w:tr>
      <w:tr w:rsidR="000F24CC" w:rsidRPr="0053126D" w14:paraId="6F2E23A4" w14:textId="77777777" w:rsidTr="00A7614C">
        <w:trPr>
          <w:jc w:val="center"/>
        </w:trPr>
        <w:tc>
          <w:tcPr>
            <w:tcW w:w="1402" w:type="pct"/>
            <w:tcBorders>
              <w:bottom w:val="single" w:sz="8" w:space="0" w:color="auto"/>
            </w:tcBorders>
          </w:tcPr>
          <w:p w14:paraId="360DBA5E" w14:textId="77777777" w:rsidR="00655AEB" w:rsidRPr="0053126D" w:rsidRDefault="00655AEB" w:rsidP="00A7614C">
            <w:pPr>
              <w:spacing w:before="120" w:after="120" w:line="60" w:lineRule="atLeast"/>
              <w:contextualSpacing/>
              <w:jc w:val="center"/>
              <w:rPr>
                <w:rFonts w:ascii="Times New Roman" w:eastAsia="Batang" w:hAnsi="Times New Roman" w:cs="Times New Roman"/>
                <w:color w:val="000000" w:themeColor="text1"/>
                <w:sz w:val="17"/>
                <w:szCs w:val="17"/>
                <w:lang w:eastAsia="ko-KR"/>
              </w:rPr>
            </w:pPr>
            <w:r w:rsidRPr="0053126D">
              <w:rPr>
                <w:rFonts w:ascii="Times New Roman" w:eastAsia="Batang" w:hAnsi="Times New Roman" w:cs="Times New Roman"/>
                <w:iCs/>
                <w:color w:val="000000" w:themeColor="text1"/>
                <w:sz w:val="17"/>
                <w:szCs w:val="17"/>
              </w:rPr>
              <w:t>Model 6</w:t>
            </w:r>
          </w:p>
        </w:tc>
        <w:tc>
          <w:tcPr>
            <w:tcW w:w="600" w:type="pct"/>
            <w:tcBorders>
              <w:bottom w:val="single" w:sz="8" w:space="0" w:color="auto"/>
            </w:tcBorders>
          </w:tcPr>
          <w:p w14:paraId="47B37EFD"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c>
          <w:tcPr>
            <w:tcW w:w="600" w:type="pct"/>
            <w:tcBorders>
              <w:bottom w:val="single" w:sz="8" w:space="0" w:color="auto"/>
            </w:tcBorders>
          </w:tcPr>
          <w:p w14:paraId="4C1B9DC1"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c>
          <w:tcPr>
            <w:tcW w:w="600" w:type="pct"/>
            <w:tcBorders>
              <w:bottom w:val="single" w:sz="8" w:space="0" w:color="auto"/>
            </w:tcBorders>
          </w:tcPr>
          <w:p w14:paraId="5A7FD9E4"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0.591</w:t>
            </w:r>
          </w:p>
        </w:tc>
        <w:tc>
          <w:tcPr>
            <w:tcW w:w="600" w:type="pct"/>
            <w:tcBorders>
              <w:bottom w:val="single" w:sz="8" w:space="0" w:color="auto"/>
            </w:tcBorders>
          </w:tcPr>
          <w:p w14:paraId="75D6E56E"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0.591</w:t>
            </w:r>
          </w:p>
        </w:tc>
        <w:tc>
          <w:tcPr>
            <w:tcW w:w="600" w:type="pct"/>
            <w:tcBorders>
              <w:bottom w:val="single" w:sz="8" w:space="0" w:color="auto"/>
            </w:tcBorders>
          </w:tcPr>
          <w:p w14:paraId="502C927D"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c>
          <w:tcPr>
            <w:tcW w:w="600" w:type="pct"/>
            <w:tcBorders>
              <w:bottom w:val="single" w:sz="8" w:space="0" w:color="auto"/>
            </w:tcBorders>
          </w:tcPr>
          <w:p w14:paraId="58FCA40B" w14:textId="77777777" w:rsidR="00655AEB" w:rsidRPr="0053126D" w:rsidRDefault="00655AEB" w:rsidP="00A7614C">
            <w:pPr>
              <w:spacing w:before="120" w:after="120" w:line="60" w:lineRule="atLeast"/>
              <w:contextualSpacing/>
              <w:jc w:val="center"/>
              <w:rPr>
                <w:rFonts w:ascii="Times New Roman" w:eastAsia="Batang" w:hAnsi="Times New Roman" w:cs="Times New Roman"/>
                <w:b/>
                <w:bCs/>
                <w:iCs/>
                <w:color w:val="000000" w:themeColor="text1"/>
                <w:sz w:val="17"/>
                <w:szCs w:val="17"/>
                <w:u w:val="single"/>
              </w:rPr>
            </w:pPr>
            <w:r w:rsidRPr="0053126D">
              <w:rPr>
                <w:rFonts w:ascii="Times New Roman" w:eastAsia="Batang" w:hAnsi="Times New Roman" w:cs="Times New Roman"/>
                <w:b/>
                <w:bCs/>
                <w:iCs/>
                <w:color w:val="000000" w:themeColor="text1"/>
                <w:sz w:val="17"/>
                <w:szCs w:val="17"/>
                <w:u w:val="single"/>
              </w:rPr>
              <w:t>1.000</w:t>
            </w:r>
          </w:p>
        </w:tc>
      </w:tr>
      <w:bookmarkEnd w:id="100"/>
      <w:tr w:rsidR="00655AEB" w:rsidRPr="0053126D" w14:paraId="045A64E8" w14:textId="77777777" w:rsidTr="00A7614C">
        <w:trPr>
          <w:trHeight w:val="351"/>
          <w:jc w:val="center"/>
        </w:trPr>
        <w:tc>
          <w:tcPr>
            <w:tcW w:w="5000" w:type="pct"/>
            <w:gridSpan w:val="7"/>
            <w:tcBorders>
              <w:top w:val="single" w:sz="8" w:space="0" w:color="auto"/>
            </w:tcBorders>
          </w:tcPr>
          <w:p w14:paraId="581A4F20" w14:textId="77777777" w:rsidR="00655AEB" w:rsidRPr="0053126D" w:rsidRDefault="00655AEB" w:rsidP="00A7614C">
            <w:pPr>
              <w:spacing w:before="120" w:after="120" w:line="0" w:lineRule="atLeast"/>
              <w:contextualSpacing/>
              <w:jc w:val="both"/>
              <w:rPr>
                <w:rFonts w:ascii="Times New Roman" w:eastAsia="Batang" w:hAnsi="Times New Roman" w:cs="Times New Roman"/>
                <w:iCs/>
                <w:color w:val="000000" w:themeColor="text1"/>
                <w:sz w:val="17"/>
                <w:szCs w:val="17"/>
              </w:rPr>
            </w:pPr>
            <w:r w:rsidRPr="0053126D">
              <w:rPr>
                <w:rFonts w:ascii="Times New Roman" w:eastAsia="Batang" w:hAnsi="Times New Roman" w:cs="Times New Roman"/>
                <w:iCs/>
                <w:color w:val="000000" w:themeColor="text1"/>
                <w:sz w:val="17"/>
                <w:szCs w:val="17"/>
              </w:rPr>
              <w:t>N</w:t>
            </w:r>
            <w:r w:rsidRPr="0053126D">
              <w:rPr>
                <w:rFonts w:ascii="Times New Roman" w:eastAsia="SimSun" w:hAnsi="Times New Roman" w:cs="Times New Roman"/>
                <w:color w:val="000000" w:themeColor="text1"/>
                <w:sz w:val="17"/>
                <w:szCs w:val="17"/>
              </w:rPr>
              <w:t>ote: The numbers in the table are p-values. Numbers greater than 0.10 are in bold and underlined, indicating that the corresponding model performs significantly better in the model set. The time horizon is 1165 days.</w:t>
            </w:r>
          </w:p>
        </w:tc>
      </w:tr>
    </w:tbl>
    <w:p w14:paraId="1A0B670D" w14:textId="77777777" w:rsidR="00655AEB" w:rsidRPr="0053126D" w:rsidRDefault="00655AEB" w:rsidP="00655AEB">
      <w:pPr>
        <w:spacing w:after="0" w:line="0" w:lineRule="atLeast"/>
        <w:rPr>
          <w:rFonts w:ascii="Times New Roman" w:hAnsi="Times New Roman" w:cs="Times New Roman"/>
          <w:color w:val="000000" w:themeColor="text1"/>
          <w:lang w:bidi="en-US"/>
        </w:rPr>
      </w:pPr>
    </w:p>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2344"/>
        <w:gridCol w:w="2344"/>
        <w:gridCol w:w="2097"/>
      </w:tblGrid>
      <w:tr w:rsidR="000F24CC" w:rsidRPr="0053126D" w14:paraId="6C5F9127" w14:textId="77777777" w:rsidTr="00A7614C">
        <w:trPr>
          <w:trHeight w:val="170"/>
          <w:jc w:val="center"/>
        </w:trPr>
        <w:tc>
          <w:tcPr>
            <w:tcW w:w="5000" w:type="pct"/>
            <w:gridSpan w:val="4"/>
            <w:tcBorders>
              <w:top w:val="nil"/>
              <w:bottom w:val="single" w:sz="8" w:space="0" w:color="auto"/>
            </w:tcBorders>
          </w:tcPr>
          <w:p w14:paraId="68BB169E" w14:textId="77777777" w:rsidR="006553F6" w:rsidRPr="0053126D" w:rsidRDefault="006553F6" w:rsidP="006553F6">
            <w:pPr>
              <w:spacing w:before="120" w:after="120" w:line="0" w:lineRule="atLeast"/>
              <w:contextualSpacing/>
              <w:jc w:val="both"/>
              <w:rPr>
                <w:rFonts w:ascii="Times New Roman" w:eastAsia="Batang" w:hAnsi="Times New Roman" w:cs="Times New Roman"/>
                <w:b/>
                <w:bCs/>
                <w:iCs/>
                <w:color w:val="000000" w:themeColor="text1"/>
                <w:sz w:val="18"/>
                <w:szCs w:val="18"/>
                <w:lang w:eastAsia="ko-KR"/>
              </w:rPr>
            </w:pPr>
            <w:bookmarkStart w:id="103" w:name="_Hlk188720158"/>
            <w:r w:rsidRPr="0053126D">
              <w:rPr>
                <w:rFonts w:ascii="Times New Roman" w:eastAsia="Batang" w:hAnsi="Times New Roman" w:cs="Times New Roman"/>
                <w:b/>
                <w:bCs/>
                <w:iCs/>
                <w:color w:val="000000" w:themeColor="text1"/>
                <w:sz w:val="18"/>
                <w:szCs w:val="18"/>
                <w:lang w:eastAsia="ko-KR"/>
              </w:rPr>
              <w:t xml:space="preserve">Table 3. </w:t>
            </w:r>
            <w:r w:rsidRPr="0053126D">
              <w:rPr>
                <w:rFonts w:ascii="Times New Roman" w:eastAsia="Batang" w:hAnsi="Times New Roman" w:cs="Times New Roman"/>
                <w:iCs/>
                <w:color w:val="000000" w:themeColor="text1"/>
                <w:sz w:val="18"/>
                <w:szCs w:val="18"/>
                <w:lang w:eastAsia="ko-KR"/>
              </w:rPr>
              <w:t>DM test results</w:t>
            </w:r>
          </w:p>
        </w:tc>
      </w:tr>
      <w:tr w:rsidR="000F24CC" w:rsidRPr="0053126D" w14:paraId="4E7EEEE2" w14:textId="77777777" w:rsidTr="00A7614C">
        <w:trPr>
          <w:trHeight w:val="325"/>
          <w:jc w:val="center"/>
        </w:trPr>
        <w:tc>
          <w:tcPr>
            <w:tcW w:w="1521" w:type="pct"/>
            <w:tcBorders>
              <w:top w:val="single" w:sz="8" w:space="0" w:color="auto"/>
              <w:bottom w:val="single" w:sz="8" w:space="0" w:color="auto"/>
            </w:tcBorders>
            <w:vAlign w:val="center"/>
          </w:tcPr>
          <w:p w14:paraId="29506946"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DM-1165 days</w:t>
            </w:r>
          </w:p>
        </w:tc>
        <w:tc>
          <w:tcPr>
            <w:tcW w:w="1202" w:type="pct"/>
            <w:tcBorders>
              <w:top w:val="single" w:sz="8" w:space="0" w:color="auto"/>
              <w:bottom w:val="single" w:sz="8" w:space="0" w:color="auto"/>
            </w:tcBorders>
            <w:vAlign w:val="center"/>
          </w:tcPr>
          <w:p w14:paraId="0CE36FAF" w14:textId="77777777" w:rsidR="006553F6" w:rsidRPr="0053126D" w:rsidRDefault="006553F6"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MSE</w:t>
            </w:r>
          </w:p>
        </w:tc>
        <w:tc>
          <w:tcPr>
            <w:tcW w:w="1202" w:type="pct"/>
            <w:tcBorders>
              <w:top w:val="single" w:sz="8" w:space="0" w:color="auto"/>
              <w:bottom w:val="single" w:sz="8" w:space="0" w:color="auto"/>
            </w:tcBorders>
            <w:vAlign w:val="center"/>
          </w:tcPr>
          <w:p w14:paraId="0C404A78" w14:textId="77777777" w:rsidR="006553F6" w:rsidRPr="0053126D" w:rsidRDefault="006553F6"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MAE</w:t>
            </w:r>
          </w:p>
        </w:tc>
        <w:tc>
          <w:tcPr>
            <w:tcW w:w="1075" w:type="pct"/>
            <w:tcBorders>
              <w:top w:val="single" w:sz="8" w:space="0" w:color="auto"/>
              <w:bottom w:val="single" w:sz="8" w:space="0" w:color="auto"/>
            </w:tcBorders>
            <w:vAlign w:val="center"/>
          </w:tcPr>
          <w:p w14:paraId="1975926C" w14:textId="77777777" w:rsidR="006553F6" w:rsidRPr="0053126D" w:rsidRDefault="006553F6"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eastAsia="DengXian" w:hAnsi="Times New Roman" w:cs="Times New Roman"/>
                <w:color w:val="000000" w:themeColor="text1"/>
                <w:sz w:val="17"/>
                <w:szCs w:val="17"/>
              </w:rPr>
              <w:t>QLIKE</w:t>
            </w:r>
          </w:p>
        </w:tc>
      </w:tr>
      <w:tr w:rsidR="000F24CC" w:rsidRPr="0053126D" w14:paraId="7B633B05" w14:textId="77777777" w:rsidTr="00A7614C">
        <w:trPr>
          <w:trHeight w:val="412"/>
          <w:jc w:val="center"/>
        </w:trPr>
        <w:tc>
          <w:tcPr>
            <w:tcW w:w="1521" w:type="pct"/>
            <w:tcBorders>
              <w:top w:val="single" w:sz="8" w:space="0" w:color="auto"/>
            </w:tcBorders>
            <w:vAlign w:val="center"/>
          </w:tcPr>
          <w:p w14:paraId="769F3009"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2</w:t>
            </w:r>
          </w:p>
        </w:tc>
        <w:tc>
          <w:tcPr>
            <w:tcW w:w="1202" w:type="pct"/>
            <w:tcBorders>
              <w:top w:val="single" w:sz="8" w:space="0" w:color="auto"/>
            </w:tcBorders>
          </w:tcPr>
          <w:p w14:paraId="5402C49A"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0.961**</w:t>
            </w:r>
          </w:p>
          <w:p w14:paraId="093D210A"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(-2.489)</w:t>
            </w:r>
          </w:p>
        </w:tc>
        <w:tc>
          <w:tcPr>
            <w:tcW w:w="1202" w:type="pct"/>
            <w:tcBorders>
              <w:top w:val="single" w:sz="8" w:space="0" w:color="auto"/>
            </w:tcBorders>
          </w:tcPr>
          <w:p w14:paraId="09292EFD"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0.969***</w:t>
            </w:r>
          </w:p>
          <w:p w14:paraId="0BFC55C9"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(-6.098)</w:t>
            </w:r>
          </w:p>
        </w:tc>
        <w:tc>
          <w:tcPr>
            <w:tcW w:w="1075" w:type="pct"/>
            <w:tcBorders>
              <w:top w:val="single" w:sz="8" w:space="0" w:color="auto"/>
            </w:tcBorders>
          </w:tcPr>
          <w:p w14:paraId="6A73CA7F"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0.974**</w:t>
            </w:r>
          </w:p>
          <w:p w14:paraId="772C591A" w14:textId="77777777" w:rsidR="006553F6" w:rsidRPr="0053126D" w:rsidRDefault="006553F6"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hAnsi="Times New Roman" w:cs="Times New Roman"/>
                <w:color w:val="000000" w:themeColor="text1"/>
                <w:sz w:val="17"/>
                <w:szCs w:val="17"/>
              </w:rPr>
              <w:t>(-2.424)</w:t>
            </w:r>
          </w:p>
        </w:tc>
      </w:tr>
      <w:tr w:rsidR="000F24CC" w:rsidRPr="0053126D" w14:paraId="36D6442C" w14:textId="77777777" w:rsidTr="00A7614C">
        <w:trPr>
          <w:trHeight w:val="295"/>
          <w:jc w:val="center"/>
        </w:trPr>
        <w:tc>
          <w:tcPr>
            <w:tcW w:w="1521" w:type="pct"/>
            <w:vAlign w:val="center"/>
          </w:tcPr>
          <w:p w14:paraId="28DC2355"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4</w:t>
            </w:r>
          </w:p>
        </w:tc>
        <w:tc>
          <w:tcPr>
            <w:tcW w:w="1202" w:type="pct"/>
          </w:tcPr>
          <w:p w14:paraId="204438BE"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0.994</w:t>
            </w:r>
          </w:p>
          <w:p w14:paraId="744181B9"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(-1.387)</w:t>
            </w:r>
          </w:p>
        </w:tc>
        <w:tc>
          <w:tcPr>
            <w:tcW w:w="1202" w:type="pct"/>
          </w:tcPr>
          <w:p w14:paraId="101A98F6"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1.005</w:t>
            </w:r>
          </w:p>
          <w:p w14:paraId="676AC77E"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(1.855)</w:t>
            </w:r>
          </w:p>
        </w:tc>
        <w:tc>
          <w:tcPr>
            <w:tcW w:w="1075" w:type="pct"/>
          </w:tcPr>
          <w:p w14:paraId="06741A79"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0.994</w:t>
            </w:r>
          </w:p>
          <w:p w14:paraId="2F284470" w14:textId="77777777" w:rsidR="006553F6" w:rsidRPr="0053126D" w:rsidRDefault="006553F6" w:rsidP="00A7614C">
            <w:pPr>
              <w:spacing w:line="0" w:lineRule="atLeast"/>
              <w:jc w:val="center"/>
              <w:rPr>
                <w:rFonts w:ascii="Times New Roman" w:eastAsia="DengXian" w:hAnsi="Times New Roman" w:cs="Times New Roman"/>
                <w:color w:val="000000" w:themeColor="text1"/>
                <w:sz w:val="17"/>
                <w:szCs w:val="17"/>
              </w:rPr>
            </w:pPr>
            <w:r w:rsidRPr="0053126D">
              <w:rPr>
                <w:rFonts w:ascii="Times New Roman" w:hAnsi="Times New Roman" w:cs="Times New Roman"/>
                <w:color w:val="000000" w:themeColor="text1"/>
                <w:sz w:val="17"/>
                <w:szCs w:val="17"/>
              </w:rPr>
              <w:t>(-0.987)</w:t>
            </w:r>
          </w:p>
        </w:tc>
      </w:tr>
      <w:tr w:rsidR="000F24CC" w:rsidRPr="0053126D" w14:paraId="60E02ADB" w14:textId="77777777" w:rsidTr="00A7614C">
        <w:trPr>
          <w:trHeight w:val="419"/>
          <w:jc w:val="center"/>
        </w:trPr>
        <w:tc>
          <w:tcPr>
            <w:tcW w:w="1521" w:type="pct"/>
            <w:tcBorders>
              <w:bottom w:val="single" w:sz="8" w:space="0" w:color="auto"/>
            </w:tcBorders>
            <w:vAlign w:val="center"/>
          </w:tcPr>
          <w:p w14:paraId="55020A66"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iCs/>
                <w:color w:val="000000" w:themeColor="text1"/>
                <w:sz w:val="17"/>
                <w:szCs w:val="17"/>
              </w:rPr>
              <w:t>Model 6</w:t>
            </w:r>
          </w:p>
        </w:tc>
        <w:tc>
          <w:tcPr>
            <w:tcW w:w="1202" w:type="pct"/>
            <w:tcBorders>
              <w:bottom w:val="single" w:sz="8" w:space="0" w:color="auto"/>
            </w:tcBorders>
          </w:tcPr>
          <w:p w14:paraId="4A55D0A8"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0.958***</w:t>
            </w:r>
          </w:p>
          <w:p w14:paraId="5932A28F"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(-3.323)</w:t>
            </w:r>
          </w:p>
        </w:tc>
        <w:tc>
          <w:tcPr>
            <w:tcW w:w="1202" w:type="pct"/>
            <w:tcBorders>
              <w:bottom w:val="single" w:sz="8" w:space="0" w:color="auto"/>
            </w:tcBorders>
          </w:tcPr>
          <w:p w14:paraId="06932683"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0.974***</w:t>
            </w:r>
          </w:p>
          <w:p w14:paraId="56392BE8"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(-3.834)</w:t>
            </w:r>
          </w:p>
        </w:tc>
        <w:tc>
          <w:tcPr>
            <w:tcW w:w="1075" w:type="pct"/>
          </w:tcPr>
          <w:p w14:paraId="6A564596"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0.971**</w:t>
            </w:r>
          </w:p>
          <w:p w14:paraId="0AB87153" w14:textId="77777777" w:rsidR="006553F6" w:rsidRPr="0053126D" w:rsidRDefault="006553F6" w:rsidP="00A7614C">
            <w:pPr>
              <w:spacing w:line="0" w:lineRule="atLeast"/>
              <w:jc w:val="center"/>
              <w:rPr>
                <w:rFonts w:ascii="Times New Roman" w:hAnsi="Times New Roman" w:cs="Times New Roman"/>
                <w:color w:val="000000" w:themeColor="text1"/>
                <w:sz w:val="17"/>
                <w:szCs w:val="17"/>
              </w:rPr>
            </w:pPr>
            <w:r w:rsidRPr="0053126D">
              <w:rPr>
                <w:rFonts w:ascii="Times New Roman" w:hAnsi="Times New Roman" w:cs="Times New Roman"/>
                <w:color w:val="000000" w:themeColor="text1"/>
                <w:sz w:val="17"/>
                <w:szCs w:val="17"/>
              </w:rPr>
              <w:t>(-2.083)</w:t>
            </w:r>
          </w:p>
        </w:tc>
      </w:tr>
      <w:tr w:rsidR="000F24CC" w:rsidRPr="0053126D" w14:paraId="2BB2BEB4" w14:textId="77777777" w:rsidTr="00A7614C">
        <w:trPr>
          <w:trHeight w:val="847"/>
          <w:jc w:val="center"/>
        </w:trPr>
        <w:tc>
          <w:tcPr>
            <w:tcW w:w="5000" w:type="pct"/>
            <w:gridSpan w:val="4"/>
            <w:tcBorders>
              <w:top w:val="single" w:sz="8" w:space="0" w:color="auto"/>
              <w:bottom w:val="nil"/>
            </w:tcBorders>
          </w:tcPr>
          <w:p w14:paraId="12D90C1F" w14:textId="77777777" w:rsidR="006553F6" w:rsidRPr="0053126D" w:rsidRDefault="006553F6" w:rsidP="006553F6">
            <w:pPr>
              <w:spacing w:line="0" w:lineRule="atLeast"/>
              <w:jc w:val="both"/>
              <w:rPr>
                <w:rFonts w:ascii="Times New Roman" w:eastAsia="SimSun" w:hAnsi="Times New Roman" w:cs="Times New Roman"/>
                <w:color w:val="000000" w:themeColor="text1"/>
                <w:sz w:val="17"/>
                <w:szCs w:val="17"/>
              </w:rPr>
            </w:pPr>
            <w:r w:rsidRPr="0053126D">
              <w:rPr>
                <w:rFonts w:ascii="Times New Roman" w:eastAsia="SimSun" w:hAnsi="Times New Roman" w:cs="Times New Roman"/>
                <w:color w:val="000000" w:themeColor="text1"/>
                <w:sz w:val="17"/>
                <w:szCs w:val="17"/>
              </w:rPr>
              <w:t>Note: This table shows the results of the Diebold-Mariano forecast evaluation relative to various models for which the GJR-GARCH(1,1) model is used as a benchmark. A ratio of less than 1 indicates that the model predicts volatility better than the benchmark model.DM test statistics are shown in parentheses. The time horizon is 1165 days. ***,**,* denote rejection of the original hypothesis at the 1 per cent, 5 per cent and 10 per cent significance levels, respectively.</w:t>
            </w:r>
          </w:p>
        </w:tc>
      </w:tr>
    </w:tbl>
    <w:bookmarkEnd w:id="103"/>
    <w:p w14:paraId="25C0F115" w14:textId="77777777" w:rsidR="003668E9" w:rsidRPr="0053126D" w:rsidRDefault="003668E9" w:rsidP="003668E9">
      <w:pPr>
        <w:pStyle w:val="Heading4"/>
        <w:keepNext w:val="0"/>
        <w:keepLines w:val="0"/>
        <w:widowControl/>
        <w:spacing w:before="240" w:after="0" w:line="360" w:lineRule="auto"/>
        <w:rPr>
          <w:rFonts w:ascii="Times New Roman" w:hAnsi="Times New Roman" w:cs="Times New Roman"/>
          <w:b/>
          <w:bCs/>
          <w:snapToGrid w:val="0"/>
          <w:color w:val="000000" w:themeColor="text1"/>
          <w:kern w:val="0"/>
          <w:sz w:val="22"/>
          <w:szCs w:val="22"/>
          <w:lang w:bidi="en-US"/>
        </w:rPr>
      </w:pPr>
      <w:r w:rsidRPr="0053126D">
        <w:rPr>
          <w:rFonts w:ascii="Times New Roman" w:hAnsi="Times New Roman" w:cs="Times New Roman"/>
          <w:b/>
          <w:snapToGrid w:val="0"/>
          <w:color w:val="000000" w:themeColor="text1"/>
          <w:kern w:val="0"/>
          <w:sz w:val="22"/>
          <w:szCs w:val="22"/>
          <w:lang w:bidi="en-US"/>
        </w:rPr>
        <w:t>References</w:t>
      </w:r>
    </w:p>
    <w:p w14:paraId="37430D5B" w14:textId="1F97AB1D" w:rsidR="00866D4D" w:rsidRPr="0053126D" w:rsidRDefault="00B0795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color w:val="000000" w:themeColor="text1"/>
          <w:lang w:bidi="en-US"/>
        </w:rPr>
        <w:fldChar w:fldCharType="begin"/>
      </w:r>
      <w:r w:rsidRPr="0053126D">
        <w:rPr>
          <w:rFonts w:ascii="Times New Roman" w:hAnsi="Times New Roman" w:cs="Times New Roman"/>
          <w:color w:val="000000" w:themeColor="text1"/>
          <w:lang w:bidi="en-US"/>
        </w:rPr>
        <w:instrText xml:space="preserve"> ADDIN EN.REFLIST </w:instrText>
      </w:r>
      <w:r w:rsidRPr="0053126D">
        <w:rPr>
          <w:rFonts w:ascii="Times New Roman" w:hAnsi="Times New Roman" w:cs="Times New Roman"/>
          <w:color w:val="000000" w:themeColor="text1"/>
          <w:lang w:bidi="en-US"/>
        </w:rPr>
        <w:fldChar w:fldCharType="separate"/>
      </w:r>
      <w:r w:rsidR="00866D4D" w:rsidRPr="0053126D">
        <w:rPr>
          <w:rFonts w:ascii="Times New Roman" w:hAnsi="Times New Roman" w:cs="Times New Roman"/>
          <w:noProof/>
        </w:rPr>
        <w:t xml:space="preserve">Balcilar, M., Bonato, M., Demirer, R., &amp; Gupta, R. (2018). Geopolitical risks and stock market dynamics of the BRICS. </w:t>
      </w:r>
      <w:r w:rsidR="00866D4D" w:rsidRPr="0053126D">
        <w:rPr>
          <w:rFonts w:ascii="Times New Roman" w:hAnsi="Times New Roman" w:cs="Times New Roman"/>
          <w:i/>
          <w:noProof/>
        </w:rPr>
        <w:t>Economic Systems</w:t>
      </w:r>
      <w:r w:rsidR="00866D4D" w:rsidRPr="0053126D">
        <w:rPr>
          <w:rFonts w:ascii="Times New Roman" w:hAnsi="Times New Roman" w:cs="Times New Roman"/>
          <w:noProof/>
        </w:rPr>
        <w:t>,</w:t>
      </w:r>
      <w:r w:rsidR="00866D4D" w:rsidRPr="0053126D">
        <w:rPr>
          <w:rFonts w:ascii="Times New Roman" w:hAnsi="Times New Roman" w:cs="Times New Roman"/>
          <w:i/>
          <w:noProof/>
        </w:rPr>
        <w:t xml:space="preserve"> 42</w:t>
      </w:r>
      <w:r w:rsidR="00866D4D" w:rsidRPr="0053126D">
        <w:rPr>
          <w:rFonts w:ascii="Times New Roman" w:hAnsi="Times New Roman" w:cs="Times New Roman"/>
          <w:noProof/>
        </w:rPr>
        <w:t xml:space="preserve">(2), 295–306. </w:t>
      </w:r>
      <w:hyperlink r:id="rId19" w:history="1">
        <w:r w:rsidR="00866D4D" w:rsidRPr="0053126D">
          <w:rPr>
            <w:rStyle w:val="Hyperlink"/>
            <w:rFonts w:ascii="Times New Roman" w:hAnsi="Times New Roman" w:cs="Times New Roman"/>
            <w:noProof/>
          </w:rPr>
          <w:t>https://doi.org/10.1016/j.ecosys.2017.05.008</w:t>
        </w:r>
      </w:hyperlink>
      <w:r w:rsidR="00866D4D" w:rsidRPr="0053126D">
        <w:rPr>
          <w:rFonts w:ascii="Times New Roman" w:hAnsi="Times New Roman" w:cs="Times New Roman"/>
          <w:noProof/>
        </w:rPr>
        <w:t xml:space="preserve"> </w:t>
      </w:r>
    </w:p>
    <w:p w14:paraId="481958B5" w14:textId="080BDE34"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BEKAERT, G., EHRMANN, M., FRATZSCHER, M., &amp; MEHL, A. (2014). The Global Crisis and Equity Market Contagion. </w:t>
      </w:r>
      <w:r w:rsidRPr="0053126D">
        <w:rPr>
          <w:rFonts w:ascii="Times New Roman" w:hAnsi="Times New Roman" w:cs="Times New Roman"/>
          <w:i/>
          <w:noProof/>
        </w:rPr>
        <w:t>The Journal of Finance</w:t>
      </w:r>
      <w:r w:rsidRPr="0053126D">
        <w:rPr>
          <w:rFonts w:ascii="Times New Roman" w:hAnsi="Times New Roman" w:cs="Times New Roman"/>
          <w:noProof/>
        </w:rPr>
        <w:t>,</w:t>
      </w:r>
      <w:r w:rsidRPr="0053126D">
        <w:rPr>
          <w:rFonts w:ascii="Times New Roman" w:hAnsi="Times New Roman" w:cs="Times New Roman"/>
          <w:i/>
          <w:noProof/>
        </w:rPr>
        <w:t xml:space="preserve"> 69</w:t>
      </w:r>
      <w:r w:rsidRPr="0053126D">
        <w:rPr>
          <w:rFonts w:ascii="Times New Roman" w:hAnsi="Times New Roman" w:cs="Times New Roman"/>
          <w:noProof/>
        </w:rPr>
        <w:t xml:space="preserve">(6), 2597–2649. </w:t>
      </w:r>
      <w:hyperlink r:id="rId20" w:history="1">
        <w:r w:rsidRPr="0053126D">
          <w:rPr>
            <w:rStyle w:val="Hyperlink"/>
            <w:rFonts w:ascii="Times New Roman" w:hAnsi="Times New Roman" w:cs="Times New Roman"/>
            <w:noProof/>
          </w:rPr>
          <w:t>https://doi.org/10.1111/jofi.12203</w:t>
        </w:r>
      </w:hyperlink>
      <w:r w:rsidRPr="0053126D">
        <w:rPr>
          <w:rFonts w:ascii="Times New Roman" w:hAnsi="Times New Roman" w:cs="Times New Roman"/>
          <w:noProof/>
        </w:rPr>
        <w:t xml:space="preserve"> </w:t>
      </w:r>
    </w:p>
    <w:p w14:paraId="1593E74E" w14:textId="6509E1B8"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Bordalo, P., Gennaioli, N., Ma, Y., &amp; Shleifer, A. (2020). Overreaction in Macroeconomic Expectations. </w:t>
      </w:r>
      <w:r w:rsidRPr="0053126D">
        <w:rPr>
          <w:rFonts w:ascii="Times New Roman" w:hAnsi="Times New Roman" w:cs="Times New Roman"/>
          <w:i/>
          <w:noProof/>
        </w:rPr>
        <w:t>American Economic Review</w:t>
      </w:r>
      <w:r w:rsidRPr="0053126D">
        <w:rPr>
          <w:rFonts w:ascii="Times New Roman" w:hAnsi="Times New Roman" w:cs="Times New Roman"/>
          <w:noProof/>
        </w:rPr>
        <w:t>,</w:t>
      </w:r>
      <w:r w:rsidRPr="0053126D">
        <w:rPr>
          <w:rFonts w:ascii="Times New Roman" w:hAnsi="Times New Roman" w:cs="Times New Roman"/>
          <w:i/>
          <w:noProof/>
        </w:rPr>
        <w:t xml:space="preserve"> 110</w:t>
      </w:r>
      <w:r w:rsidRPr="0053126D">
        <w:rPr>
          <w:rFonts w:ascii="Times New Roman" w:hAnsi="Times New Roman" w:cs="Times New Roman"/>
          <w:noProof/>
        </w:rPr>
        <w:t xml:space="preserve">(9), 2748–2782. </w:t>
      </w:r>
      <w:hyperlink r:id="rId21" w:history="1">
        <w:r w:rsidRPr="0053126D">
          <w:rPr>
            <w:rStyle w:val="Hyperlink"/>
            <w:rFonts w:ascii="Times New Roman" w:hAnsi="Times New Roman" w:cs="Times New Roman"/>
            <w:noProof/>
          </w:rPr>
          <w:t>https://doi.org/10.1257/aer.20181219</w:t>
        </w:r>
      </w:hyperlink>
      <w:r w:rsidRPr="0053126D">
        <w:rPr>
          <w:rFonts w:ascii="Times New Roman" w:hAnsi="Times New Roman" w:cs="Times New Roman"/>
          <w:noProof/>
        </w:rPr>
        <w:t xml:space="preserve"> </w:t>
      </w:r>
    </w:p>
    <w:p w14:paraId="5342739F" w14:textId="15BBD952"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Chernov, M., Creal, D., &amp; Hördahl, P. (2023). Sovereign credit and exchange rate risks: Evidence from Asia-</w:t>
      </w:r>
      <w:r w:rsidRPr="0053126D">
        <w:rPr>
          <w:rFonts w:ascii="Times New Roman" w:hAnsi="Times New Roman" w:cs="Times New Roman"/>
          <w:noProof/>
        </w:rPr>
        <w:lastRenderedPageBreak/>
        <w:t xml:space="preserve">Pacific local currency bonds. </w:t>
      </w:r>
      <w:r w:rsidRPr="0053126D">
        <w:rPr>
          <w:rFonts w:ascii="Times New Roman" w:hAnsi="Times New Roman" w:cs="Times New Roman"/>
          <w:i/>
          <w:noProof/>
        </w:rPr>
        <w:t>Journal of International Economics</w:t>
      </w:r>
      <w:r w:rsidRPr="0053126D">
        <w:rPr>
          <w:rFonts w:ascii="Times New Roman" w:hAnsi="Times New Roman" w:cs="Times New Roman"/>
          <w:noProof/>
        </w:rPr>
        <w:t>,</w:t>
      </w:r>
      <w:r w:rsidRPr="0053126D">
        <w:rPr>
          <w:rFonts w:ascii="Times New Roman" w:hAnsi="Times New Roman" w:cs="Times New Roman"/>
          <w:i/>
          <w:noProof/>
        </w:rPr>
        <w:t xml:space="preserve"> 140</w:t>
      </w:r>
      <w:r w:rsidRPr="0053126D">
        <w:rPr>
          <w:rFonts w:ascii="Times New Roman" w:hAnsi="Times New Roman" w:cs="Times New Roman"/>
          <w:noProof/>
        </w:rPr>
        <w:t xml:space="preserve">, 103692. </w:t>
      </w:r>
      <w:hyperlink r:id="rId22" w:history="1">
        <w:r w:rsidRPr="0053126D">
          <w:rPr>
            <w:rStyle w:val="Hyperlink"/>
            <w:rFonts w:ascii="Times New Roman" w:hAnsi="Times New Roman" w:cs="Times New Roman"/>
            <w:noProof/>
          </w:rPr>
          <w:t>https://doi.org/10.1016/j.jinteco.2022.103692</w:t>
        </w:r>
      </w:hyperlink>
      <w:r w:rsidRPr="0053126D">
        <w:rPr>
          <w:rFonts w:ascii="Times New Roman" w:hAnsi="Times New Roman" w:cs="Times New Roman"/>
          <w:noProof/>
        </w:rPr>
        <w:t xml:space="preserve"> </w:t>
      </w:r>
    </w:p>
    <w:p w14:paraId="260F7469" w14:textId="04BEB894"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Conrad, C., &amp; Kleen, O. (2020). Two are better than one: Volatility forecasting using multiplicative component GARCH-MIDAS models. </w:t>
      </w:r>
      <w:r w:rsidRPr="0053126D">
        <w:rPr>
          <w:rFonts w:ascii="Times New Roman" w:hAnsi="Times New Roman" w:cs="Times New Roman"/>
          <w:i/>
          <w:noProof/>
        </w:rPr>
        <w:t>Journal of Applied Econometrics</w:t>
      </w:r>
      <w:r w:rsidRPr="0053126D">
        <w:rPr>
          <w:rFonts w:ascii="Times New Roman" w:hAnsi="Times New Roman" w:cs="Times New Roman"/>
          <w:noProof/>
        </w:rPr>
        <w:t>,</w:t>
      </w:r>
      <w:r w:rsidRPr="0053126D">
        <w:rPr>
          <w:rFonts w:ascii="Times New Roman" w:hAnsi="Times New Roman" w:cs="Times New Roman"/>
          <w:i/>
          <w:noProof/>
        </w:rPr>
        <w:t xml:space="preserve"> 35</w:t>
      </w:r>
      <w:r w:rsidRPr="0053126D">
        <w:rPr>
          <w:rFonts w:ascii="Times New Roman" w:hAnsi="Times New Roman" w:cs="Times New Roman"/>
          <w:noProof/>
        </w:rPr>
        <w:t xml:space="preserve">(1), 19–45. </w:t>
      </w:r>
      <w:hyperlink r:id="rId23" w:history="1">
        <w:r w:rsidRPr="0053126D">
          <w:rPr>
            <w:rStyle w:val="Hyperlink"/>
            <w:rFonts w:ascii="Times New Roman" w:hAnsi="Times New Roman" w:cs="Times New Roman"/>
            <w:noProof/>
          </w:rPr>
          <w:t>https://doi.org/10.1002/jae.2742</w:t>
        </w:r>
      </w:hyperlink>
      <w:r w:rsidRPr="0053126D">
        <w:rPr>
          <w:rFonts w:ascii="Times New Roman" w:hAnsi="Times New Roman" w:cs="Times New Roman"/>
          <w:noProof/>
        </w:rPr>
        <w:t xml:space="preserve"> </w:t>
      </w:r>
    </w:p>
    <w:p w14:paraId="45616EF1" w14:textId="2050C1EE"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Corsi, F. (2009). A Simple Approximate Long-Memory Model of Realized Volatility. </w:t>
      </w:r>
      <w:r w:rsidRPr="0053126D">
        <w:rPr>
          <w:rFonts w:ascii="Times New Roman" w:hAnsi="Times New Roman" w:cs="Times New Roman"/>
          <w:i/>
          <w:noProof/>
        </w:rPr>
        <w:t>Journal of Financial Econometrics</w:t>
      </w:r>
      <w:r w:rsidRPr="0053126D">
        <w:rPr>
          <w:rFonts w:ascii="Times New Roman" w:hAnsi="Times New Roman" w:cs="Times New Roman"/>
          <w:noProof/>
        </w:rPr>
        <w:t>,</w:t>
      </w:r>
      <w:r w:rsidRPr="0053126D">
        <w:rPr>
          <w:rFonts w:ascii="Times New Roman" w:hAnsi="Times New Roman" w:cs="Times New Roman"/>
          <w:i/>
          <w:noProof/>
        </w:rPr>
        <w:t xml:space="preserve"> 7</w:t>
      </w:r>
      <w:r w:rsidRPr="0053126D">
        <w:rPr>
          <w:rFonts w:ascii="Times New Roman" w:hAnsi="Times New Roman" w:cs="Times New Roman"/>
          <w:noProof/>
        </w:rPr>
        <w:t xml:space="preserve">(2), 174–196. </w:t>
      </w:r>
      <w:hyperlink r:id="rId24" w:history="1">
        <w:r w:rsidRPr="0053126D">
          <w:rPr>
            <w:rStyle w:val="Hyperlink"/>
            <w:rFonts w:ascii="Times New Roman" w:hAnsi="Times New Roman" w:cs="Times New Roman"/>
            <w:noProof/>
          </w:rPr>
          <w:t>https://doi.org/10.1093/jjfinec/nbp001</w:t>
        </w:r>
      </w:hyperlink>
      <w:r w:rsidRPr="0053126D">
        <w:rPr>
          <w:rFonts w:ascii="Times New Roman" w:hAnsi="Times New Roman" w:cs="Times New Roman"/>
          <w:noProof/>
        </w:rPr>
        <w:t xml:space="preserve"> </w:t>
      </w:r>
    </w:p>
    <w:p w14:paraId="5B620B6D" w14:textId="698FFF97"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Dai, P.-F., Xiong, X., Zhang, J., &amp; Zhou, W.-X. (2022). The role of global economic policy uncertainty in predicting crude oil futures volatility: Evidence from a two-factor GARCH-MIDAS model. </w:t>
      </w:r>
      <w:r w:rsidRPr="0053126D">
        <w:rPr>
          <w:rFonts w:ascii="Times New Roman" w:hAnsi="Times New Roman" w:cs="Times New Roman"/>
          <w:i/>
          <w:noProof/>
        </w:rPr>
        <w:t>Resources Policy</w:t>
      </w:r>
      <w:r w:rsidRPr="0053126D">
        <w:rPr>
          <w:rFonts w:ascii="Times New Roman" w:hAnsi="Times New Roman" w:cs="Times New Roman"/>
          <w:noProof/>
        </w:rPr>
        <w:t>,</w:t>
      </w:r>
      <w:r w:rsidRPr="0053126D">
        <w:rPr>
          <w:rFonts w:ascii="Times New Roman" w:hAnsi="Times New Roman" w:cs="Times New Roman"/>
          <w:i/>
          <w:noProof/>
        </w:rPr>
        <w:t xml:space="preserve"> 78</w:t>
      </w:r>
      <w:r w:rsidRPr="0053126D">
        <w:rPr>
          <w:rFonts w:ascii="Times New Roman" w:hAnsi="Times New Roman" w:cs="Times New Roman"/>
          <w:noProof/>
        </w:rPr>
        <w:t xml:space="preserve">, 102849. </w:t>
      </w:r>
      <w:hyperlink r:id="rId25" w:history="1">
        <w:r w:rsidRPr="0053126D">
          <w:rPr>
            <w:rStyle w:val="Hyperlink"/>
            <w:rFonts w:ascii="Times New Roman" w:hAnsi="Times New Roman" w:cs="Times New Roman"/>
            <w:noProof/>
          </w:rPr>
          <w:t>https://doi.org/10.1016/j.resourpol.2022.102849</w:t>
        </w:r>
      </w:hyperlink>
      <w:r w:rsidRPr="0053126D">
        <w:rPr>
          <w:rFonts w:ascii="Times New Roman" w:hAnsi="Times New Roman" w:cs="Times New Roman"/>
          <w:noProof/>
        </w:rPr>
        <w:t xml:space="preserve"> </w:t>
      </w:r>
    </w:p>
    <w:p w14:paraId="5BC05102" w14:textId="7975A9C9"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Dibooglu, S., &amp; Cevik, E. I. (2016). The effect of North Korean threats on financial markets in South Korea and Japan. </w:t>
      </w:r>
      <w:r w:rsidRPr="0053126D">
        <w:rPr>
          <w:rFonts w:ascii="Times New Roman" w:hAnsi="Times New Roman" w:cs="Times New Roman"/>
          <w:i/>
          <w:noProof/>
        </w:rPr>
        <w:t>Journal of Asian Economics</w:t>
      </w:r>
      <w:r w:rsidRPr="0053126D">
        <w:rPr>
          <w:rFonts w:ascii="Times New Roman" w:hAnsi="Times New Roman" w:cs="Times New Roman"/>
          <w:noProof/>
        </w:rPr>
        <w:t>,</w:t>
      </w:r>
      <w:r w:rsidRPr="0053126D">
        <w:rPr>
          <w:rFonts w:ascii="Times New Roman" w:hAnsi="Times New Roman" w:cs="Times New Roman"/>
          <w:i/>
          <w:noProof/>
        </w:rPr>
        <w:t xml:space="preserve"> 43</w:t>
      </w:r>
      <w:r w:rsidRPr="0053126D">
        <w:rPr>
          <w:rFonts w:ascii="Times New Roman" w:hAnsi="Times New Roman" w:cs="Times New Roman"/>
          <w:noProof/>
        </w:rPr>
        <w:t xml:space="preserve">, 18–26. </w:t>
      </w:r>
      <w:hyperlink r:id="rId26" w:history="1">
        <w:r w:rsidRPr="0053126D">
          <w:rPr>
            <w:rStyle w:val="Hyperlink"/>
            <w:rFonts w:ascii="Times New Roman" w:hAnsi="Times New Roman" w:cs="Times New Roman"/>
            <w:noProof/>
          </w:rPr>
          <w:t>https://doi.org/10.1016/j.asieco.2016.03.002</w:t>
        </w:r>
      </w:hyperlink>
      <w:r w:rsidRPr="0053126D">
        <w:rPr>
          <w:rFonts w:ascii="Times New Roman" w:hAnsi="Times New Roman" w:cs="Times New Roman"/>
          <w:noProof/>
        </w:rPr>
        <w:t xml:space="preserve"> </w:t>
      </w:r>
    </w:p>
    <w:p w14:paraId="1F1FE0B0" w14:textId="1FCF18D4"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Diebold, F. X., &amp; Lopez, J. A. (1996). 8 Forecast evaluation and combination. In </w:t>
      </w:r>
      <w:r w:rsidRPr="0053126D">
        <w:rPr>
          <w:rFonts w:ascii="Times New Roman" w:hAnsi="Times New Roman" w:cs="Times New Roman"/>
          <w:i/>
          <w:noProof/>
        </w:rPr>
        <w:t>Handbook of Statistics</w:t>
      </w:r>
      <w:r w:rsidRPr="0053126D">
        <w:rPr>
          <w:rFonts w:ascii="Times New Roman" w:hAnsi="Times New Roman" w:cs="Times New Roman"/>
          <w:noProof/>
        </w:rPr>
        <w:t xml:space="preserve"> (Vol. 14, pp. 241–268). Elsevier. </w:t>
      </w:r>
      <w:hyperlink r:id="rId27" w:history="1">
        <w:r w:rsidRPr="0053126D">
          <w:rPr>
            <w:rStyle w:val="Hyperlink"/>
            <w:rFonts w:ascii="Times New Roman" w:hAnsi="Times New Roman" w:cs="Times New Roman"/>
            <w:noProof/>
          </w:rPr>
          <w:t>https://doi.org/https://doi.org/10.1016/S0169-7161(96)14010-4</w:t>
        </w:r>
      </w:hyperlink>
      <w:r w:rsidRPr="0053126D">
        <w:rPr>
          <w:rFonts w:ascii="Times New Roman" w:hAnsi="Times New Roman" w:cs="Times New Roman"/>
          <w:noProof/>
        </w:rPr>
        <w:t xml:space="preserve"> </w:t>
      </w:r>
    </w:p>
    <w:p w14:paraId="62A36056" w14:textId="6B86542F"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Diebold, F. X., &amp; Mariano, R. S. (2002). Comparing Predictive Accuracy. </w:t>
      </w:r>
      <w:r w:rsidRPr="0053126D">
        <w:rPr>
          <w:rFonts w:ascii="Times New Roman" w:hAnsi="Times New Roman" w:cs="Times New Roman"/>
          <w:i/>
          <w:noProof/>
        </w:rPr>
        <w:t>Journal of Business &amp; Economic Statistics</w:t>
      </w:r>
      <w:r w:rsidRPr="0053126D">
        <w:rPr>
          <w:rFonts w:ascii="Times New Roman" w:hAnsi="Times New Roman" w:cs="Times New Roman"/>
          <w:noProof/>
        </w:rPr>
        <w:t>,</w:t>
      </w:r>
      <w:r w:rsidRPr="0053126D">
        <w:rPr>
          <w:rFonts w:ascii="Times New Roman" w:hAnsi="Times New Roman" w:cs="Times New Roman"/>
          <w:i/>
          <w:noProof/>
        </w:rPr>
        <w:t xml:space="preserve"> 20</w:t>
      </w:r>
      <w:r w:rsidRPr="0053126D">
        <w:rPr>
          <w:rFonts w:ascii="Times New Roman" w:hAnsi="Times New Roman" w:cs="Times New Roman"/>
          <w:noProof/>
        </w:rPr>
        <w:t xml:space="preserve">(1), 134–144. </w:t>
      </w:r>
      <w:hyperlink r:id="rId28" w:history="1">
        <w:r w:rsidRPr="0053126D">
          <w:rPr>
            <w:rStyle w:val="Hyperlink"/>
            <w:rFonts w:ascii="Times New Roman" w:hAnsi="Times New Roman" w:cs="Times New Roman"/>
            <w:noProof/>
          </w:rPr>
          <w:t>https://doi.org/10.1198/073500102753410444</w:t>
        </w:r>
      </w:hyperlink>
      <w:r w:rsidRPr="0053126D">
        <w:rPr>
          <w:rFonts w:ascii="Times New Roman" w:hAnsi="Times New Roman" w:cs="Times New Roman"/>
          <w:noProof/>
        </w:rPr>
        <w:t xml:space="preserve"> </w:t>
      </w:r>
    </w:p>
    <w:p w14:paraId="572BF721" w14:textId="4BB58B23"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Engle, R. F., Ghysels, E., &amp; Sohn, B. (2013). Stock Market Volatility and Macroeconomic Fundamentals. </w:t>
      </w:r>
      <w:r w:rsidRPr="0053126D">
        <w:rPr>
          <w:rFonts w:ascii="Times New Roman" w:hAnsi="Times New Roman" w:cs="Times New Roman"/>
          <w:i/>
          <w:noProof/>
        </w:rPr>
        <w:t>The Review of Economics and Statistics</w:t>
      </w:r>
      <w:r w:rsidRPr="0053126D">
        <w:rPr>
          <w:rFonts w:ascii="Times New Roman" w:hAnsi="Times New Roman" w:cs="Times New Roman"/>
          <w:noProof/>
        </w:rPr>
        <w:t>,</w:t>
      </w:r>
      <w:r w:rsidRPr="0053126D">
        <w:rPr>
          <w:rFonts w:ascii="Times New Roman" w:hAnsi="Times New Roman" w:cs="Times New Roman"/>
          <w:i/>
          <w:noProof/>
        </w:rPr>
        <w:t xml:space="preserve"> 95</w:t>
      </w:r>
      <w:r w:rsidRPr="0053126D">
        <w:rPr>
          <w:rFonts w:ascii="Times New Roman" w:hAnsi="Times New Roman" w:cs="Times New Roman"/>
          <w:noProof/>
        </w:rPr>
        <w:t xml:space="preserve">(3), 776–797. </w:t>
      </w:r>
      <w:hyperlink r:id="rId29" w:history="1">
        <w:r w:rsidRPr="0053126D">
          <w:rPr>
            <w:rStyle w:val="Hyperlink"/>
            <w:rFonts w:ascii="Times New Roman" w:hAnsi="Times New Roman" w:cs="Times New Roman"/>
            <w:noProof/>
          </w:rPr>
          <w:t>https://doi.org/10.1162/REST_a_00300</w:t>
        </w:r>
      </w:hyperlink>
      <w:r w:rsidRPr="0053126D">
        <w:rPr>
          <w:rFonts w:ascii="Times New Roman" w:hAnsi="Times New Roman" w:cs="Times New Roman"/>
          <w:noProof/>
        </w:rPr>
        <w:t xml:space="preserve"> </w:t>
      </w:r>
    </w:p>
    <w:p w14:paraId="1C86381A" w14:textId="4EAB0445"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Foglia, M., Plakandaras, V., Gupta, R., &amp; Bouri, E. (2025). Rare disasters and multilayer spillovers between volatility and skewness in international stock markets over a century of data: The role of geopolitical risk. </w:t>
      </w:r>
      <w:r w:rsidRPr="0053126D">
        <w:rPr>
          <w:rFonts w:ascii="Times New Roman" w:hAnsi="Times New Roman" w:cs="Times New Roman"/>
          <w:i/>
          <w:noProof/>
        </w:rPr>
        <w:t>International Review of Economics &amp; Finance</w:t>
      </w:r>
      <w:r w:rsidRPr="0053126D">
        <w:rPr>
          <w:rFonts w:ascii="Times New Roman" w:hAnsi="Times New Roman" w:cs="Times New Roman"/>
          <w:noProof/>
        </w:rPr>
        <w:t>,</w:t>
      </w:r>
      <w:r w:rsidRPr="0053126D">
        <w:rPr>
          <w:rFonts w:ascii="Times New Roman" w:hAnsi="Times New Roman" w:cs="Times New Roman"/>
          <w:i/>
          <w:noProof/>
        </w:rPr>
        <w:t xml:space="preserve"> 101</w:t>
      </w:r>
      <w:r w:rsidRPr="0053126D">
        <w:rPr>
          <w:rFonts w:ascii="Times New Roman" w:hAnsi="Times New Roman" w:cs="Times New Roman"/>
          <w:noProof/>
        </w:rPr>
        <w:t xml:space="preserve">, 104183. </w:t>
      </w:r>
      <w:hyperlink r:id="rId30" w:history="1">
        <w:r w:rsidRPr="0053126D">
          <w:rPr>
            <w:rStyle w:val="Hyperlink"/>
            <w:rFonts w:ascii="Times New Roman" w:hAnsi="Times New Roman" w:cs="Times New Roman"/>
            <w:noProof/>
          </w:rPr>
          <w:t>https://doi.org/10.1016/j.iref.2025.104183</w:t>
        </w:r>
      </w:hyperlink>
      <w:r w:rsidRPr="0053126D">
        <w:rPr>
          <w:rFonts w:ascii="Times New Roman" w:hAnsi="Times New Roman" w:cs="Times New Roman"/>
          <w:noProof/>
        </w:rPr>
        <w:t xml:space="preserve"> </w:t>
      </w:r>
    </w:p>
    <w:p w14:paraId="2F86711C" w14:textId="5F93CBA0"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Ha, J., Lee, S., &amp; So, I. (2022). The Impact of Uncertainty Shocks: Evidence from Geopolitical Swings on the Korean Peninsula. </w:t>
      </w:r>
      <w:r w:rsidRPr="0053126D">
        <w:rPr>
          <w:rFonts w:ascii="Times New Roman" w:hAnsi="Times New Roman" w:cs="Times New Roman"/>
          <w:i/>
          <w:noProof/>
        </w:rPr>
        <w:t>Oxford Bulletin of Economics and Statistics</w:t>
      </w:r>
      <w:r w:rsidRPr="0053126D">
        <w:rPr>
          <w:rFonts w:ascii="Times New Roman" w:hAnsi="Times New Roman" w:cs="Times New Roman"/>
          <w:noProof/>
        </w:rPr>
        <w:t>,</w:t>
      </w:r>
      <w:r w:rsidRPr="0053126D">
        <w:rPr>
          <w:rFonts w:ascii="Times New Roman" w:hAnsi="Times New Roman" w:cs="Times New Roman"/>
          <w:i/>
          <w:noProof/>
        </w:rPr>
        <w:t xml:space="preserve"> 84</w:t>
      </w:r>
      <w:r w:rsidRPr="0053126D">
        <w:rPr>
          <w:rFonts w:ascii="Times New Roman" w:hAnsi="Times New Roman" w:cs="Times New Roman"/>
          <w:noProof/>
        </w:rPr>
        <w:t xml:space="preserve">(1), 21–56. </w:t>
      </w:r>
      <w:hyperlink r:id="rId31" w:history="1">
        <w:r w:rsidRPr="0053126D">
          <w:rPr>
            <w:rStyle w:val="Hyperlink"/>
            <w:rFonts w:ascii="Times New Roman" w:hAnsi="Times New Roman" w:cs="Times New Roman"/>
            <w:noProof/>
          </w:rPr>
          <w:t>https://doi.org/10.1111/obes.12456</w:t>
        </w:r>
      </w:hyperlink>
      <w:r w:rsidRPr="0053126D">
        <w:rPr>
          <w:rFonts w:ascii="Times New Roman" w:hAnsi="Times New Roman" w:cs="Times New Roman"/>
          <w:noProof/>
        </w:rPr>
        <w:t xml:space="preserve"> </w:t>
      </w:r>
    </w:p>
    <w:p w14:paraId="68372178" w14:textId="073E4EE4"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Hansen, P. R., Lunde, A., &amp; Nason, J. M. (2011). THE MODEL CONFIDENCE SET. </w:t>
      </w:r>
      <w:r w:rsidRPr="0053126D">
        <w:rPr>
          <w:rFonts w:ascii="Times New Roman" w:hAnsi="Times New Roman" w:cs="Times New Roman"/>
          <w:i/>
          <w:noProof/>
        </w:rPr>
        <w:t>Econometrica</w:t>
      </w:r>
      <w:r w:rsidRPr="0053126D">
        <w:rPr>
          <w:rFonts w:ascii="Times New Roman" w:hAnsi="Times New Roman" w:cs="Times New Roman"/>
          <w:noProof/>
        </w:rPr>
        <w:t>,</w:t>
      </w:r>
      <w:r w:rsidRPr="0053126D">
        <w:rPr>
          <w:rFonts w:ascii="Times New Roman" w:hAnsi="Times New Roman" w:cs="Times New Roman"/>
          <w:i/>
          <w:noProof/>
        </w:rPr>
        <w:t xml:space="preserve"> 79</w:t>
      </w:r>
      <w:r w:rsidRPr="0053126D">
        <w:rPr>
          <w:rFonts w:ascii="Times New Roman" w:hAnsi="Times New Roman" w:cs="Times New Roman"/>
          <w:noProof/>
        </w:rPr>
        <w:t xml:space="preserve">(2), 453–497. </w:t>
      </w:r>
      <w:hyperlink r:id="rId32" w:history="1">
        <w:r w:rsidRPr="0053126D">
          <w:rPr>
            <w:rStyle w:val="Hyperlink"/>
            <w:rFonts w:ascii="Times New Roman" w:hAnsi="Times New Roman" w:cs="Times New Roman"/>
            <w:noProof/>
          </w:rPr>
          <w:t>https://doi.org/10.3982/ECTA5771</w:t>
        </w:r>
      </w:hyperlink>
      <w:r w:rsidRPr="0053126D">
        <w:rPr>
          <w:rFonts w:ascii="Times New Roman" w:hAnsi="Times New Roman" w:cs="Times New Roman"/>
          <w:noProof/>
        </w:rPr>
        <w:t xml:space="preserve"> </w:t>
      </w:r>
    </w:p>
    <w:p w14:paraId="1312973D" w14:textId="68615D2A"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Huh, I., &amp; Pyun, J. H. (2018). Does Nuclear Uncertainty Threaten Financial Markets? The Attention Paid to North Korean Nuclear Threats and Its Impact on South Korea's Financial Markets. </w:t>
      </w:r>
      <w:r w:rsidRPr="0053126D">
        <w:rPr>
          <w:rFonts w:ascii="Times New Roman" w:hAnsi="Times New Roman" w:cs="Times New Roman"/>
          <w:i/>
          <w:noProof/>
        </w:rPr>
        <w:t>Asian Economic Journal</w:t>
      </w:r>
      <w:r w:rsidRPr="0053126D">
        <w:rPr>
          <w:rFonts w:ascii="Times New Roman" w:hAnsi="Times New Roman" w:cs="Times New Roman"/>
          <w:noProof/>
        </w:rPr>
        <w:t>,</w:t>
      </w:r>
      <w:r w:rsidRPr="0053126D">
        <w:rPr>
          <w:rFonts w:ascii="Times New Roman" w:hAnsi="Times New Roman" w:cs="Times New Roman"/>
          <w:i/>
          <w:noProof/>
        </w:rPr>
        <w:t xml:space="preserve"> 32</w:t>
      </w:r>
      <w:r w:rsidRPr="0053126D">
        <w:rPr>
          <w:rFonts w:ascii="Times New Roman" w:hAnsi="Times New Roman" w:cs="Times New Roman"/>
          <w:noProof/>
        </w:rPr>
        <w:t xml:space="preserve">(1), 55–82. </w:t>
      </w:r>
      <w:hyperlink r:id="rId33" w:history="1">
        <w:r w:rsidRPr="0053126D">
          <w:rPr>
            <w:rStyle w:val="Hyperlink"/>
            <w:rFonts w:ascii="Times New Roman" w:hAnsi="Times New Roman" w:cs="Times New Roman"/>
            <w:noProof/>
          </w:rPr>
          <w:t>https://doi.org/10.1111/asej.12142</w:t>
        </w:r>
      </w:hyperlink>
      <w:r w:rsidRPr="0053126D">
        <w:rPr>
          <w:rFonts w:ascii="Times New Roman" w:hAnsi="Times New Roman" w:cs="Times New Roman"/>
          <w:noProof/>
        </w:rPr>
        <w:t xml:space="preserve"> </w:t>
      </w:r>
    </w:p>
    <w:p w14:paraId="2B9697D5" w14:textId="4E5094FC"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Ijaz, M. S., Ali, S., Du, A. M., &amp; Khurram, M. (2025). Analyzing financial market reactions to the Palestine-Israel conflict: An event study perspective. </w:t>
      </w:r>
      <w:r w:rsidRPr="0053126D">
        <w:rPr>
          <w:rFonts w:ascii="Times New Roman" w:hAnsi="Times New Roman" w:cs="Times New Roman"/>
          <w:i/>
          <w:noProof/>
        </w:rPr>
        <w:t>International Review of Economics &amp; Finance</w:t>
      </w:r>
      <w:r w:rsidRPr="0053126D">
        <w:rPr>
          <w:rFonts w:ascii="Times New Roman" w:hAnsi="Times New Roman" w:cs="Times New Roman"/>
          <w:noProof/>
        </w:rPr>
        <w:t>,</w:t>
      </w:r>
      <w:r w:rsidRPr="0053126D">
        <w:rPr>
          <w:rFonts w:ascii="Times New Roman" w:hAnsi="Times New Roman" w:cs="Times New Roman"/>
          <w:i/>
          <w:noProof/>
        </w:rPr>
        <w:t xml:space="preserve"> 98</w:t>
      </w:r>
      <w:r w:rsidRPr="0053126D">
        <w:rPr>
          <w:rFonts w:ascii="Times New Roman" w:hAnsi="Times New Roman" w:cs="Times New Roman"/>
          <w:noProof/>
        </w:rPr>
        <w:t xml:space="preserve">, 103864. </w:t>
      </w:r>
      <w:hyperlink r:id="rId34" w:history="1">
        <w:r w:rsidRPr="0053126D">
          <w:rPr>
            <w:rStyle w:val="Hyperlink"/>
            <w:rFonts w:ascii="Times New Roman" w:hAnsi="Times New Roman" w:cs="Times New Roman"/>
            <w:noProof/>
          </w:rPr>
          <w:t>https://doi.org/10.1016/j.iref.2025.103864</w:t>
        </w:r>
      </w:hyperlink>
      <w:r w:rsidRPr="0053126D">
        <w:rPr>
          <w:rFonts w:ascii="Times New Roman" w:hAnsi="Times New Roman" w:cs="Times New Roman"/>
          <w:noProof/>
        </w:rPr>
        <w:t xml:space="preserve"> </w:t>
      </w:r>
    </w:p>
    <w:p w14:paraId="284D3DA4" w14:textId="6D3921A3"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Jung, S., Lee, J., &amp; Lee, S. (2021). Geopolitical Risk on Stock Returns: Evidence from Inter-Korea Geopolit ics. </w:t>
      </w:r>
      <w:r w:rsidRPr="0053126D">
        <w:rPr>
          <w:rFonts w:ascii="Times New Roman" w:hAnsi="Times New Roman" w:cs="Times New Roman"/>
          <w:i/>
          <w:noProof/>
        </w:rPr>
        <w:t>IMF Working Papers</w:t>
      </w:r>
      <w:r w:rsidRPr="0053126D">
        <w:rPr>
          <w:rFonts w:ascii="Times New Roman" w:hAnsi="Times New Roman" w:cs="Times New Roman"/>
          <w:noProof/>
        </w:rPr>
        <w:t>,</w:t>
      </w:r>
      <w:r w:rsidRPr="0053126D">
        <w:rPr>
          <w:rFonts w:ascii="Times New Roman" w:hAnsi="Times New Roman" w:cs="Times New Roman"/>
          <w:i/>
          <w:noProof/>
        </w:rPr>
        <w:t xml:space="preserve"> 2021</w:t>
      </w:r>
      <w:r w:rsidRPr="0053126D">
        <w:rPr>
          <w:rFonts w:ascii="Times New Roman" w:hAnsi="Times New Roman" w:cs="Times New Roman"/>
          <w:noProof/>
        </w:rPr>
        <w:t xml:space="preserve">(251), 1. </w:t>
      </w:r>
      <w:hyperlink r:id="rId35" w:history="1">
        <w:r w:rsidRPr="0053126D">
          <w:rPr>
            <w:rStyle w:val="Hyperlink"/>
            <w:rFonts w:ascii="Times New Roman" w:hAnsi="Times New Roman" w:cs="Times New Roman"/>
            <w:noProof/>
          </w:rPr>
          <w:t>http://dx.doi.org/10.5089/9781557759672.001</w:t>
        </w:r>
      </w:hyperlink>
      <w:r w:rsidRPr="0053126D">
        <w:rPr>
          <w:rFonts w:ascii="Times New Roman" w:hAnsi="Times New Roman" w:cs="Times New Roman"/>
          <w:noProof/>
        </w:rPr>
        <w:t xml:space="preserve"> </w:t>
      </w:r>
    </w:p>
    <w:p w14:paraId="3271E57A" w14:textId="0F5F1E97"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Kahneman, D., &amp; Tversky, A. (1979). Prospect Theory: An Analysis of Decision under Risk. </w:t>
      </w:r>
      <w:r w:rsidRPr="0053126D">
        <w:rPr>
          <w:rFonts w:ascii="Times New Roman" w:hAnsi="Times New Roman" w:cs="Times New Roman"/>
          <w:i/>
          <w:noProof/>
        </w:rPr>
        <w:t>Econometrica</w:t>
      </w:r>
      <w:r w:rsidRPr="0053126D">
        <w:rPr>
          <w:rFonts w:ascii="Times New Roman" w:hAnsi="Times New Roman" w:cs="Times New Roman"/>
          <w:noProof/>
        </w:rPr>
        <w:t>,</w:t>
      </w:r>
      <w:r w:rsidRPr="0053126D">
        <w:rPr>
          <w:rFonts w:ascii="Times New Roman" w:hAnsi="Times New Roman" w:cs="Times New Roman"/>
          <w:i/>
          <w:noProof/>
        </w:rPr>
        <w:t xml:space="preserve"> 47</w:t>
      </w:r>
      <w:r w:rsidRPr="0053126D">
        <w:rPr>
          <w:rFonts w:ascii="Times New Roman" w:hAnsi="Times New Roman" w:cs="Times New Roman"/>
          <w:noProof/>
        </w:rPr>
        <w:t xml:space="preserve">(2), 263–291. </w:t>
      </w:r>
      <w:hyperlink r:id="rId36" w:history="1">
        <w:r w:rsidRPr="0053126D">
          <w:rPr>
            <w:rStyle w:val="Hyperlink"/>
            <w:rFonts w:ascii="Times New Roman" w:hAnsi="Times New Roman" w:cs="Times New Roman"/>
            <w:noProof/>
          </w:rPr>
          <w:t>https://doi.org/10.2307/1914185</w:t>
        </w:r>
      </w:hyperlink>
      <w:r w:rsidRPr="0053126D">
        <w:rPr>
          <w:rFonts w:ascii="Times New Roman" w:hAnsi="Times New Roman" w:cs="Times New Roman"/>
          <w:noProof/>
        </w:rPr>
        <w:t xml:space="preserve"> </w:t>
      </w:r>
    </w:p>
    <w:p w14:paraId="2B420828" w14:textId="01375FBB"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Kim, B.-Y., &amp; Roland, G. (2014). How credible is the North Korean threat? </w:t>
      </w:r>
      <w:r w:rsidRPr="0053126D">
        <w:rPr>
          <w:rFonts w:ascii="Times New Roman" w:hAnsi="Times New Roman" w:cs="Times New Roman"/>
          <w:i/>
          <w:noProof/>
        </w:rPr>
        <w:t>Economics of Transition</w:t>
      </w:r>
      <w:r w:rsidRPr="0053126D">
        <w:rPr>
          <w:rFonts w:ascii="Times New Roman" w:hAnsi="Times New Roman" w:cs="Times New Roman"/>
          <w:noProof/>
        </w:rPr>
        <w:t>,</w:t>
      </w:r>
      <w:r w:rsidRPr="0053126D">
        <w:rPr>
          <w:rFonts w:ascii="Times New Roman" w:hAnsi="Times New Roman" w:cs="Times New Roman"/>
          <w:i/>
          <w:noProof/>
        </w:rPr>
        <w:t xml:space="preserve"> 22</w:t>
      </w:r>
      <w:r w:rsidRPr="0053126D">
        <w:rPr>
          <w:rFonts w:ascii="Times New Roman" w:hAnsi="Times New Roman" w:cs="Times New Roman"/>
          <w:noProof/>
        </w:rPr>
        <w:t xml:space="preserve">(3), 433–459. </w:t>
      </w:r>
      <w:hyperlink r:id="rId37" w:history="1">
        <w:r w:rsidRPr="0053126D">
          <w:rPr>
            <w:rStyle w:val="Hyperlink"/>
            <w:rFonts w:ascii="Times New Roman" w:hAnsi="Times New Roman" w:cs="Times New Roman"/>
            <w:noProof/>
          </w:rPr>
          <w:t>https://doi.org/10.1111/ecot.12044</w:t>
        </w:r>
      </w:hyperlink>
      <w:r w:rsidRPr="0053126D">
        <w:rPr>
          <w:rFonts w:ascii="Times New Roman" w:hAnsi="Times New Roman" w:cs="Times New Roman"/>
          <w:noProof/>
        </w:rPr>
        <w:t xml:space="preserve"> </w:t>
      </w:r>
    </w:p>
    <w:p w14:paraId="6031FCDF" w14:textId="7CA23276"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Lee, G. (2024). The impact of North Korean nuclear threat on stock market linkages in Northeast Asia: The case of South Korea, China, and Japan. </w:t>
      </w:r>
      <w:r w:rsidRPr="0053126D">
        <w:rPr>
          <w:rFonts w:ascii="Times New Roman" w:hAnsi="Times New Roman" w:cs="Times New Roman"/>
          <w:i/>
          <w:noProof/>
        </w:rPr>
        <w:t>Finance Research Letters</w:t>
      </w:r>
      <w:r w:rsidRPr="0053126D">
        <w:rPr>
          <w:rFonts w:ascii="Times New Roman" w:hAnsi="Times New Roman" w:cs="Times New Roman"/>
          <w:noProof/>
        </w:rPr>
        <w:t>,</w:t>
      </w:r>
      <w:r w:rsidRPr="0053126D">
        <w:rPr>
          <w:rFonts w:ascii="Times New Roman" w:hAnsi="Times New Roman" w:cs="Times New Roman"/>
          <w:i/>
          <w:noProof/>
        </w:rPr>
        <w:t xml:space="preserve"> 66</w:t>
      </w:r>
      <w:r w:rsidRPr="0053126D">
        <w:rPr>
          <w:rFonts w:ascii="Times New Roman" w:hAnsi="Times New Roman" w:cs="Times New Roman"/>
          <w:noProof/>
        </w:rPr>
        <w:t xml:space="preserve">, 105727. </w:t>
      </w:r>
      <w:hyperlink r:id="rId38" w:history="1">
        <w:r w:rsidRPr="0053126D">
          <w:rPr>
            <w:rStyle w:val="Hyperlink"/>
            <w:rFonts w:ascii="Times New Roman" w:hAnsi="Times New Roman" w:cs="Times New Roman"/>
            <w:noProof/>
          </w:rPr>
          <w:t>https://doi.org/10.1016/j.frl.2024.105727</w:t>
        </w:r>
      </w:hyperlink>
      <w:r w:rsidRPr="0053126D">
        <w:rPr>
          <w:rFonts w:ascii="Times New Roman" w:hAnsi="Times New Roman" w:cs="Times New Roman"/>
          <w:noProof/>
        </w:rPr>
        <w:t xml:space="preserve"> </w:t>
      </w:r>
    </w:p>
    <w:p w14:paraId="4DEE6F61" w14:textId="3FA38D59"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Lee, I., &amp; Yoo, S. (2020). Does peace boost stock prices? Evidence from the Korean stock market. </w:t>
      </w:r>
      <w:r w:rsidRPr="0053126D">
        <w:rPr>
          <w:rFonts w:ascii="Times New Roman" w:hAnsi="Times New Roman" w:cs="Times New Roman"/>
          <w:i/>
          <w:noProof/>
        </w:rPr>
        <w:t>Journal of Asian Economics</w:t>
      </w:r>
      <w:r w:rsidRPr="0053126D">
        <w:rPr>
          <w:rFonts w:ascii="Times New Roman" w:hAnsi="Times New Roman" w:cs="Times New Roman"/>
          <w:noProof/>
        </w:rPr>
        <w:t>,</w:t>
      </w:r>
      <w:r w:rsidRPr="0053126D">
        <w:rPr>
          <w:rFonts w:ascii="Times New Roman" w:hAnsi="Times New Roman" w:cs="Times New Roman"/>
          <w:i/>
          <w:noProof/>
        </w:rPr>
        <w:t xml:space="preserve"> 71</w:t>
      </w:r>
      <w:r w:rsidRPr="0053126D">
        <w:rPr>
          <w:rFonts w:ascii="Times New Roman" w:hAnsi="Times New Roman" w:cs="Times New Roman"/>
          <w:noProof/>
        </w:rPr>
        <w:t xml:space="preserve">, 101247. </w:t>
      </w:r>
      <w:hyperlink r:id="rId39" w:history="1">
        <w:r w:rsidRPr="0053126D">
          <w:rPr>
            <w:rStyle w:val="Hyperlink"/>
            <w:rFonts w:ascii="Times New Roman" w:hAnsi="Times New Roman" w:cs="Times New Roman"/>
            <w:noProof/>
          </w:rPr>
          <w:t>https://doi.org/10.1016/j.asieco.2020.101247</w:t>
        </w:r>
      </w:hyperlink>
      <w:r w:rsidRPr="0053126D">
        <w:rPr>
          <w:rFonts w:ascii="Times New Roman" w:hAnsi="Times New Roman" w:cs="Times New Roman"/>
          <w:noProof/>
        </w:rPr>
        <w:t xml:space="preserve"> </w:t>
      </w:r>
    </w:p>
    <w:p w14:paraId="10B70E18" w14:textId="67AD5D80"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Li, S., &amp; Liu, Y. (2025). Geopolitical risk and U.S. stock market volatility: evidence from the U.S.–China </w:t>
      </w:r>
      <w:r w:rsidRPr="0053126D">
        <w:rPr>
          <w:rFonts w:ascii="Times New Roman" w:hAnsi="Times New Roman" w:cs="Times New Roman"/>
          <w:noProof/>
        </w:rPr>
        <w:lastRenderedPageBreak/>
        <w:t xml:space="preserve">Tension Index. </w:t>
      </w:r>
      <w:r w:rsidRPr="0053126D">
        <w:rPr>
          <w:rFonts w:ascii="Times New Roman" w:hAnsi="Times New Roman" w:cs="Times New Roman"/>
          <w:i/>
          <w:noProof/>
        </w:rPr>
        <w:t>Applied Economics Letters</w:t>
      </w:r>
      <w:r w:rsidRPr="0053126D">
        <w:rPr>
          <w:rFonts w:ascii="Times New Roman" w:hAnsi="Times New Roman" w:cs="Times New Roman"/>
          <w:noProof/>
        </w:rPr>
        <w:t xml:space="preserve">, 1–7. </w:t>
      </w:r>
      <w:hyperlink r:id="rId40" w:history="1">
        <w:r w:rsidRPr="0053126D">
          <w:rPr>
            <w:rStyle w:val="Hyperlink"/>
            <w:rFonts w:ascii="Times New Roman" w:hAnsi="Times New Roman" w:cs="Times New Roman"/>
            <w:noProof/>
          </w:rPr>
          <w:t>https://doi.org/10.1080/13504851.2025.2534501</w:t>
        </w:r>
      </w:hyperlink>
      <w:r w:rsidRPr="0053126D">
        <w:rPr>
          <w:rFonts w:ascii="Times New Roman" w:hAnsi="Times New Roman" w:cs="Times New Roman"/>
          <w:noProof/>
        </w:rPr>
        <w:t xml:space="preserve"> </w:t>
      </w:r>
    </w:p>
    <w:p w14:paraId="57E3B0C0" w14:textId="682B0BAD"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Liu, J., Ma, F., Yang, K., &amp; Zhang, Y. (2018). Forecasting the oil futures price volatility: Large jumps and small jumps. </w:t>
      </w:r>
      <w:r w:rsidRPr="0053126D">
        <w:rPr>
          <w:rFonts w:ascii="Times New Roman" w:hAnsi="Times New Roman" w:cs="Times New Roman"/>
          <w:i/>
          <w:noProof/>
        </w:rPr>
        <w:t>Energy Economics</w:t>
      </w:r>
      <w:r w:rsidRPr="0053126D">
        <w:rPr>
          <w:rFonts w:ascii="Times New Roman" w:hAnsi="Times New Roman" w:cs="Times New Roman"/>
          <w:noProof/>
        </w:rPr>
        <w:t>,</w:t>
      </w:r>
      <w:r w:rsidRPr="0053126D">
        <w:rPr>
          <w:rFonts w:ascii="Times New Roman" w:hAnsi="Times New Roman" w:cs="Times New Roman"/>
          <w:i/>
          <w:noProof/>
        </w:rPr>
        <w:t xml:space="preserve"> 72</w:t>
      </w:r>
      <w:r w:rsidRPr="0053126D">
        <w:rPr>
          <w:rFonts w:ascii="Times New Roman" w:hAnsi="Times New Roman" w:cs="Times New Roman"/>
          <w:noProof/>
        </w:rPr>
        <w:t xml:space="preserve">, 321–330. </w:t>
      </w:r>
      <w:hyperlink r:id="rId41" w:history="1">
        <w:r w:rsidRPr="0053126D">
          <w:rPr>
            <w:rStyle w:val="Hyperlink"/>
            <w:rFonts w:ascii="Times New Roman" w:hAnsi="Times New Roman" w:cs="Times New Roman"/>
            <w:noProof/>
          </w:rPr>
          <w:t>https://doi.org/10.1016/j.eneco.2018.04.023</w:t>
        </w:r>
      </w:hyperlink>
      <w:r w:rsidRPr="0053126D">
        <w:rPr>
          <w:rFonts w:ascii="Times New Roman" w:hAnsi="Times New Roman" w:cs="Times New Roman"/>
          <w:noProof/>
        </w:rPr>
        <w:t xml:space="preserve"> </w:t>
      </w:r>
    </w:p>
    <w:p w14:paraId="05EBDB85" w14:textId="1FD93FBD"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M. Al-Awadhi, A., Bash, A., Algharabali, B., &amp; Al-Failakawi, A. Y. (2025). From chaos to consensus: an event study on the Korean stock market. </w:t>
      </w:r>
      <w:r w:rsidRPr="0053126D">
        <w:rPr>
          <w:rFonts w:ascii="Times New Roman" w:hAnsi="Times New Roman" w:cs="Times New Roman"/>
          <w:i/>
          <w:noProof/>
        </w:rPr>
        <w:t>Cogent Economics &amp; Finance</w:t>
      </w:r>
      <w:r w:rsidRPr="0053126D">
        <w:rPr>
          <w:rFonts w:ascii="Times New Roman" w:hAnsi="Times New Roman" w:cs="Times New Roman"/>
          <w:noProof/>
        </w:rPr>
        <w:t>,</w:t>
      </w:r>
      <w:r w:rsidRPr="0053126D">
        <w:rPr>
          <w:rFonts w:ascii="Times New Roman" w:hAnsi="Times New Roman" w:cs="Times New Roman"/>
          <w:i/>
          <w:noProof/>
        </w:rPr>
        <w:t xml:space="preserve"> 13</w:t>
      </w:r>
      <w:r w:rsidRPr="0053126D">
        <w:rPr>
          <w:rFonts w:ascii="Times New Roman" w:hAnsi="Times New Roman" w:cs="Times New Roman"/>
          <w:noProof/>
        </w:rPr>
        <w:t xml:space="preserve">(1), 2502437. </w:t>
      </w:r>
      <w:hyperlink r:id="rId42" w:history="1">
        <w:r w:rsidRPr="0053126D">
          <w:rPr>
            <w:rStyle w:val="Hyperlink"/>
            <w:rFonts w:ascii="Times New Roman" w:hAnsi="Times New Roman" w:cs="Times New Roman"/>
            <w:noProof/>
          </w:rPr>
          <w:t>https://doi.org/10.1080/23322039.2025.2502437</w:t>
        </w:r>
      </w:hyperlink>
      <w:r w:rsidRPr="0053126D">
        <w:rPr>
          <w:rFonts w:ascii="Times New Roman" w:hAnsi="Times New Roman" w:cs="Times New Roman"/>
          <w:noProof/>
        </w:rPr>
        <w:t xml:space="preserve"> </w:t>
      </w:r>
    </w:p>
    <w:p w14:paraId="3B80449A" w14:textId="521CF9FE"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Naimy, V., Abou Chedid, T., Abou Saleh, O., &amp; Bitar, N. (2025). Redefining volatility forecasting in the aerospace and defense sector: application of CEEMDAN-GARCH models. </w:t>
      </w:r>
      <w:r w:rsidRPr="0053126D">
        <w:rPr>
          <w:rFonts w:ascii="Times New Roman" w:hAnsi="Times New Roman" w:cs="Times New Roman"/>
          <w:i/>
          <w:noProof/>
        </w:rPr>
        <w:t>Humanities and Social Sciences Communications</w:t>
      </w:r>
      <w:r w:rsidRPr="0053126D">
        <w:rPr>
          <w:rFonts w:ascii="Times New Roman" w:hAnsi="Times New Roman" w:cs="Times New Roman"/>
          <w:noProof/>
        </w:rPr>
        <w:t>,</w:t>
      </w:r>
      <w:r w:rsidRPr="0053126D">
        <w:rPr>
          <w:rFonts w:ascii="Times New Roman" w:hAnsi="Times New Roman" w:cs="Times New Roman"/>
          <w:i/>
          <w:noProof/>
        </w:rPr>
        <w:t xml:space="preserve"> 12</w:t>
      </w:r>
      <w:r w:rsidRPr="0053126D">
        <w:rPr>
          <w:rFonts w:ascii="Times New Roman" w:hAnsi="Times New Roman" w:cs="Times New Roman"/>
          <w:noProof/>
        </w:rPr>
        <w:t xml:space="preserve">(1), 727. </w:t>
      </w:r>
      <w:hyperlink r:id="rId43" w:history="1">
        <w:r w:rsidRPr="0053126D">
          <w:rPr>
            <w:rStyle w:val="Hyperlink"/>
            <w:rFonts w:ascii="Times New Roman" w:hAnsi="Times New Roman" w:cs="Times New Roman"/>
            <w:noProof/>
          </w:rPr>
          <w:t>https://doi.org/10.1057/s41599-025-05027-z</w:t>
        </w:r>
      </w:hyperlink>
      <w:r w:rsidRPr="0053126D">
        <w:rPr>
          <w:rFonts w:ascii="Times New Roman" w:hAnsi="Times New Roman" w:cs="Times New Roman"/>
          <w:noProof/>
        </w:rPr>
        <w:t xml:space="preserve"> </w:t>
      </w:r>
    </w:p>
    <w:p w14:paraId="5EDFBC3E" w14:textId="410C62C5"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NguyenHuu, T., &amp; Örsal, D. K. (2024). Geopolitical risks and financial stress in emerging economies. </w:t>
      </w:r>
      <w:r w:rsidRPr="0053126D">
        <w:rPr>
          <w:rFonts w:ascii="Times New Roman" w:hAnsi="Times New Roman" w:cs="Times New Roman"/>
          <w:i/>
          <w:noProof/>
        </w:rPr>
        <w:t>The World Economy</w:t>
      </w:r>
      <w:r w:rsidRPr="0053126D">
        <w:rPr>
          <w:rFonts w:ascii="Times New Roman" w:hAnsi="Times New Roman" w:cs="Times New Roman"/>
          <w:noProof/>
        </w:rPr>
        <w:t>,</w:t>
      </w:r>
      <w:r w:rsidRPr="0053126D">
        <w:rPr>
          <w:rFonts w:ascii="Times New Roman" w:hAnsi="Times New Roman" w:cs="Times New Roman"/>
          <w:i/>
          <w:noProof/>
        </w:rPr>
        <w:t xml:space="preserve"> 47</w:t>
      </w:r>
      <w:r w:rsidRPr="0053126D">
        <w:rPr>
          <w:rFonts w:ascii="Times New Roman" w:hAnsi="Times New Roman" w:cs="Times New Roman"/>
          <w:noProof/>
        </w:rPr>
        <w:t xml:space="preserve">(1), 217–237. </w:t>
      </w:r>
      <w:hyperlink r:id="rId44" w:history="1">
        <w:r w:rsidRPr="0053126D">
          <w:rPr>
            <w:rStyle w:val="Hyperlink"/>
            <w:rFonts w:ascii="Times New Roman" w:hAnsi="Times New Roman" w:cs="Times New Roman"/>
            <w:noProof/>
          </w:rPr>
          <w:t>https://doi.org/10.1111/twec.13529</w:t>
        </w:r>
      </w:hyperlink>
      <w:r w:rsidRPr="0053126D">
        <w:rPr>
          <w:rFonts w:ascii="Times New Roman" w:hAnsi="Times New Roman" w:cs="Times New Roman"/>
          <w:noProof/>
        </w:rPr>
        <w:t xml:space="preserve"> </w:t>
      </w:r>
    </w:p>
    <w:p w14:paraId="0C3FE58F" w14:textId="0881D303"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Park, C., &amp; Park, S. (2020). Rare disaster risk and exchange rates: An empirical investigation of South Korean exchange rates under tension between the two Koreas. </w:t>
      </w:r>
      <w:r w:rsidRPr="0053126D">
        <w:rPr>
          <w:rFonts w:ascii="Times New Roman" w:hAnsi="Times New Roman" w:cs="Times New Roman"/>
          <w:i/>
          <w:noProof/>
        </w:rPr>
        <w:t>Finance Research Letters</w:t>
      </w:r>
      <w:r w:rsidRPr="0053126D">
        <w:rPr>
          <w:rFonts w:ascii="Times New Roman" w:hAnsi="Times New Roman" w:cs="Times New Roman"/>
          <w:noProof/>
        </w:rPr>
        <w:t>,</w:t>
      </w:r>
      <w:r w:rsidRPr="0053126D">
        <w:rPr>
          <w:rFonts w:ascii="Times New Roman" w:hAnsi="Times New Roman" w:cs="Times New Roman"/>
          <w:i/>
          <w:noProof/>
        </w:rPr>
        <w:t xml:space="preserve"> 36</w:t>
      </w:r>
      <w:r w:rsidRPr="0053126D">
        <w:rPr>
          <w:rFonts w:ascii="Times New Roman" w:hAnsi="Times New Roman" w:cs="Times New Roman"/>
          <w:noProof/>
        </w:rPr>
        <w:t xml:space="preserve">, 101314. </w:t>
      </w:r>
      <w:hyperlink r:id="rId45" w:history="1">
        <w:r w:rsidRPr="0053126D">
          <w:rPr>
            <w:rStyle w:val="Hyperlink"/>
            <w:rFonts w:ascii="Times New Roman" w:hAnsi="Times New Roman" w:cs="Times New Roman"/>
            <w:noProof/>
          </w:rPr>
          <w:t>https://doi.org/10.1016/j.frl.2019.101314</w:t>
        </w:r>
      </w:hyperlink>
      <w:r w:rsidRPr="0053126D">
        <w:rPr>
          <w:rFonts w:ascii="Times New Roman" w:hAnsi="Times New Roman" w:cs="Times New Roman"/>
          <w:noProof/>
        </w:rPr>
        <w:t xml:space="preserve"> </w:t>
      </w:r>
    </w:p>
    <w:p w14:paraId="2C0118A5" w14:textId="105BD617"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Pyo, D.-J. (2021). Does Geopolitical Risk Matter? Evidence from South Korea. </w:t>
      </w:r>
      <w:r w:rsidRPr="0053126D">
        <w:rPr>
          <w:rFonts w:ascii="Times New Roman" w:hAnsi="Times New Roman" w:cs="Times New Roman"/>
          <w:i/>
          <w:noProof/>
        </w:rPr>
        <w:t>Defence and Peace Economics</w:t>
      </w:r>
      <w:r w:rsidRPr="0053126D">
        <w:rPr>
          <w:rFonts w:ascii="Times New Roman" w:hAnsi="Times New Roman" w:cs="Times New Roman"/>
          <w:noProof/>
        </w:rPr>
        <w:t>,</w:t>
      </w:r>
      <w:r w:rsidRPr="0053126D">
        <w:rPr>
          <w:rFonts w:ascii="Times New Roman" w:hAnsi="Times New Roman" w:cs="Times New Roman"/>
          <w:i/>
          <w:noProof/>
        </w:rPr>
        <w:t xml:space="preserve"> 32</w:t>
      </w:r>
      <w:r w:rsidRPr="0053126D">
        <w:rPr>
          <w:rFonts w:ascii="Times New Roman" w:hAnsi="Times New Roman" w:cs="Times New Roman"/>
          <w:noProof/>
        </w:rPr>
        <w:t xml:space="preserve">(1), 87–106. </w:t>
      </w:r>
      <w:hyperlink r:id="rId46" w:history="1">
        <w:r w:rsidRPr="0053126D">
          <w:rPr>
            <w:rStyle w:val="Hyperlink"/>
            <w:rFonts w:ascii="Times New Roman" w:hAnsi="Times New Roman" w:cs="Times New Roman"/>
            <w:noProof/>
          </w:rPr>
          <w:t>https://doi.org/10.1080/10242694.2020.1829937</w:t>
        </w:r>
      </w:hyperlink>
      <w:r w:rsidRPr="0053126D">
        <w:rPr>
          <w:rFonts w:ascii="Times New Roman" w:hAnsi="Times New Roman" w:cs="Times New Roman"/>
          <w:noProof/>
        </w:rPr>
        <w:t xml:space="preserve"> </w:t>
      </w:r>
    </w:p>
    <w:p w14:paraId="0E4780A8" w14:textId="38D0616B"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Salisu, A. A., Gupta, R., &amp; Bouri, E. (2023). Testing the forecasting power of global economic conditions for the volatility of international REITs using a GARCH-MIDAS approach. </w:t>
      </w:r>
      <w:r w:rsidRPr="0053126D">
        <w:rPr>
          <w:rFonts w:ascii="Times New Roman" w:hAnsi="Times New Roman" w:cs="Times New Roman"/>
          <w:i/>
          <w:noProof/>
        </w:rPr>
        <w:t>The Quarterly Review of Economics and Finance</w:t>
      </w:r>
      <w:r w:rsidRPr="0053126D">
        <w:rPr>
          <w:rFonts w:ascii="Times New Roman" w:hAnsi="Times New Roman" w:cs="Times New Roman"/>
          <w:noProof/>
        </w:rPr>
        <w:t>,</w:t>
      </w:r>
      <w:r w:rsidRPr="0053126D">
        <w:rPr>
          <w:rFonts w:ascii="Times New Roman" w:hAnsi="Times New Roman" w:cs="Times New Roman"/>
          <w:i/>
          <w:noProof/>
        </w:rPr>
        <w:t xml:space="preserve"> 88</w:t>
      </w:r>
      <w:r w:rsidRPr="0053126D">
        <w:rPr>
          <w:rFonts w:ascii="Times New Roman" w:hAnsi="Times New Roman" w:cs="Times New Roman"/>
          <w:noProof/>
        </w:rPr>
        <w:t xml:space="preserve">, 303–314. </w:t>
      </w:r>
      <w:hyperlink r:id="rId47" w:history="1">
        <w:r w:rsidRPr="0053126D">
          <w:rPr>
            <w:rStyle w:val="Hyperlink"/>
            <w:rFonts w:ascii="Times New Roman" w:hAnsi="Times New Roman" w:cs="Times New Roman"/>
            <w:noProof/>
          </w:rPr>
          <w:t>https://doi.org/10.1016/j.qref.2023.02.004</w:t>
        </w:r>
      </w:hyperlink>
      <w:r w:rsidRPr="0053126D">
        <w:rPr>
          <w:rFonts w:ascii="Times New Roman" w:hAnsi="Times New Roman" w:cs="Times New Roman"/>
          <w:noProof/>
        </w:rPr>
        <w:t xml:space="preserve"> </w:t>
      </w:r>
    </w:p>
    <w:p w14:paraId="32166880" w14:textId="45A26DEC"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Salisu, A. A., Ogbonna, A. E., Lasisi, L., &amp; Olaniran, A. (2022). Geopolitical risk and stock market volatility in emerging markets: A GARCH – MIDAS approach. </w:t>
      </w:r>
      <w:r w:rsidRPr="0053126D">
        <w:rPr>
          <w:rFonts w:ascii="Times New Roman" w:hAnsi="Times New Roman" w:cs="Times New Roman"/>
          <w:i/>
          <w:noProof/>
        </w:rPr>
        <w:t>The North American Journal of Economics and Finance</w:t>
      </w:r>
      <w:r w:rsidRPr="0053126D">
        <w:rPr>
          <w:rFonts w:ascii="Times New Roman" w:hAnsi="Times New Roman" w:cs="Times New Roman"/>
          <w:noProof/>
        </w:rPr>
        <w:t>,</w:t>
      </w:r>
      <w:r w:rsidRPr="0053126D">
        <w:rPr>
          <w:rFonts w:ascii="Times New Roman" w:hAnsi="Times New Roman" w:cs="Times New Roman"/>
          <w:i/>
          <w:noProof/>
        </w:rPr>
        <w:t xml:space="preserve"> 62</w:t>
      </w:r>
      <w:r w:rsidRPr="0053126D">
        <w:rPr>
          <w:rFonts w:ascii="Times New Roman" w:hAnsi="Times New Roman" w:cs="Times New Roman"/>
          <w:noProof/>
        </w:rPr>
        <w:t xml:space="preserve">, 101755. </w:t>
      </w:r>
      <w:hyperlink r:id="rId48" w:history="1">
        <w:r w:rsidRPr="0053126D">
          <w:rPr>
            <w:rStyle w:val="Hyperlink"/>
            <w:rFonts w:ascii="Times New Roman" w:hAnsi="Times New Roman" w:cs="Times New Roman"/>
            <w:noProof/>
          </w:rPr>
          <w:t>https://doi.org/10.1016/j.najef.2022.101755</w:t>
        </w:r>
      </w:hyperlink>
      <w:r w:rsidRPr="0053126D">
        <w:rPr>
          <w:rFonts w:ascii="Times New Roman" w:hAnsi="Times New Roman" w:cs="Times New Roman"/>
          <w:noProof/>
        </w:rPr>
        <w:t xml:space="preserve"> </w:t>
      </w:r>
    </w:p>
    <w:p w14:paraId="2B91BF32" w14:textId="5F0AE884"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Son, B., &amp; Moon, C. (2021). Security Threats and Investment: North Korean Threats and the South Korean Stock Market. </w:t>
      </w:r>
      <w:r w:rsidRPr="0053126D">
        <w:rPr>
          <w:rFonts w:ascii="Times New Roman" w:hAnsi="Times New Roman" w:cs="Times New Roman"/>
          <w:i/>
          <w:noProof/>
        </w:rPr>
        <w:t>Pacific Focus</w:t>
      </w:r>
      <w:r w:rsidRPr="0053126D">
        <w:rPr>
          <w:rFonts w:ascii="Times New Roman" w:hAnsi="Times New Roman" w:cs="Times New Roman"/>
          <w:noProof/>
        </w:rPr>
        <w:t>,</w:t>
      </w:r>
      <w:r w:rsidRPr="0053126D">
        <w:rPr>
          <w:rFonts w:ascii="Times New Roman" w:hAnsi="Times New Roman" w:cs="Times New Roman"/>
          <w:i/>
          <w:noProof/>
        </w:rPr>
        <w:t xml:space="preserve"> 36</w:t>
      </w:r>
      <w:r w:rsidRPr="0053126D">
        <w:rPr>
          <w:rFonts w:ascii="Times New Roman" w:hAnsi="Times New Roman" w:cs="Times New Roman"/>
          <w:noProof/>
        </w:rPr>
        <w:t xml:space="preserve">(3), 544–569. </w:t>
      </w:r>
      <w:hyperlink r:id="rId49" w:history="1">
        <w:r w:rsidRPr="0053126D">
          <w:rPr>
            <w:rStyle w:val="Hyperlink"/>
            <w:rFonts w:ascii="Times New Roman" w:hAnsi="Times New Roman" w:cs="Times New Roman"/>
            <w:noProof/>
          </w:rPr>
          <w:t>https://doi.org/10.1111/pafo.12198</w:t>
        </w:r>
      </w:hyperlink>
      <w:r w:rsidRPr="0053126D">
        <w:rPr>
          <w:rFonts w:ascii="Times New Roman" w:hAnsi="Times New Roman" w:cs="Times New Roman"/>
          <w:noProof/>
        </w:rPr>
        <w:t xml:space="preserve"> </w:t>
      </w:r>
    </w:p>
    <w:p w14:paraId="0D92D7E7" w14:textId="66AF521B" w:rsidR="00866D4D" w:rsidRPr="0053126D" w:rsidRDefault="00866D4D" w:rsidP="00866D4D">
      <w:pPr>
        <w:pStyle w:val="EndNoteBibliography"/>
        <w:spacing w:after="0"/>
        <w:ind w:left="720" w:hanging="720"/>
        <w:rPr>
          <w:rFonts w:ascii="Times New Roman" w:hAnsi="Times New Roman" w:cs="Times New Roman"/>
          <w:noProof/>
        </w:rPr>
      </w:pPr>
      <w:r w:rsidRPr="0053126D">
        <w:rPr>
          <w:rFonts w:ascii="Times New Roman" w:hAnsi="Times New Roman" w:cs="Times New Roman"/>
          <w:noProof/>
        </w:rPr>
        <w:t xml:space="preserve">Wang, L., Ma, F., Liu, J., &amp; Yang, L. (2020). Forecasting stock price volatility: New evidence from the GARCH-MIDAS model. </w:t>
      </w:r>
      <w:r w:rsidRPr="0053126D">
        <w:rPr>
          <w:rFonts w:ascii="Times New Roman" w:hAnsi="Times New Roman" w:cs="Times New Roman"/>
          <w:i/>
          <w:noProof/>
        </w:rPr>
        <w:t>International Journal of Forecasting</w:t>
      </w:r>
      <w:r w:rsidRPr="0053126D">
        <w:rPr>
          <w:rFonts w:ascii="Times New Roman" w:hAnsi="Times New Roman" w:cs="Times New Roman"/>
          <w:noProof/>
        </w:rPr>
        <w:t>,</w:t>
      </w:r>
      <w:r w:rsidRPr="0053126D">
        <w:rPr>
          <w:rFonts w:ascii="Times New Roman" w:hAnsi="Times New Roman" w:cs="Times New Roman"/>
          <w:i/>
          <w:noProof/>
        </w:rPr>
        <w:t xml:space="preserve"> 36</w:t>
      </w:r>
      <w:r w:rsidRPr="0053126D">
        <w:rPr>
          <w:rFonts w:ascii="Times New Roman" w:hAnsi="Times New Roman" w:cs="Times New Roman"/>
          <w:noProof/>
        </w:rPr>
        <w:t xml:space="preserve">(2), 684–694. </w:t>
      </w:r>
      <w:hyperlink r:id="rId50" w:history="1">
        <w:r w:rsidRPr="0053126D">
          <w:rPr>
            <w:rStyle w:val="Hyperlink"/>
            <w:rFonts w:ascii="Times New Roman" w:hAnsi="Times New Roman" w:cs="Times New Roman"/>
            <w:noProof/>
          </w:rPr>
          <w:t>https://doi.org/10.1016/j.ijforecast.2019.08.005</w:t>
        </w:r>
      </w:hyperlink>
      <w:r w:rsidRPr="0053126D">
        <w:rPr>
          <w:rFonts w:ascii="Times New Roman" w:hAnsi="Times New Roman" w:cs="Times New Roman"/>
          <w:noProof/>
        </w:rPr>
        <w:t xml:space="preserve"> </w:t>
      </w:r>
    </w:p>
    <w:p w14:paraId="790D1762" w14:textId="16299D34" w:rsidR="00866D4D" w:rsidRPr="0053126D" w:rsidRDefault="00866D4D" w:rsidP="00866D4D">
      <w:pPr>
        <w:pStyle w:val="EndNoteBibliography"/>
        <w:ind w:left="720" w:hanging="720"/>
        <w:rPr>
          <w:rFonts w:ascii="Times New Roman" w:hAnsi="Times New Roman" w:cs="Times New Roman"/>
          <w:noProof/>
        </w:rPr>
      </w:pPr>
      <w:r w:rsidRPr="0053126D">
        <w:rPr>
          <w:rFonts w:ascii="Times New Roman" w:hAnsi="Times New Roman" w:cs="Times New Roman"/>
          <w:noProof/>
        </w:rPr>
        <w:t xml:space="preserve">Zhang, Y., He, J., He, M., &amp; Li, S. (2023). Geopolitical risk and stock market volatility: A global perspective. </w:t>
      </w:r>
      <w:r w:rsidRPr="0053126D">
        <w:rPr>
          <w:rFonts w:ascii="Times New Roman" w:hAnsi="Times New Roman" w:cs="Times New Roman"/>
          <w:i/>
          <w:noProof/>
        </w:rPr>
        <w:t>Finance Research Letters</w:t>
      </w:r>
      <w:r w:rsidRPr="0053126D">
        <w:rPr>
          <w:rFonts w:ascii="Times New Roman" w:hAnsi="Times New Roman" w:cs="Times New Roman"/>
          <w:noProof/>
        </w:rPr>
        <w:t>,</w:t>
      </w:r>
      <w:r w:rsidRPr="0053126D">
        <w:rPr>
          <w:rFonts w:ascii="Times New Roman" w:hAnsi="Times New Roman" w:cs="Times New Roman"/>
          <w:i/>
          <w:noProof/>
        </w:rPr>
        <w:t xml:space="preserve"> 53</w:t>
      </w:r>
      <w:r w:rsidRPr="0053126D">
        <w:rPr>
          <w:rFonts w:ascii="Times New Roman" w:hAnsi="Times New Roman" w:cs="Times New Roman"/>
          <w:noProof/>
        </w:rPr>
        <w:t xml:space="preserve">, 103620. </w:t>
      </w:r>
      <w:hyperlink r:id="rId51" w:history="1">
        <w:r w:rsidRPr="0053126D">
          <w:rPr>
            <w:rStyle w:val="Hyperlink"/>
            <w:rFonts w:ascii="Times New Roman" w:hAnsi="Times New Roman" w:cs="Times New Roman"/>
            <w:noProof/>
          </w:rPr>
          <w:t>https://doi.org/10.1016/j.frl.2022.103620</w:t>
        </w:r>
      </w:hyperlink>
      <w:r w:rsidRPr="0053126D">
        <w:rPr>
          <w:rFonts w:ascii="Times New Roman" w:hAnsi="Times New Roman" w:cs="Times New Roman"/>
          <w:noProof/>
        </w:rPr>
        <w:t xml:space="preserve"> </w:t>
      </w:r>
    </w:p>
    <w:p w14:paraId="27DC5246" w14:textId="7D6078F4" w:rsidR="006553F6" w:rsidRPr="00866D4D" w:rsidRDefault="00B0795D" w:rsidP="00B0795D">
      <w:pPr>
        <w:spacing w:after="0" w:line="0" w:lineRule="atLeast"/>
        <w:rPr>
          <w:rFonts w:ascii="Times New Roman" w:hAnsi="Times New Roman" w:cs="Times New Roman"/>
          <w:color w:val="000000" w:themeColor="text1"/>
          <w:lang w:bidi="en-US"/>
        </w:rPr>
      </w:pPr>
      <w:r w:rsidRPr="0053126D">
        <w:rPr>
          <w:rFonts w:ascii="Times New Roman" w:hAnsi="Times New Roman" w:cs="Times New Roman"/>
          <w:color w:val="000000" w:themeColor="text1"/>
          <w:lang w:bidi="en-US"/>
        </w:rPr>
        <w:fldChar w:fldCharType="end"/>
      </w:r>
    </w:p>
    <w:sectPr w:rsidR="006553F6" w:rsidRPr="00866D4D" w:rsidSect="002F3701">
      <w:footerReference w:type="even" r:id="rId52"/>
      <w:footerReference w:type="default" r:id="rId53"/>
      <w:pgSz w:w="11906" w:h="16838"/>
      <w:pgMar w:top="1304" w:right="1077" w:bottom="1304"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83F3" w14:textId="77777777" w:rsidR="009E013B" w:rsidRDefault="009E013B" w:rsidP="00E62F6C">
      <w:pPr>
        <w:spacing w:after="0" w:line="240" w:lineRule="auto"/>
      </w:pPr>
      <w:r>
        <w:separator/>
      </w:r>
    </w:p>
  </w:endnote>
  <w:endnote w:type="continuationSeparator" w:id="0">
    <w:p w14:paraId="52291CB9" w14:textId="77777777" w:rsidR="009E013B" w:rsidRDefault="009E013B" w:rsidP="00E62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FangSong">
    <w:altName w:val="仿宋"/>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0959493"/>
      <w:docPartObj>
        <w:docPartGallery w:val="Page Numbers (Bottom of Page)"/>
        <w:docPartUnique/>
      </w:docPartObj>
    </w:sdtPr>
    <w:sdtContent>
      <w:p w14:paraId="6EACE0E2" w14:textId="177F8477" w:rsidR="000F418B" w:rsidRDefault="000F418B" w:rsidP="000205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101970" w14:textId="77777777" w:rsidR="000F418B" w:rsidRDefault="000F4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26456"/>
      <w:docPartObj>
        <w:docPartGallery w:val="Page Numbers (Bottom of Page)"/>
        <w:docPartUnique/>
      </w:docPartObj>
    </w:sdtPr>
    <w:sdtContent>
      <w:p w14:paraId="55BD72DF" w14:textId="7D9720B0" w:rsidR="000F418B" w:rsidRDefault="000F418B" w:rsidP="00634957">
        <w:pPr>
          <w:pStyle w:val="Footer"/>
          <w:framePr w:wrap="none" w:vAnchor="text" w:hAnchor="page" w:x="5873" w:y="48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C7C42B" w14:textId="77777777" w:rsidR="000F418B" w:rsidRDefault="000F4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49BF" w14:textId="77777777" w:rsidR="009E013B" w:rsidRDefault="009E013B" w:rsidP="00E62F6C">
      <w:pPr>
        <w:spacing w:after="0" w:line="240" w:lineRule="auto"/>
      </w:pPr>
      <w:r>
        <w:separator/>
      </w:r>
    </w:p>
  </w:footnote>
  <w:footnote w:type="continuationSeparator" w:id="0">
    <w:p w14:paraId="587D1ABA" w14:textId="77777777" w:rsidR="009E013B" w:rsidRDefault="009E013B" w:rsidP="00E62F6C">
      <w:pPr>
        <w:spacing w:after="0" w:line="240" w:lineRule="auto"/>
      </w:pPr>
      <w:r>
        <w:continuationSeparator/>
      </w:r>
    </w:p>
  </w:footnote>
  <w:footnote w:id="1">
    <w:p w14:paraId="66CD1AC5" w14:textId="77777777" w:rsidR="008814F3" w:rsidRDefault="008814F3" w:rsidP="008814F3">
      <w:pPr>
        <w:pStyle w:val="FootnoteText"/>
        <w:spacing w:after="0" w:line="360" w:lineRule="auto"/>
      </w:pPr>
      <w:r>
        <w:rPr>
          <w:rStyle w:val="FootnoteReference"/>
        </w:rPr>
        <w:footnoteRef/>
      </w:r>
      <w:r>
        <w:t xml:space="preserve"> </w:t>
      </w:r>
      <w:r w:rsidRPr="008873FD">
        <w:rPr>
          <w:rFonts w:ascii="Times New Roman" w:eastAsia="FangSong" w:hAnsi="Times New Roman" w:cs="Times New Roman"/>
          <w:color w:val="1F1F1F"/>
        </w:rPr>
        <w:t xml:space="preserve">Korean FnGuide data website: </w:t>
      </w:r>
      <w:hyperlink r:id="rId1" w:history="1">
        <w:r w:rsidRPr="00972485">
          <w:rPr>
            <w:rStyle w:val="Hyperlink"/>
            <w:rFonts w:ascii="Times New Roman" w:hAnsi="Times New Roman" w:cs="Times New Roman"/>
            <w:szCs w:val="21"/>
          </w:rPr>
          <w:t>https://dataguide.fnguide.com/</w:t>
        </w:r>
      </w:hyperlink>
    </w:p>
  </w:footnote>
  <w:footnote w:id="2">
    <w:p w14:paraId="74C842A7" w14:textId="77777777" w:rsidR="008B250B" w:rsidRDefault="008B250B" w:rsidP="008B250B">
      <w:pPr>
        <w:pStyle w:val="FootnoteText"/>
      </w:pPr>
      <w:r w:rsidRPr="0053126D">
        <w:rPr>
          <w:rStyle w:val="FootnoteReference"/>
          <w:color w:val="000000" w:themeColor="text1"/>
        </w:rPr>
        <w:footnoteRef/>
      </w:r>
      <w:r w:rsidRPr="0053126D">
        <w:rPr>
          <w:color w:val="000000" w:themeColor="text1"/>
        </w:rPr>
        <w:t xml:space="preserve"> </w:t>
      </w:r>
      <w:r w:rsidRPr="0053126D">
        <w:rPr>
          <w:rFonts w:ascii="Times New Roman" w:hAnsi="Times New Roman" w:cs="Times New Roman"/>
          <w:color w:val="000000" w:themeColor="text1"/>
        </w:rPr>
        <w:t>BigKinds</w:t>
      </w:r>
      <w:r w:rsidRPr="0053126D">
        <w:rPr>
          <w:rFonts w:ascii="Times New Roman" w:hAnsi="Times New Roman" w:cs="Times New Roman" w:hint="eastAsia"/>
          <w:color w:val="000000" w:themeColor="text1"/>
        </w:rPr>
        <w:t xml:space="preserve"> web</w:t>
      </w:r>
      <w:r w:rsidRPr="0053126D">
        <w:rPr>
          <w:rFonts w:ascii="Times New Roman" w:hAnsi="Times New Roman" w:cs="Times New Roman"/>
          <w:color w:val="000000" w:themeColor="text1"/>
        </w:rPr>
        <w:t xml:space="preserve">site: </w:t>
      </w:r>
      <w:r w:rsidRPr="0053126D">
        <w:rPr>
          <w:rFonts w:ascii="Times New Roman" w:eastAsia="FangSong" w:hAnsi="Times New Roman" w:cs="Times New Roman"/>
          <w:color w:val="000000" w:themeColor="text1"/>
          <w:szCs w:val="22"/>
          <w14:ligatures w14:val="none"/>
        </w:rPr>
        <w:t>https://www.bigkinds.or.kr/</w:t>
      </w:r>
    </w:p>
  </w:footnote>
  <w:footnote w:id="3">
    <w:p w14:paraId="6B82B89C" w14:textId="77777777" w:rsidR="00911C37" w:rsidRPr="008873FD" w:rsidRDefault="00911C37" w:rsidP="00911C37">
      <w:pPr>
        <w:pStyle w:val="FootnoteText"/>
        <w:spacing w:after="0" w:line="360" w:lineRule="auto"/>
        <w:rPr>
          <w:rFonts w:ascii="Times New Roman" w:hAnsi="Times New Roman" w:cs="Times New Roman"/>
        </w:rPr>
      </w:pPr>
      <w:r>
        <w:rPr>
          <w:rStyle w:val="FootnoteReference"/>
        </w:rPr>
        <w:footnoteRef/>
      </w:r>
      <w:r>
        <w:t xml:space="preserve"> </w:t>
      </w:r>
      <w:bookmarkStart w:id="26" w:name="OLE_LINK204"/>
      <w:r w:rsidRPr="008873FD">
        <w:rPr>
          <w:rFonts w:ascii="Times New Roman" w:hAnsi="Times New Roman" w:cs="Times New Roman"/>
        </w:rPr>
        <w:t xml:space="preserve">Economic </w:t>
      </w:r>
      <w:bookmarkEnd w:id="26"/>
      <w:r w:rsidRPr="008873FD">
        <w:rPr>
          <w:rFonts w:ascii="Times New Roman" w:hAnsi="Times New Roman" w:cs="Times New Roman"/>
        </w:rPr>
        <w:t xml:space="preserve">Policy Uncertainty Index website: </w:t>
      </w:r>
      <w:hyperlink r:id="rId2" w:tgtFrame="_new" w:history="1">
        <w:r w:rsidRPr="008873FD">
          <w:rPr>
            <w:rStyle w:val="Hyperlink"/>
            <w:rFonts w:ascii="Times New Roman" w:hAnsi="Times New Roman" w:cs="Times New Roman"/>
          </w:rPr>
          <w:t>https://policyuncertainty.com/korea_gpr.html</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0ffzw0attzvegext9k5ed51e5az2zvssta9&quot;&gt;朝韩关系&lt;record-ids&gt;&lt;item&gt;1&lt;/item&gt;&lt;item&gt;2&lt;/item&gt;&lt;item&gt;3&lt;/item&gt;&lt;item&gt;4&lt;/item&gt;&lt;item&gt;6&lt;/item&gt;&lt;item&gt;7&lt;/item&gt;&lt;item&gt;10&lt;/item&gt;&lt;item&gt;12&lt;/item&gt;&lt;item&gt;14&lt;/item&gt;&lt;item&gt;17&lt;/item&gt;&lt;item&gt;18&lt;/item&gt;&lt;item&gt;19&lt;/item&gt;&lt;item&gt;20&lt;/item&gt;&lt;item&gt;22&lt;/item&gt;&lt;item&gt;23&lt;/item&gt;&lt;item&gt;24&lt;/item&gt;&lt;item&gt;27&lt;/item&gt;&lt;item&gt;28&lt;/item&gt;&lt;item&gt;29&lt;/item&gt;&lt;item&gt;30&lt;/item&gt;&lt;item&gt;31&lt;/item&gt;&lt;item&gt;32&lt;/item&gt;&lt;item&gt;33&lt;/item&gt;&lt;item&gt;34&lt;/item&gt;&lt;item&gt;36&lt;/item&gt;&lt;item&gt;37&lt;/item&gt;&lt;item&gt;38&lt;/item&gt;&lt;item&gt;39&lt;/item&gt;&lt;item&gt;40&lt;/item&gt;&lt;item&gt;41&lt;/item&gt;&lt;item&gt;44&lt;/item&gt;&lt;item&gt;45&lt;/item&gt;&lt;item&gt;46&lt;/item&gt;&lt;/record-ids&gt;&lt;/item&gt;&lt;/Libraries&gt;"/>
  </w:docVars>
  <w:rsids>
    <w:rsidRoot w:val="00565139"/>
    <w:rsid w:val="00001249"/>
    <w:rsid w:val="00005732"/>
    <w:rsid w:val="0000588A"/>
    <w:rsid w:val="00007B21"/>
    <w:rsid w:val="00032745"/>
    <w:rsid w:val="000332ED"/>
    <w:rsid w:val="00040C89"/>
    <w:rsid w:val="00046CDB"/>
    <w:rsid w:val="000558DB"/>
    <w:rsid w:val="00062183"/>
    <w:rsid w:val="00065392"/>
    <w:rsid w:val="000778BF"/>
    <w:rsid w:val="000A149E"/>
    <w:rsid w:val="000B42EB"/>
    <w:rsid w:val="000C6E1E"/>
    <w:rsid w:val="000C7F1D"/>
    <w:rsid w:val="000D0C9D"/>
    <w:rsid w:val="000D590C"/>
    <w:rsid w:val="000D6939"/>
    <w:rsid w:val="000F24CC"/>
    <w:rsid w:val="000F418B"/>
    <w:rsid w:val="000F5208"/>
    <w:rsid w:val="00101A14"/>
    <w:rsid w:val="00121E14"/>
    <w:rsid w:val="0013027C"/>
    <w:rsid w:val="00147B3D"/>
    <w:rsid w:val="0015163E"/>
    <w:rsid w:val="00153316"/>
    <w:rsid w:val="0015476F"/>
    <w:rsid w:val="00154A9F"/>
    <w:rsid w:val="0015505D"/>
    <w:rsid w:val="001715B5"/>
    <w:rsid w:val="001717B3"/>
    <w:rsid w:val="00171E1B"/>
    <w:rsid w:val="001734F4"/>
    <w:rsid w:val="00184C7C"/>
    <w:rsid w:val="00191C6E"/>
    <w:rsid w:val="001A23F5"/>
    <w:rsid w:val="001A2FCA"/>
    <w:rsid w:val="001A7C01"/>
    <w:rsid w:val="001B214C"/>
    <w:rsid w:val="001B6465"/>
    <w:rsid w:val="001D001E"/>
    <w:rsid w:val="001D0DC3"/>
    <w:rsid w:val="001D0F4E"/>
    <w:rsid w:val="001D784C"/>
    <w:rsid w:val="001F4108"/>
    <w:rsid w:val="001F7EEB"/>
    <w:rsid w:val="002004B8"/>
    <w:rsid w:val="00215CBF"/>
    <w:rsid w:val="00216425"/>
    <w:rsid w:val="00220140"/>
    <w:rsid w:val="002205E7"/>
    <w:rsid w:val="002227C4"/>
    <w:rsid w:val="002259AE"/>
    <w:rsid w:val="00226262"/>
    <w:rsid w:val="00231CF3"/>
    <w:rsid w:val="00233327"/>
    <w:rsid w:val="00243CA9"/>
    <w:rsid w:val="00247AF0"/>
    <w:rsid w:val="00252855"/>
    <w:rsid w:val="00261E78"/>
    <w:rsid w:val="002746D0"/>
    <w:rsid w:val="002944E2"/>
    <w:rsid w:val="002953BC"/>
    <w:rsid w:val="002A69F7"/>
    <w:rsid w:val="002A6BCB"/>
    <w:rsid w:val="002B0625"/>
    <w:rsid w:val="002C1FED"/>
    <w:rsid w:val="002C362B"/>
    <w:rsid w:val="002D1B3C"/>
    <w:rsid w:val="002F3701"/>
    <w:rsid w:val="002F39B3"/>
    <w:rsid w:val="00301EF5"/>
    <w:rsid w:val="00302597"/>
    <w:rsid w:val="00303AD9"/>
    <w:rsid w:val="003108D9"/>
    <w:rsid w:val="0031518B"/>
    <w:rsid w:val="003223D1"/>
    <w:rsid w:val="00322E33"/>
    <w:rsid w:val="00323C87"/>
    <w:rsid w:val="00324822"/>
    <w:rsid w:val="0034145E"/>
    <w:rsid w:val="00342CF1"/>
    <w:rsid w:val="003513D4"/>
    <w:rsid w:val="003668E9"/>
    <w:rsid w:val="00377025"/>
    <w:rsid w:val="00377ECD"/>
    <w:rsid w:val="003809E8"/>
    <w:rsid w:val="00383B00"/>
    <w:rsid w:val="00397565"/>
    <w:rsid w:val="003A2CE7"/>
    <w:rsid w:val="003C7A05"/>
    <w:rsid w:val="003C7CC7"/>
    <w:rsid w:val="003D2401"/>
    <w:rsid w:val="003D76FE"/>
    <w:rsid w:val="003E03B9"/>
    <w:rsid w:val="003F0D8A"/>
    <w:rsid w:val="003F50E0"/>
    <w:rsid w:val="003F57A4"/>
    <w:rsid w:val="00403730"/>
    <w:rsid w:val="00403862"/>
    <w:rsid w:val="00411B0E"/>
    <w:rsid w:val="00413F35"/>
    <w:rsid w:val="00421D64"/>
    <w:rsid w:val="00425E0F"/>
    <w:rsid w:val="0042783D"/>
    <w:rsid w:val="00433E3D"/>
    <w:rsid w:val="0043407E"/>
    <w:rsid w:val="00436969"/>
    <w:rsid w:val="00450B23"/>
    <w:rsid w:val="00451E26"/>
    <w:rsid w:val="004540F8"/>
    <w:rsid w:val="00454D3C"/>
    <w:rsid w:val="00473614"/>
    <w:rsid w:val="004778A7"/>
    <w:rsid w:val="0049111C"/>
    <w:rsid w:val="00492646"/>
    <w:rsid w:val="00493CC5"/>
    <w:rsid w:val="004A28BF"/>
    <w:rsid w:val="004A68BE"/>
    <w:rsid w:val="004C4668"/>
    <w:rsid w:val="004C4A99"/>
    <w:rsid w:val="004D0AF0"/>
    <w:rsid w:val="004D1B04"/>
    <w:rsid w:val="004D20D6"/>
    <w:rsid w:val="004D2EC0"/>
    <w:rsid w:val="004E03CD"/>
    <w:rsid w:val="004E4238"/>
    <w:rsid w:val="004E5B7A"/>
    <w:rsid w:val="004F1294"/>
    <w:rsid w:val="004F6F18"/>
    <w:rsid w:val="00500F88"/>
    <w:rsid w:val="00502B90"/>
    <w:rsid w:val="0050589F"/>
    <w:rsid w:val="00513643"/>
    <w:rsid w:val="00520343"/>
    <w:rsid w:val="0053126D"/>
    <w:rsid w:val="00531BDC"/>
    <w:rsid w:val="00533EE1"/>
    <w:rsid w:val="00546DB1"/>
    <w:rsid w:val="005540DF"/>
    <w:rsid w:val="00557197"/>
    <w:rsid w:val="00564B74"/>
    <w:rsid w:val="00565139"/>
    <w:rsid w:val="005741E1"/>
    <w:rsid w:val="00577532"/>
    <w:rsid w:val="00584471"/>
    <w:rsid w:val="0058460D"/>
    <w:rsid w:val="005869F2"/>
    <w:rsid w:val="0059251C"/>
    <w:rsid w:val="00594009"/>
    <w:rsid w:val="005A6E3E"/>
    <w:rsid w:val="005B168A"/>
    <w:rsid w:val="005B3620"/>
    <w:rsid w:val="005B57A1"/>
    <w:rsid w:val="005B582E"/>
    <w:rsid w:val="005C3EA9"/>
    <w:rsid w:val="005C410A"/>
    <w:rsid w:val="005D502C"/>
    <w:rsid w:val="005D52B4"/>
    <w:rsid w:val="005E412A"/>
    <w:rsid w:val="00601EFE"/>
    <w:rsid w:val="00603627"/>
    <w:rsid w:val="00611473"/>
    <w:rsid w:val="00616413"/>
    <w:rsid w:val="00620678"/>
    <w:rsid w:val="006216D8"/>
    <w:rsid w:val="006300C7"/>
    <w:rsid w:val="0063417C"/>
    <w:rsid w:val="00634957"/>
    <w:rsid w:val="006362D5"/>
    <w:rsid w:val="00642B6A"/>
    <w:rsid w:val="00643AF7"/>
    <w:rsid w:val="0064517A"/>
    <w:rsid w:val="00646BFC"/>
    <w:rsid w:val="006470D2"/>
    <w:rsid w:val="00652FB0"/>
    <w:rsid w:val="006553F6"/>
    <w:rsid w:val="00655AEB"/>
    <w:rsid w:val="0066710E"/>
    <w:rsid w:val="00670F35"/>
    <w:rsid w:val="00672949"/>
    <w:rsid w:val="0068066C"/>
    <w:rsid w:val="00681185"/>
    <w:rsid w:val="00691F84"/>
    <w:rsid w:val="006A00AE"/>
    <w:rsid w:val="006A0BB4"/>
    <w:rsid w:val="006A0D88"/>
    <w:rsid w:val="006A7CED"/>
    <w:rsid w:val="006B1A22"/>
    <w:rsid w:val="006B24FD"/>
    <w:rsid w:val="006B37BC"/>
    <w:rsid w:val="006B437F"/>
    <w:rsid w:val="006C1B82"/>
    <w:rsid w:val="006C2BBD"/>
    <w:rsid w:val="006C6849"/>
    <w:rsid w:val="006C777B"/>
    <w:rsid w:val="006D1BBD"/>
    <w:rsid w:val="006D6C4B"/>
    <w:rsid w:val="006E6B00"/>
    <w:rsid w:val="006F4DBE"/>
    <w:rsid w:val="006F7BE0"/>
    <w:rsid w:val="006F7E0F"/>
    <w:rsid w:val="00701707"/>
    <w:rsid w:val="00710EC7"/>
    <w:rsid w:val="0071332F"/>
    <w:rsid w:val="007168A5"/>
    <w:rsid w:val="00720C9A"/>
    <w:rsid w:val="007267AF"/>
    <w:rsid w:val="00727C8D"/>
    <w:rsid w:val="00736C21"/>
    <w:rsid w:val="00751E47"/>
    <w:rsid w:val="00763EDC"/>
    <w:rsid w:val="00771EED"/>
    <w:rsid w:val="0078788D"/>
    <w:rsid w:val="0079307A"/>
    <w:rsid w:val="007979A7"/>
    <w:rsid w:val="007A1077"/>
    <w:rsid w:val="007A759B"/>
    <w:rsid w:val="007C07DE"/>
    <w:rsid w:val="007C28E2"/>
    <w:rsid w:val="007D123D"/>
    <w:rsid w:val="007E033A"/>
    <w:rsid w:val="007E071B"/>
    <w:rsid w:val="00800EEB"/>
    <w:rsid w:val="0080151D"/>
    <w:rsid w:val="00801FD8"/>
    <w:rsid w:val="008066CD"/>
    <w:rsid w:val="00817E34"/>
    <w:rsid w:val="00825CE8"/>
    <w:rsid w:val="00827C22"/>
    <w:rsid w:val="00831F58"/>
    <w:rsid w:val="00835001"/>
    <w:rsid w:val="00836F12"/>
    <w:rsid w:val="008425D1"/>
    <w:rsid w:val="008446E0"/>
    <w:rsid w:val="0084785E"/>
    <w:rsid w:val="00857DB3"/>
    <w:rsid w:val="00866D4D"/>
    <w:rsid w:val="008808FF"/>
    <w:rsid w:val="008814F3"/>
    <w:rsid w:val="008944D4"/>
    <w:rsid w:val="008A577B"/>
    <w:rsid w:val="008A6B3F"/>
    <w:rsid w:val="008A7E55"/>
    <w:rsid w:val="008B0966"/>
    <w:rsid w:val="008B250B"/>
    <w:rsid w:val="008B44C9"/>
    <w:rsid w:val="008B72BB"/>
    <w:rsid w:val="008C0C2E"/>
    <w:rsid w:val="008C509A"/>
    <w:rsid w:val="008C6AE2"/>
    <w:rsid w:val="008D26DA"/>
    <w:rsid w:val="008D2955"/>
    <w:rsid w:val="008D54F2"/>
    <w:rsid w:val="008E4290"/>
    <w:rsid w:val="008F6352"/>
    <w:rsid w:val="009007B2"/>
    <w:rsid w:val="00907697"/>
    <w:rsid w:val="00911C37"/>
    <w:rsid w:val="00927797"/>
    <w:rsid w:val="009277DA"/>
    <w:rsid w:val="00932CB3"/>
    <w:rsid w:val="00935D26"/>
    <w:rsid w:val="0093738D"/>
    <w:rsid w:val="00940EBC"/>
    <w:rsid w:val="0094262B"/>
    <w:rsid w:val="009453C4"/>
    <w:rsid w:val="00957D8B"/>
    <w:rsid w:val="0096092A"/>
    <w:rsid w:val="009627DB"/>
    <w:rsid w:val="00963E0A"/>
    <w:rsid w:val="00982C38"/>
    <w:rsid w:val="00993F32"/>
    <w:rsid w:val="009A1303"/>
    <w:rsid w:val="009A37FF"/>
    <w:rsid w:val="009A3AD8"/>
    <w:rsid w:val="009B638E"/>
    <w:rsid w:val="009B6A35"/>
    <w:rsid w:val="009B6F6B"/>
    <w:rsid w:val="009C269A"/>
    <w:rsid w:val="009C4638"/>
    <w:rsid w:val="009D141C"/>
    <w:rsid w:val="009D717F"/>
    <w:rsid w:val="009E013B"/>
    <w:rsid w:val="009E201B"/>
    <w:rsid w:val="00A158BD"/>
    <w:rsid w:val="00A25479"/>
    <w:rsid w:val="00A2663A"/>
    <w:rsid w:val="00A30519"/>
    <w:rsid w:val="00A349D4"/>
    <w:rsid w:val="00A406C5"/>
    <w:rsid w:val="00A42DB2"/>
    <w:rsid w:val="00A52487"/>
    <w:rsid w:val="00A621F9"/>
    <w:rsid w:val="00A62CC8"/>
    <w:rsid w:val="00A80800"/>
    <w:rsid w:val="00A95874"/>
    <w:rsid w:val="00AA059D"/>
    <w:rsid w:val="00AA05BE"/>
    <w:rsid w:val="00AA2AD6"/>
    <w:rsid w:val="00AB27D6"/>
    <w:rsid w:val="00AB6DFC"/>
    <w:rsid w:val="00AC2119"/>
    <w:rsid w:val="00AC49AB"/>
    <w:rsid w:val="00AD1A9D"/>
    <w:rsid w:val="00AE0467"/>
    <w:rsid w:val="00AE249A"/>
    <w:rsid w:val="00AE6306"/>
    <w:rsid w:val="00AF7FCF"/>
    <w:rsid w:val="00B023AF"/>
    <w:rsid w:val="00B032F1"/>
    <w:rsid w:val="00B04806"/>
    <w:rsid w:val="00B04CC0"/>
    <w:rsid w:val="00B0795D"/>
    <w:rsid w:val="00B14BC6"/>
    <w:rsid w:val="00B2130A"/>
    <w:rsid w:val="00B36226"/>
    <w:rsid w:val="00B44DDD"/>
    <w:rsid w:val="00B47088"/>
    <w:rsid w:val="00B503AA"/>
    <w:rsid w:val="00B5232E"/>
    <w:rsid w:val="00B62269"/>
    <w:rsid w:val="00B63B41"/>
    <w:rsid w:val="00B67D3A"/>
    <w:rsid w:val="00B870E8"/>
    <w:rsid w:val="00B904AE"/>
    <w:rsid w:val="00B971E1"/>
    <w:rsid w:val="00BA25D4"/>
    <w:rsid w:val="00BA2606"/>
    <w:rsid w:val="00BA3FF8"/>
    <w:rsid w:val="00BB0925"/>
    <w:rsid w:val="00BE25FC"/>
    <w:rsid w:val="00BF1790"/>
    <w:rsid w:val="00C01EB0"/>
    <w:rsid w:val="00C02966"/>
    <w:rsid w:val="00C0679F"/>
    <w:rsid w:val="00C13700"/>
    <w:rsid w:val="00C1680E"/>
    <w:rsid w:val="00C5340E"/>
    <w:rsid w:val="00C53E13"/>
    <w:rsid w:val="00C637B1"/>
    <w:rsid w:val="00C6450F"/>
    <w:rsid w:val="00C64C91"/>
    <w:rsid w:val="00C666FA"/>
    <w:rsid w:val="00C734F1"/>
    <w:rsid w:val="00C75C7D"/>
    <w:rsid w:val="00C876DC"/>
    <w:rsid w:val="00C90E1A"/>
    <w:rsid w:val="00C911DE"/>
    <w:rsid w:val="00C93625"/>
    <w:rsid w:val="00CA54A4"/>
    <w:rsid w:val="00CA5C63"/>
    <w:rsid w:val="00CB518E"/>
    <w:rsid w:val="00CB70F5"/>
    <w:rsid w:val="00CB7DEC"/>
    <w:rsid w:val="00CC3986"/>
    <w:rsid w:val="00CC478D"/>
    <w:rsid w:val="00CC798D"/>
    <w:rsid w:val="00CE2BF0"/>
    <w:rsid w:val="00CE7ABC"/>
    <w:rsid w:val="00CF4DDB"/>
    <w:rsid w:val="00CF4E4E"/>
    <w:rsid w:val="00D01272"/>
    <w:rsid w:val="00D10F08"/>
    <w:rsid w:val="00D113E5"/>
    <w:rsid w:val="00D11770"/>
    <w:rsid w:val="00D20A08"/>
    <w:rsid w:val="00D229E2"/>
    <w:rsid w:val="00D22CC0"/>
    <w:rsid w:val="00D44C72"/>
    <w:rsid w:val="00D44F8D"/>
    <w:rsid w:val="00D477D3"/>
    <w:rsid w:val="00D529E2"/>
    <w:rsid w:val="00D53B95"/>
    <w:rsid w:val="00D5478D"/>
    <w:rsid w:val="00D606D0"/>
    <w:rsid w:val="00D75C69"/>
    <w:rsid w:val="00D77279"/>
    <w:rsid w:val="00D802DE"/>
    <w:rsid w:val="00D82186"/>
    <w:rsid w:val="00D829D9"/>
    <w:rsid w:val="00D8406B"/>
    <w:rsid w:val="00D849D2"/>
    <w:rsid w:val="00D85306"/>
    <w:rsid w:val="00D87233"/>
    <w:rsid w:val="00D922AC"/>
    <w:rsid w:val="00DB2155"/>
    <w:rsid w:val="00DB486E"/>
    <w:rsid w:val="00DB7A01"/>
    <w:rsid w:val="00DC75AC"/>
    <w:rsid w:val="00DD1936"/>
    <w:rsid w:val="00DD7FDB"/>
    <w:rsid w:val="00DE2968"/>
    <w:rsid w:val="00DE31FA"/>
    <w:rsid w:val="00DE7072"/>
    <w:rsid w:val="00E05FAC"/>
    <w:rsid w:val="00E10073"/>
    <w:rsid w:val="00E10C16"/>
    <w:rsid w:val="00E27840"/>
    <w:rsid w:val="00E310EC"/>
    <w:rsid w:val="00E42782"/>
    <w:rsid w:val="00E54D71"/>
    <w:rsid w:val="00E5706E"/>
    <w:rsid w:val="00E578CE"/>
    <w:rsid w:val="00E61A13"/>
    <w:rsid w:val="00E62F6C"/>
    <w:rsid w:val="00E7450C"/>
    <w:rsid w:val="00E755E5"/>
    <w:rsid w:val="00E75C95"/>
    <w:rsid w:val="00E7623F"/>
    <w:rsid w:val="00E772A4"/>
    <w:rsid w:val="00E90212"/>
    <w:rsid w:val="00E9354B"/>
    <w:rsid w:val="00E9792B"/>
    <w:rsid w:val="00EA602A"/>
    <w:rsid w:val="00EC646A"/>
    <w:rsid w:val="00EE77D2"/>
    <w:rsid w:val="00EE789F"/>
    <w:rsid w:val="00F024C6"/>
    <w:rsid w:val="00F112C4"/>
    <w:rsid w:val="00F141E9"/>
    <w:rsid w:val="00F21725"/>
    <w:rsid w:val="00F41445"/>
    <w:rsid w:val="00F4230A"/>
    <w:rsid w:val="00F679E4"/>
    <w:rsid w:val="00F7038B"/>
    <w:rsid w:val="00F71216"/>
    <w:rsid w:val="00F81117"/>
    <w:rsid w:val="00F90A6C"/>
    <w:rsid w:val="00F913D7"/>
    <w:rsid w:val="00F932D9"/>
    <w:rsid w:val="00F95248"/>
    <w:rsid w:val="00FA3D73"/>
    <w:rsid w:val="00FA6AF6"/>
    <w:rsid w:val="00FB6095"/>
    <w:rsid w:val="00FB7A65"/>
    <w:rsid w:val="00FC007D"/>
    <w:rsid w:val="00FC6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20FB1"/>
  <w15:chartTrackingRefBased/>
  <w15:docId w15:val="{F6F3A21A-C8B4-F242-8A98-C7CEE726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EBC"/>
    <w:pPr>
      <w:widowControl w:val="0"/>
    </w:pPr>
  </w:style>
  <w:style w:type="paragraph" w:styleId="Heading1">
    <w:name w:val="heading 1"/>
    <w:basedOn w:val="Normal"/>
    <w:next w:val="Normal"/>
    <w:link w:val="Heading1Char"/>
    <w:uiPriority w:val="9"/>
    <w:qFormat/>
    <w:rsid w:val="005651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5651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5651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565139"/>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565139"/>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565139"/>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56513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6513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6513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39"/>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56513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6513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565139"/>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65139"/>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565139"/>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565139"/>
    <w:rPr>
      <w:rFonts w:cstheme="majorBidi"/>
      <w:b/>
      <w:bCs/>
      <w:color w:val="595959" w:themeColor="text1" w:themeTint="A6"/>
    </w:rPr>
  </w:style>
  <w:style w:type="character" w:customStyle="1" w:styleId="Heading8Char">
    <w:name w:val="Heading 8 Char"/>
    <w:basedOn w:val="DefaultParagraphFont"/>
    <w:link w:val="Heading8"/>
    <w:uiPriority w:val="9"/>
    <w:semiHidden/>
    <w:rsid w:val="00565139"/>
    <w:rPr>
      <w:rFonts w:cstheme="majorBidi"/>
      <w:color w:val="595959" w:themeColor="text1" w:themeTint="A6"/>
    </w:rPr>
  </w:style>
  <w:style w:type="character" w:customStyle="1" w:styleId="Heading9Char">
    <w:name w:val="Heading 9 Char"/>
    <w:basedOn w:val="DefaultParagraphFont"/>
    <w:link w:val="Heading9"/>
    <w:uiPriority w:val="9"/>
    <w:semiHidden/>
    <w:rsid w:val="00565139"/>
    <w:rPr>
      <w:rFonts w:eastAsiaTheme="majorEastAsia" w:cstheme="majorBidi"/>
      <w:color w:val="595959" w:themeColor="text1" w:themeTint="A6"/>
    </w:rPr>
  </w:style>
  <w:style w:type="paragraph" w:styleId="Title">
    <w:name w:val="Title"/>
    <w:basedOn w:val="Normal"/>
    <w:next w:val="Normal"/>
    <w:link w:val="TitleChar"/>
    <w:uiPriority w:val="10"/>
    <w:qFormat/>
    <w:rsid w:val="005651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3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65139"/>
    <w:pPr>
      <w:spacing w:before="160"/>
      <w:jc w:val="center"/>
    </w:pPr>
    <w:rPr>
      <w:i/>
      <w:iCs/>
      <w:color w:val="404040" w:themeColor="text1" w:themeTint="BF"/>
    </w:rPr>
  </w:style>
  <w:style w:type="character" w:customStyle="1" w:styleId="QuoteChar">
    <w:name w:val="Quote Char"/>
    <w:basedOn w:val="DefaultParagraphFont"/>
    <w:link w:val="Quote"/>
    <w:uiPriority w:val="29"/>
    <w:rsid w:val="00565139"/>
    <w:rPr>
      <w:i/>
      <w:iCs/>
      <w:color w:val="404040" w:themeColor="text1" w:themeTint="BF"/>
    </w:rPr>
  </w:style>
  <w:style w:type="paragraph" w:styleId="ListParagraph">
    <w:name w:val="List Paragraph"/>
    <w:basedOn w:val="Normal"/>
    <w:uiPriority w:val="34"/>
    <w:qFormat/>
    <w:rsid w:val="00565139"/>
    <w:pPr>
      <w:ind w:left="720"/>
      <w:contextualSpacing/>
    </w:pPr>
  </w:style>
  <w:style w:type="character" w:styleId="IntenseEmphasis">
    <w:name w:val="Intense Emphasis"/>
    <w:basedOn w:val="DefaultParagraphFont"/>
    <w:uiPriority w:val="21"/>
    <w:qFormat/>
    <w:rsid w:val="00565139"/>
    <w:rPr>
      <w:i/>
      <w:iCs/>
      <w:color w:val="2F5496" w:themeColor="accent1" w:themeShade="BF"/>
    </w:rPr>
  </w:style>
  <w:style w:type="paragraph" w:styleId="IntenseQuote">
    <w:name w:val="Intense Quote"/>
    <w:basedOn w:val="Normal"/>
    <w:next w:val="Normal"/>
    <w:link w:val="IntenseQuoteChar"/>
    <w:uiPriority w:val="30"/>
    <w:qFormat/>
    <w:rsid w:val="0056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139"/>
    <w:rPr>
      <w:i/>
      <w:iCs/>
      <w:color w:val="2F5496" w:themeColor="accent1" w:themeShade="BF"/>
    </w:rPr>
  </w:style>
  <w:style w:type="character" w:styleId="IntenseReference">
    <w:name w:val="Intense Reference"/>
    <w:basedOn w:val="DefaultParagraphFont"/>
    <w:uiPriority w:val="32"/>
    <w:qFormat/>
    <w:rsid w:val="00565139"/>
    <w:rPr>
      <w:b/>
      <w:bCs/>
      <w:smallCaps/>
      <w:color w:val="2F5496" w:themeColor="accent1" w:themeShade="BF"/>
      <w:spacing w:val="5"/>
    </w:rPr>
  </w:style>
  <w:style w:type="character" w:styleId="Strong">
    <w:name w:val="Strong"/>
    <w:basedOn w:val="DefaultParagraphFont"/>
    <w:uiPriority w:val="22"/>
    <w:qFormat/>
    <w:rsid w:val="00932CB3"/>
    <w:rPr>
      <w:b/>
      <w:bCs/>
    </w:rPr>
  </w:style>
  <w:style w:type="character" w:customStyle="1" w:styleId="fadein4f9by7">
    <w:name w:val="_fadein_4f9by_7"/>
    <w:basedOn w:val="DefaultParagraphFont"/>
    <w:rsid w:val="00932CB3"/>
  </w:style>
  <w:style w:type="character" w:styleId="PlaceholderText">
    <w:name w:val="Placeholder Text"/>
    <w:basedOn w:val="DefaultParagraphFont"/>
    <w:uiPriority w:val="99"/>
    <w:semiHidden/>
    <w:rsid w:val="003A2CE7"/>
    <w:rPr>
      <w:color w:val="666666"/>
    </w:rPr>
  </w:style>
  <w:style w:type="character" w:customStyle="1" w:styleId="katex-mathml">
    <w:name w:val="katex-mathml"/>
    <w:basedOn w:val="DefaultParagraphFont"/>
    <w:rsid w:val="00E7623F"/>
  </w:style>
  <w:style w:type="character" w:customStyle="1" w:styleId="mord">
    <w:name w:val="mord"/>
    <w:basedOn w:val="DefaultParagraphFont"/>
    <w:rsid w:val="00E7623F"/>
  </w:style>
  <w:style w:type="character" w:customStyle="1" w:styleId="mpunct">
    <w:name w:val="mpunct"/>
    <w:basedOn w:val="DefaultParagraphFont"/>
    <w:rsid w:val="00E7623F"/>
  </w:style>
  <w:style w:type="character" w:customStyle="1" w:styleId="vlist-s">
    <w:name w:val="vlist-s"/>
    <w:basedOn w:val="DefaultParagraphFont"/>
    <w:rsid w:val="00E7623F"/>
  </w:style>
  <w:style w:type="character" w:customStyle="1" w:styleId="mopen">
    <w:name w:val="mopen"/>
    <w:basedOn w:val="DefaultParagraphFont"/>
    <w:rsid w:val="00E7623F"/>
  </w:style>
  <w:style w:type="character" w:customStyle="1" w:styleId="mclose">
    <w:name w:val="mclose"/>
    <w:basedOn w:val="DefaultParagraphFont"/>
    <w:rsid w:val="00E7623F"/>
  </w:style>
  <w:style w:type="table" w:styleId="TableGrid">
    <w:name w:val="Table Grid"/>
    <w:basedOn w:val="TableNormal"/>
    <w:uiPriority w:val="39"/>
    <w:rsid w:val="00B97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A059D"/>
    <w:pPr>
      <w:widowControl/>
      <w:spacing w:after="0" w:line="240" w:lineRule="auto"/>
    </w:pPr>
    <w:rPr>
      <w:rFonts w:ascii="Helvetica" w:eastAsia="SimSun" w:hAnsi="Helvetica" w:cs="SimSun"/>
      <w:color w:val="000000"/>
      <w:kern w:val="0"/>
      <w:sz w:val="17"/>
      <w:szCs w:val="17"/>
      <w14:ligatures w14:val="none"/>
    </w:rPr>
  </w:style>
  <w:style w:type="character" w:customStyle="1" w:styleId="s1">
    <w:name w:val="s1"/>
    <w:basedOn w:val="DefaultParagraphFont"/>
    <w:rsid w:val="00AA059D"/>
    <w:rPr>
      <w:rFonts w:ascii="Times New Roman" w:hAnsi="Times New Roman" w:cs="Times New Roman" w:hint="default"/>
      <w:sz w:val="17"/>
      <w:szCs w:val="17"/>
    </w:rPr>
  </w:style>
  <w:style w:type="paragraph" w:customStyle="1" w:styleId="MDPI12title">
    <w:name w:val="MDPI_1.2_title"/>
    <w:next w:val="Normal"/>
    <w:qFormat/>
    <w:rsid w:val="001B214C"/>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1B214C"/>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6affiliation">
    <w:name w:val="MDPI_1.6_affiliation"/>
    <w:qFormat/>
    <w:rsid w:val="001B214C"/>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8keywords">
    <w:name w:val="MDPI_1.8_keywords"/>
    <w:next w:val="Normal"/>
    <w:qFormat/>
    <w:rsid w:val="00E75C95"/>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szCs w:val="22"/>
      <w:lang w:eastAsia="de-DE" w:bidi="en-US"/>
      <w14:ligatures w14:val="none"/>
    </w:rPr>
  </w:style>
  <w:style w:type="table" w:styleId="GridTable1Light">
    <w:name w:val="Grid Table 1 Light"/>
    <w:basedOn w:val="TableNormal"/>
    <w:uiPriority w:val="46"/>
    <w:rsid w:val="000057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DPI22heading2">
    <w:name w:val="MDPI_2.2_heading2"/>
    <w:qFormat/>
    <w:rsid w:val="0058460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styleId="FootnoteText">
    <w:name w:val="footnote text"/>
    <w:basedOn w:val="Normal"/>
    <w:link w:val="FootnoteTextChar"/>
    <w:uiPriority w:val="99"/>
    <w:semiHidden/>
    <w:unhideWhenUsed/>
    <w:rsid w:val="00E62F6C"/>
    <w:pPr>
      <w:snapToGrid w:val="0"/>
    </w:pPr>
    <w:rPr>
      <w:sz w:val="18"/>
      <w:szCs w:val="18"/>
    </w:rPr>
  </w:style>
  <w:style w:type="character" w:customStyle="1" w:styleId="FootnoteTextChar">
    <w:name w:val="Footnote Text Char"/>
    <w:basedOn w:val="DefaultParagraphFont"/>
    <w:link w:val="FootnoteText"/>
    <w:uiPriority w:val="99"/>
    <w:semiHidden/>
    <w:rsid w:val="00E62F6C"/>
    <w:rPr>
      <w:sz w:val="18"/>
      <w:szCs w:val="18"/>
    </w:rPr>
  </w:style>
  <w:style w:type="character" w:styleId="FootnoteReference">
    <w:name w:val="footnote reference"/>
    <w:basedOn w:val="DefaultParagraphFont"/>
    <w:uiPriority w:val="99"/>
    <w:semiHidden/>
    <w:unhideWhenUsed/>
    <w:rsid w:val="00E62F6C"/>
    <w:rPr>
      <w:vertAlign w:val="superscript"/>
    </w:rPr>
  </w:style>
  <w:style w:type="character" w:styleId="Hyperlink">
    <w:name w:val="Hyperlink"/>
    <w:basedOn w:val="DefaultParagraphFont"/>
    <w:uiPriority w:val="99"/>
    <w:unhideWhenUsed/>
    <w:rsid w:val="008C0C2E"/>
    <w:rPr>
      <w:color w:val="0563C1" w:themeColor="hyperlink"/>
      <w:u w:val="single"/>
    </w:rPr>
  </w:style>
  <w:style w:type="character" w:styleId="UnresolvedMention">
    <w:name w:val="Unresolved Mention"/>
    <w:basedOn w:val="DefaultParagraphFont"/>
    <w:uiPriority w:val="99"/>
    <w:semiHidden/>
    <w:unhideWhenUsed/>
    <w:rsid w:val="008C0C2E"/>
    <w:rPr>
      <w:color w:val="605E5C"/>
      <w:shd w:val="clear" w:color="auto" w:fill="E1DFDD"/>
    </w:rPr>
  </w:style>
  <w:style w:type="paragraph" w:styleId="Bibliography">
    <w:name w:val="Bibliography"/>
    <w:basedOn w:val="Normal"/>
    <w:next w:val="Normal"/>
    <w:uiPriority w:val="37"/>
    <w:unhideWhenUsed/>
    <w:rsid w:val="003513D4"/>
    <w:pPr>
      <w:spacing w:after="0" w:line="240" w:lineRule="auto"/>
      <w:ind w:left="720" w:hanging="720"/>
    </w:pPr>
  </w:style>
  <w:style w:type="character" w:styleId="CommentReference">
    <w:name w:val="annotation reference"/>
    <w:basedOn w:val="DefaultParagraphFont"/>
    <w:uiPriority w:val="99"/>
    <w:semiHidden/>
    <w:unhideWhenUsed/>
    <w:rsid w:val="00F81117"/>
    <w:rPr>
      <w:sz w:val="21"/>
      <w:szCs w:val="21"/>
    </w:rPr>
  </w:style>
  <w:style w:type="paragraph" w:styleId="CommentText">
    <w:name w:val="annotation text"/>
    <w:basedOn w:val="Normal"/>
    <w:link w:val="CommentTextChar"/>
    <w:uiPriority w:val="99"/>
    <w:semiHidden/>
    <w:unhideWhenUsed/>
    <w:rsid w:val="00F81117"/>
  </w:style>
  <w:style w:type="character" w:customStyle="1" w:styleId="CommentTextChar">
    <w:name w:val="Comment Text Char"/>
    <w:basedOn w:val="DefaultParagraphFont"/>
    <w:link w:val="CommentText"/>
    <w:uiPriority w:val="99"/>
    <w:semiHidden/>
    <w:rsid w:val="00F81117"/>
  </w:style>
  <w:style w:type="paragraph" w:styleId="CommentSubject">
    <w:name w:val="annotation subject"/>
    <w:basedOn w:val="CommentText"/>
    <w:next w:val="CommentText"/>
    <w:link w:val="CommentSubjectChar"/>
    <w:uiPriority w:val="99"/>
    <w:semiHidden/>
    <w:unhideWhenUsed/>
    <w:rsid w:val="00F81117"/>
    <w:rPr>
      <w:b/>
      <w:bCs/>
    </w:rPr>
  </w:style>
  <w:style w:type="character" w:customStyle="1" w:styleId="CommentSubjectChar">
    <w:name w:val="Comment Subject Char"/>
    <w:basedOn w:val="CommentTextChar"/>
    <w:link w:val="CommentSubject"/>
    <w:uiPriority w:val="99"/>
    <w:semiHidden/>
    <w:rsid w:val="00F81117"/>
    <w:rPr>
      <w:b/>
      <w:bCs/>
    </w:rPr>
  </w:style>
  <w:style w:type="paragraph" w:styleId="Footer">
    <w:name w:val="footer"/>
    <w:basedOn w:val="Normal"/>
    <w:link w:val="FooterChar"/>
    <w:uiPriority w:val="99"/>
    <w:unhideWhenUsed/>
    <w:rsid w:val="000F418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0F418B"/>
    <w:rPr>
      <w:sz w:val="18"/>
      <w:szCs w:val="18"/>
    </w:rPr>
  </w:style>
  <w:style w:type="character" w:styleId="PageNumber">
    <w:name w:val="page number"/>
    <w:basedOn w:val="DefaultParagraphFont"/>
    <w:uiPriority w:val="99"/>
    <w:semiHidden/>
    <w:unhideWhenUsed/>
    <w:rsid w:val="000F418B"/>
  </w:style>
  <w:style w:type="paragraph" w:styleId="NormalWeb">
    <w:name w:val="Normal (Web)"/>
    <w:basedOn w:val="Normal"/>
    <w:uiPriority w:val="99"/>
    <w:semiHidden/>
    <w:unhideWhenUsed/>
    <w:rsid w:val="00564B74"/>
    <w:pPr>
      <w:widowControl/>
      <w:spacing w:before="100" w:beforeAutospacing="1" w:after="100" w:afterAutospacing="1" w:line="240" w:lineRule="auto"/>
    </w:pPr>
    <w:rPr>
      <w:rFonts w:ascii="SimSun" w:eastAsia="SimSun" w:hAnsi="SimSun" w:cs="SimSun"/>
      <w:kern w:val="0"/>
      <w:sz w:val="24"/>
      <w14:ligatures w14:val="none"/>
    </w:rPr>
  </w:style>
  <w:style w:type="character" w:customStyle="1" w:styleId="sr-only">
    <w:name w:val="sr-only"/>
    <w:basedOn w:val="DefaultParagraphFont"/>
    <w:rsid w:val="00564B74"/>
  </w:style>
  <w:style w:type="paragraph" w:customStyle="1" w:styleId="EndNoteBibliographyTitle">
    <w:name w:val="EndNote Bibliography Title"/>
    <w:basedOn w:val="Normal"/>
    <w:link w:val="EndNoteBibliographyTitle0"/>
    <w:rsid w:val="00C93625"/>
    <w:pPr>
      <w:spacing w:after="0"/>
      <w:jc w:val="center"/>
    </w:pPr>
    <w:rPr>
      <w:rFonts w:ascii="DengXian" w:eastAsia="DengXian" w:hAnsi="DengXian"/>
    </w:rPr>
  </w:style>
  <w:style w:type="character" w:customStyle="1" w:styleId="EndNoteBibliographyTitle0">
    <w:name w:val="EndNote Bibliography Title 字符"/>
    <w:basedOn w:val="DefaultParagraphFont"/>
    <w:link w:val="EndNoteBibliographyTitle"/>
    <w:rsid w:val="00C93625"/>
    <w:rPr>
      <w:rFonts w:ascii="DengXian" w:eastAsia="DengXian" w:hAnsi="DengXian"/>
    </w:rPr>
  </w:style>
  <w:style w:type="paragraph" w:customStyle="1" w:styleId="EndNoteBibliography">
    <w:name w:val="EndNote Bibliography"/>
    <w:basedOn w:val="Normal"/>
    <w:link w:val="EndNoteBibliography0"/>
    <w:rsid w:val="00C93625"/>
    <w:pPr>
      <w:spacing w:line="240" w:lineRule="auto"/>
    </w:pPr>
    <w:rPr>
      <w:rFonts w:ascii="DengXian" w:eastAsia="DengXian" w:hAnsi="DengXian"/>
    </w:rPr>
  </w:style>
  <w:style w:type="character" w:customStyle="1" w:styleId="EndNoteBibliography0">
    <w:name w:val="EndNote Bibliography 字符"/>
    <w:basedOn w:val="DefaultParagraphFont"/>
    <w:link w:val="EndNoteBibliography"/>
    <w:rsid w:val="00C93625"/>
    <w:rPr>
      <w:rFonts w:ascii="DengXian" w:eastAsia="DengXian" w:hAnsi="DengXian"/>
    </w:rPr>
  </w:style>
  <w:style w:type="paragraph" w:styleId="Header">
    <w:name w:val="header"/>
    <w:basedOn w:val="Normal"/>
    <w:link w:val="HeaderChar"/>
    <w:uiPriority w:val="99"/>
    <w:unhideWhenUsed/>
    <w:rsid w:val="00634957"/>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634957"/>
    <w:rPr>
      <w:sz w:val="18"/>
      <w:szCs w:val="18"/>
    </w:rPr>
  </w:style>
  <w:style w:type="table" w:customStyle="1" w:styleId="1">
    <w:name w:val="网格型1"/>
    <w:basedOn w:val="TableNormal"/>
    <w:next w:val="TableGrid"/>
    <w:uiPriority w:val="39"/>
    <w:rsid w:val="00655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0EEB"/>
    <w:rPr>
      <w:rFonts w:asciiTheme="majorHAnsi" w:eastAsia="SimHei" w:hAnsiTheme="majorHAnsi" w:cstheme="majorBidi"/>
      <w:sz w:val="20"/>
      <w:szCs w:val="20"/>
    </w:rPr>
  </w:style>
  <w:style w:type="character" w:customStyle="1" w:styleId="ts-alignment-element">
    <w:name w:val="ts-alignment-element"/>
    <w:basedOn w:val="DefaultParagraphFont"/>
    <w:rsid w:val="00CA54A4"/>
  </w:style>
  <w:style w:type="character" w:styleId="FollowedHyperlink">
    <w:name w:val="FollowedHyperlink"/>
    <w:basedOn w:val="DefaultParagraphFont"/>
    <w:uiPriority w:val="99"/>
    <w:semiHidden/>
    <w:unhideWhenUsed/>
    <w:rsid w:val="009B63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023">
      <w:bodyDiv w:val="1"/>
      <w:marLeft w:val="0"/>
      <w:marRight w:val="0"/>
      <w:marTop w:val="0"/>
      <w:marBottom w:val="0"/>
      <w:divBdr>
        <w:top w:val="none" w:sz="0" w:space="0" w:color="auto"/>
        <w:left w:val="none" w:sz="0" w:space="0" w:color="auto"/>
        <w:bottom w:val="none" w:sz="0" w:space="0" w:color="auto"/>
        <w:right w:val="none" w:sz="0" w:space="0" w:color="auto"/>
      </w:divBdr>
    </w:div>
    <w:div w:id="42411906">
      <w:bodyDiv w:val="1"/>
      <w:marLeft w:val="0"/>
      <w:marRight w:val="0"/>
      <w:marTop w:val="0"/>
      <w:marBottom w:val="0"/>
      <w:divBdr>
        <w:top w:val="none" w:sz="0" w:space="0" w:color="auto"/>
        <w:left w:val="none" w:sz="0" w:space="0" w:color="auto"/>
        <w:bottom w:val="none" w:sz="0" w:space="0" w:color="auto"/>
        <w:right w:val="none" w:sz="0" w:space="0" w:color="auto"/>
      </w:divBdr>
    </w:div>
    <w:div w:id="94207904">
      <w:bodyDiv w:val="1"/>
      <w:marLeft w:val="0"/>
      <w:marRight w:val="0"/>
      <w:marTop w:val="0"/>
      <w:marBottom w:val="0"/>
      <w:divBdr>
        <w:top w:val="none" w:sz="0" w:space="0" w:color="auto"/>
        <w:left w:val="none" w:sz="0" w:space="0" w:color="auto"/>
        <w:bottom w:val="none" w:sz="0" w:space="0" w:color="auto"/>
        <w:right w:val="none" w:sz="0" w:space="0" w:color="auto"/>
      </w:divBdr>
    </w:div>
    <w:div w:id="95558443">
      <w:bodyDiv w:val="1"/>
      <w:marLeft w:val="0"/>
      <w:marRight w:val="0"/>
      <w:marTop w:val="0"/>
      <w:marBottom w:val="0"/>
      <w:divBdr>
        <w:top w:val="none" w:sz="0" w:space="0" w:color="auto"/>
        <w:left w:val="none" w:sz="0" w:space="0" w:color="auto"/>
        <w:bottom w:val="none" w:sz="0" w:space="0" w:color="auto"/>
        <w:right w:val="none" w:sz="0" w:space="0" w:color="auto"/>
      </w:divBdr>
    </w:div>
    <w:div w:id="192576137">
      <w:bodyDiv w:val="1"/>
      <w:marLeft w:val="0"/>
      <w:marRight w:val="0"/>
      <w:marTop w:val="0"/>
      <w:marBottom w:val="0"/>
      <w:divBdr>
        <w:top w:val="none" w:sz="0" w:space="0" w:color="auto"/>
        <w:left w:val="none" w:sz="0" w:space="0" w:color="auto"/>
        <w:bottom w:val="none" w:sz="0" w:space="0" w:color="auto"/>
        <w:right w:val="none" w:sz="0" w:space="0" w:color="auto"/>
      </w:divBdr>
      <w:divsChild>
        <w:div w:id="1928297290">
          <w:marLeft w:val="0"/>
          <w:marRight w:val="0"/>
          <w:marTop w:val="0"/>
          <w:marBottom w:val="0"/>
          <w:divBdr>
            <w:top w:val="none" w:sz="0" w:space="0" w:color="auto"/>
            <w:left w:val="none" w:sz="0" w:space="0" w:color="auto"/>
            <w:bottom w:val="none" w:sz="0" w:space="0" w:color="auto"/>
            <w:right w:val="none" w:sz="0" w:space="0" w:color="auto"/>
          </w:divBdr>
          <w:divsChild>
            <w:div w:id="305821681">
              <w:marLeft w:val="0"/>
              <w:marRight w:val="0"/>
              <w:marTop w:val="0"/>
              <w:marBottom w:val="0"/>
              <w:divBdr>
                <w:top w:val="none" w:sz="0" w:space="0" w:color="auto"/>
                <w:left w:val="none" w:sz="0" w:space="0" w:color="auto"/>
                <w:bottom w:val="none" w:sz="0" w:space="0" w:color="auto"/>
                <w:right w:val="none" w:sz="0" w:space="0" w:color="auto"/>
              </w:divBdr>
              <w:divsChild>
                <w:div w:id="215437285">
                  <w:marLeft w:val="0"/>
                  <w:marRight w:val="0"/>
                  <w:marTop w:val="0"/>
                  <w:marBottom w:val="0"/>
                  <w:divBdr>
                    <w:top w:val="none" w:sz="0" w:space="0" w:color="auto"/>
                    <w:left w:val="none" w:sz="0" w:space="0" w:color="auto"/>
                    <w:bottom w:val="none" w:sz="0" w:space="0" w:color="auto"/>
                    <w:right w:val="none" w:sz="0" w:space="0" w:color="auto"/>
                  </w:divBdr>
                  <w:divsChild>
                    <w:div w:id="1748267243">
                      <w:marLeft w:val="0"/>
                      <w:marRight w:val="0"/>
                      <w:marTop w:val="0"/>
                      <w:marBottom w:val="0"/>
                      <w:divBdr>
                        <w:top w:val="none" w:sz="0" w:space="0" w:color="auto"/>
                        <w:left w:val="none" w:sz="0" w:space="0" w:color="auto"/>
                        <w:bottom w:val="none" w:sz="0" w:space="0" w:color="auto"/>
                        <w:right w:val="none" w:sz="0" w:space="0" w:color="auto"/>
                      </w:divBdr>
                      <w:divsChild>
                        <w:div w:id="4292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521350">
          <w:marLeft w:val="0"/>
          <w:marRight w:val="0"/>
          <w:marTop w:val="0"/>
          <w:marBottom w:val="0"/>
          <w:divBdr>
            <w:top w:val="none" w:sz="0" w:space="0" w:color="auto"/>
            <w:left w:val="none" w:sz="0" w:space="0" w:color="auto"/>
            <w:bottom w:val="none" w:sz="0" w:space="0" w:color="auto"/>
            <w:right w:val="none" w:sz="0" w:space="0" w:color="auto"/>
          </w:divBdr>
          <w:divsChild>
            <w:div w:id="20765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9697">
      <w:bodyDiv w:val="1"/>
      <w:marLeft w:val="0"/>
      <w:marRight w:val="0"/>
      <w:marTop w:val="0"/>
      <w:marBottom w:val="0"/>
      <w:divBdr>
        <w:top w:val="none" w:sz="0" w:space="0" w:color="auto"/>
        <w:left w:val="none" w:sz="0" w:space="0" w:color="auto"/>
        <w:bottom w:val="none" w:sz="0" w:space="0" w:color="auto"/>
        <w:right w:val="none" w:sz="0" w:space="0" w:color="auto"/>
      </w:divBdr>
    </w:div>
    <w:div w:id="370811308">
      <w:bodyDiv w:val="1"/>
      <w:marLeft w:val="0"/>
      <w:marRight w:val="0"/>
      <w:marTop w:val="0"/>
      <w:marBottom w:val="0"/>
      <w:divBdr>
        <w:top w:val="none" w:sz="0" w:space="0" w:color="auto"/>
        <w:left w:val="none" w:sz="0" w:space="0" w:color="auto"/>
        <w:bottom w:val="none" w:sz="0" w:space="0" w:color="auto"/>
        <w:right w:val="none" w:sz="0" w:space="0" w:color="auto"/>
      </w:divBdr>
    </w:div>
    <w:div w:id="836456190">
      <w:bodyDiv w:val="1"/>
      <w:marLeft w:val="0"/>
      <w:marRight w:val="0"/>
      <w:marTop w:val="0"/>
      <w:marBottom w:val="0"/>
      <w:divBdr>
        <w:top w:val="none" w:sz="0" w:space="0" w:color="auto"/>
        <w:left w:val="none" w:sz="0" w:space="0" w:color="auto"/>
        <w:bottom w:val="none" w:sz="0" w:space="0" w:color="auto"/>
        <w:right w:val="none" w:sz="0" w:space="0" w:color="auto"/>
      </w:divBdr>
    </w:div>
    <w:div w:id="965937341">
      <w:bodyDiv w:val="1"/>
      <w:marLeft w:val="0"/>
      <w:marRight w:val="0"/>
      <w:marTop w:val="0"/>
      <w:marBottom w:val="0"/>
      <w:divBdr>
        <w:top w:val="none" w:sz="0" w:space="0" w:color="auto"/>
        <w:left w:val="none" w:sz="0" w:space="0" w:color="auto"/>
        <w:bottom w:val="none" w:sz="0" w:space="0" w:color="auto"/>
        <w:right w:val="none" w:sz="0" w:space="0" w:color="auto"/>
      </w:divBdr>
    </w:div>
    <w:div w:id="1135483758">
      <w:bodyDiv w:val="1"/>
      <w:marLeft w:val="0"/>
      <w:marRight w:val="0"/>
      <w:marTop w:val="0"/>
      <w:marBottom w:val="0"/>
      <w:divBdr>
        <w:top w:val="none" w:sz="0" w:space="0" w:color="auto"/>
        <w:left w:val="none" w:sz="0" w:space="0" w:color="auto"/>
        <w:bottom w:val="none" w:sz="0" w:space="0" w:color="auto"/>
        <w:right w:val="none" w:sz="0" w:space="0" w:color="auto"/>
      </w:divBdr>
    </w:div>
    <w:div w:id="1334647824">
      <w:bodyDiv w:val="1"/>
      <w:marLeft w:val="0"/>
      <w:marRight w:val="0"/>
      <w:marTop w:val="0"/>
      <w:marBottom w:val="0"/>
      <w:divBdr>
        <w:top w:val="none" w:sz="0" w:space="0" w:color="auto"/>
        <w:left w:val="none" w:sz="0" w:space="0" w:color="auto"/>
        <w:bottom w:val="none" w:sz="0" w:space="0" w:color="auto"/>
        <w:right w:val="none" w:sz="0" w:space="0" w:color="auto"/>
      </w:divBdr>
    </w:div>
    <w:div w:id="1473329136">
      <w:bodyDiv w:val="1"/>
      <w:marLeft w:val="0"/>
      <w:marRight w:val="0"/>
      <w:marTop w:val="0"/>
      <w:marBottom w:val="0"/>
      <w:divBdr>
        <w:top w:val="none" w:sz="0" w:space="0" w:color="auto"/>
        <w:left w:val="none" w:sz="0" w:space="0" w:color="auto"/>
        <w:bottom w:val="none" w:sz="0" w:space="0" w:color="auto"/>
        <w:right w:val="none" w:sz="0" w:space="0" w:color="auto"/>
      </w:divBdr>
    </w:div>
    <w:div w:id="1844052198">
      <w:bodyDiv w:val="1"/>
      <w:marLeft w:val="0"/>
      <w:marRight w:val="0"/>
      <w:marTop w:val="0"/>
      <w:marBottom w:val="0"/>
      <w:divBdr>
        <w:top w:val="none" w:sz="0" w:space="0" w:color="auto"/>
        <w:left w:val="none" w:sz="0" w:space="0" w:color="auto"/>
        <w:bottom w:val="none" w:sz="0" w:space="0" w:color="auto"/>
        <w:right w:val="none" w:sz="0" w:space="0" w:color="auto"/>
      </w:divBdr>
    </w:div>
    <w:div w:id="1866821235">
      <w:bodyDiv w:val="1"/>
      <w:marLeft w:val="0"/>
      <w:marRight w:val="0"/>
      <w:marTop w:val="0"/>
      <w:marBottom w:val="0"/>
      <w:divBdr>
        <w:top w:val="none" w:sz="0" w:space="0" w:color="auto"/>
        <w:left w:val="none" w:sz="0" w:space="0" w:color="auto"/>
        <w:bottom w:val="none" w:sz="0" w:space="0" w:color="auto"/>
        <w:right w:val="none" w:sz="0" w:space="0" w:color="auto"/>
      </w:divBdr>
    </w:div>
    <w:div w:id="1915823083">
      <w:bodyDiv w:val="1"/>
      <w:marLeft w:val="0"/>
      <w:marRight w:val="0"/>
      <w:marTop w:val="0"/>
      <w:marBottom w:val="0"/>
      <w:divBdr>
        <w:top w:val="none" w:sz="0" w:space="0" w:color="auto"/>
        <w:left w:val="none" w:sz="0" w:space="0" w:color="auto"/>
        <w:bottom w:val="none" w:sz="0" w:space="0" w:color="auto"/>
        <w:right w:val="none" w:sz="0" w:space="0" w:color="auto"/>
      </w:divBdr>
    </w:div>
    <w:div w:id="202421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asieco.2016.03.002" TargetMode="External"/><Relationship Id="rId39" Type="http://schemas.openxmlformats.org/officeDocument/2006/relationships/hyperlink" Target="https://doi.org/10.1016/j.asieco.2020.101247" TargetMode="External"/><Relationship Id="rId21" Type="http://schemas.openxmlformats.org/officeDocument/2006/relationships/hyperlink" Target="https://doi.org/10.1257/aer.20181219" TargetMode="External"/><Relationship Id="rId34" Type="http://schemas.openxmlformats.org/officeDocument/2006/relationships/hyperlink" Target="https://doi.org/10.1016/j.iref.2025.103864" TargetMode="External"/><Relationship Id="rId42" Type="http://schemas.openxmlformats.org/officeDocument/2006/relationships/hyperlink" Target="https://doi.org/10.1080/23322039.2025.2502437" TargetMode="External"/><Relationship Id="rId47" Type="http://schemas.openxmlformats.org/officeDocument/2006/relationships/hyperlink" Target="https://doi.org/10.1016/j.qref.2023.02.004" TargetMode="External"/><Relationship Id="rId50" Type="http://schemas.openxmlformats.org/officeDocument/2006/relationships/hyperlink" Target="https://doi.org/10.1016/j.ijforecast.2019.08.005"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62/REST_a_00300" TargetMode="External"/><Relationship Id="rId11" Type="http://schemas.openxmlformats.org/officeDocument/2006/relationships/image" Target="media/image5.png"/><Relationship Id="rId24" Type="http://schemas.openxmlformats.org/officeDocument/2006/relationships/hyperlink" Target="https://doi.org/10.1093/jjfinec/nbp001" TargetMode="External"/><Relationship Id="rId32" Type="http://schemas.openxmlformats.org/officeDocument/2006/relationships/hyperlink" Target="https://doi.org/10.3982/ECTA5771" TargetMode="External"/><Relationship Id="rId37" Type="http://schemas.openxmlformats.org/officeDocument/2006/relationships/hyperlink" Target="https://doi.org/10.1111/ecot.12044" TargetMode="External"/><Relationship Id="rId40" Type="http://schemas.openxmlformats.org/officeDocument/2006/relationships/hyperlink" Target="https://doi.org/10.1080/13504851.2025.2534501" TargetMode="External"/><Relationship Id="rId45" Type="http://schemas.openxmlformats.org/officeDocument/2006/relationships/hyperlink" Target="https://doi.org/10.1016/j.frl.2019.101314"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016/j.ecosys.2017.05.008" TargetMode="External"/><Relationship Id="rId31" Type="http://schemas.openxmlformats.org/officeDocument/2006/relationships/hyperlink" Target="https://doi.org/10.1111/obes.12456" TargetMode="External"/><Relationship Id="rId44" Type="http://schemas.openxmlformats.org/officeDocument/2006/relationships/hyperlink" Target="https://doi.org/10.1111/twec.13529"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jinteco.2022.103692" TargetMode="External"/><Relationship Id="rId27" Type="http://schemas.openxmlformats.org/officeDocument/2006/relationships/hyperlink" Target="https://doi.org/https://doi.org/10.1016/S0169-7161(96)14010-4" TargetMode="External"/><Relationship Id="rId30" Type="http://schemas.openxmlformats.org/officeDocument/2006/relationships/hyperlink" Target="https://doi.org/10.1016/j.iref.2025.104183" TargetMode="External"/><Relationship Id="rId35" Type="http://schemas.openxmlformats.org/officeDocument/2006/relationships/hyperlink" Target="http://dx.doi.org/10.5089/9781557759672.001" TargetMode="External"/><Relationship Id="rId43" Type="http://schemas.openxmlformats.org/officeDocument/2006/relationships/hyperlink" Target="https://doi.org/10.1057/s41599-025-05027-z" TargetMode="External"/><Relationship Id="rId48" Type="http://schemas.openxmlformats.org/officeDocument/2006/relationships/hyperlink" Target="https://doi.org/10.1016/j.najef.2022.101755" TargetMode="External"/><Relationship Id="rId8" Type="http://schemas.openxmlformats.org/officeDocument/2006/relationships/image" Target="media/image2.png"/><Relationship Id="rId51" Type="http://schemas.openxmlformats.org/officeDocument/2006/relationships/hyperlink" Target="https://doi.org/10.1016/j.frl.2022.103620"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resourpol.2022.102849" TargetMode="External"/><Relationship Id="rId33" Type="http://schemas.openxmlformats.org/officeDocument/2006/relationships/hyperlink" Target="https://doi.org/10.1111/asej.12142" TargetMode="External"/><Relationship Id="rId38" Type="http://schemas.openxmlformats.org/officeDocument/2006/relationships/hyperlink" Target="https://doi.org/10.1016/j.frl.2024.105727" TargetMode="External"/><Relationship Id="rId46" Type="http://schemas.openxmlformats.org/officeDocument/2006/relationships/hyperlink" Target="https://doi.org/10.1080/10242694.2020.1829937" TargetMode="External"/><Relationship Id="rId20" Type="http://schemas.openxmlformats.org/officeDocument/2006/relationships/hyperlink" Target="https://doi.org/10.1111/jofi.12203" TargetMode="External"/><Relationship Id="rId41" Type="http://schemas.openxmlformats.org/officeDocument/2006/relationships/hyperlink" Target="https://doi.org/10.1016/j.eneco.2018.04.02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02/jae.2742" TargetMode="External"/><Relationship Id="rId28" Type="http://schemas.openxmlformats.org/officeDocument/2006/relationships/hyperlink" Target="https://doi.org/10.1198/073500102753410444" TargetMode="External"/><Relationship Id="rId36" Type="http://schemas.openxmlformats.org/officeDocument/2006/relationships/hyperlink" Target="https://doi.org/10.2307/1914185" TargetMode="External"/><Relationship Id="rId49" Type="http://schemas.openxmlformats.org/officeDocument/2006/relationships/hyperlink" Target="https://doi.org/10.1111/pafo.12198"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policyuncertainty.com/korea_gpr.html" TargetMode="External"/><Relationship Id="rId1" Type="http://schemas.openxmlformats.org/officeDocument/2006/relationships/hyperlink" Target="https://dataguide.fnguid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EC9CB-6387-9644-AD5C-A9A2F2309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14988</Words>
  <Characters>85437</Characters>
  <Application>Microsoft Office Word</Application>
  <DocSecurity>0</DocSecurity>
  <Lines>711</Lines>
  <Paragraphs>200</Paragraphs>
  <ScaleCrop>false</ScaleCrop>
  <Company/>
  <LinksUpToDate>false</LinksUpToDate>
  <CharactersWithSpaces>100225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久顺 李</dc:creator>
  <cp:keywords/>
  <dc:description/>
  <cp:lastModifiedBy>Sharmila Sathiyamurthy (Integra)</cp:lastModifiedBy>
  <cp:revision>2</cp:revision>
  <dcterms:created xsi:type="dcterms:W3CDTF">2026-01-02T08:38:00Z</dcterms:created>
  <dcterms:modified xsi:type="dcterms:W3CDTF">2026-01-02T08:38:00Z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id="yV1gxHzl"/&gt;&lt;style id="http://www.zotero.org/styles/economics-letters" hasBibliography="1" bibliographyStyleHasBeenSet="1"/&gt;&lt;prefs&gt;&lt;pref name="fieldType" value="Field"/&gt;&lt;/prefs&gt;&lt;/data&gt;</vt:lpwstr>
  </property>
</Properties>
</file>