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094B" w:rsidRPr="00BC431C" w:rsidRDefault="0032094B" w:rsidP="0032094B">
      <w:pPr>
        <w:keepNext/>
        <w:wordWrap w:val="0"/>
        <w:autoSpaceDE w:val="0"/>
        <w:autoSpaceDN w:val="0"/>
        <w:spacing w:before="240" w:after="240"/>
        <w:contextualSpacing w:val="0"/>
        <w:jc w:val="center"/>
        <w:rPr>
          <w:rFonts w:ascii="Times New Roman" w:eastAsiaTheme="minorEastAsia" w:hAnsi="Times New Roman" w:cs="Times New Roman"/>
          <w:b/>
          <w:sz w:val="28"/>
          <w:szCs w:val="28"/>
        </w:rPr>
      </w:pPr>
      <w:bookmarkStart w:id="0" w:name="_Hlk194108763"/>
      <w:r w:rsidRPr="00BC431C">
        <w:rPr>
          <w:rFonts w:ascii="Times New Roman" w:eastAsiaTheme="minorEastAsia" w:hAnsi="Times New Roman" w:cs="Times New Roman" w:hint="eastAsia"/>
          <w:b/>
          <w:sz w:val="28"/>
          <w:szCs w:val="28"/>
        </w:rPr>
        <w:t xml:space="preserve">The impact of investor sentiment and policy uncertainty on stock market volatility: Evidence from the </w:t>
      </w:r>
      <w:r w:rsidRPr="00BC431C">
        <w:rPr>
          <w:rFonts w:ascii="Times New Roman" w:eastAsiaTheme="minorEastAsia" w:hAnsi="Times New Roman" w:cs="Times New Roman"/>
          <w:b/>
          <w:sz w:val="28"/>
          <w:szCs w:val="28"/>
        </w:rPr>
        <w:t>K</w:t>
      </w:r>
      <w:r w:rsidRPr="00BC431C">
        <w:rPr>
          <w:rFonts w:ascii="Times New Roman" w:eastAsiaTheme="minorEastAsia" w:hAnsi="Times New Roman" w:cs="Times New Roman" w:hint="eastAsia"/>
          <w:b/>
          <w:sz w:val="28"/>
          <w:szCs w:val="28"/>
        </w:rPr>
        <w:t>orean</w:t>
      </w:r>
      <w:r w:rsidRPr="00BC431C">
        <w:rPr>
          <w:rFonts w:ascii="Times New Roman" w:eastAsiaTheme="minorEastAsia" w:hAnsi="Times New Roman" w:cs="Times New Roman"/>
          <w:b/>
          <w:sz w:val="28"/>
          <w:szCs w:val="28"/>
        </w:rPr>
        <w:t xml:space="preserve"> stock market</w:t>
      </w:r>
    </w:p>
    <w:p w:rsidR="00351C72" w:rsidRPr="0032094B" w:rsidRDefault="00351C72" w:rsidP="00351C72">
      <w:pPr>
        <w:pStyle w:val="4"/>
        <w:keepNext w:val="0"/>
        <w:keepLines w:val="0"/>
        <w:widowControl/>
        <w:spacing w:before="240" w:after="0" w:line="360" w:lineRule="auto"/>
        <w:rPr>
          <w:rFonts w:ascii="Palatino Linotype" w:hAnsi="Palatino Linotype"/>
          <w:b/>
          <w:snapToGrid w:val="0"/>
          <w:color w:val="000000" w:themeColor="text1"/>
          <w:kern w:val="0"/>
          <w:sz w:val="22"/>
          <w:szCs w:val="22"/>
          <w:lang w:eastAsia="zh-CN" w:bidi="en-US"/>
        </w:rPr>
      </w:pPr>
    </w:p>
    <w:p w:rsidR="00351C72" w:rsidRDefault="00351C72" w:rsidP="00351C72">
      <w:pPr>
        <w:pStyle w:val="4"/>
        <w:keepNext w:val="0"/>
        <w:keepLines w:val="0"/>
        <w:widowControl/>
        <w:spacing w:before="240" w:after="0" w:line="360" w:lineRule="auto"/>
        <w:rPr>
          <w:rFonts w:ascii="Palatino Linotype" w:hAnsi="Palatino Linotype"/>
          <w:b/>
          <w:snapToGrid w:val="0"/>
          <w:color w:val="000000" w:themeColor="text1"/>
          <w:kern w:val="0"/>
          <w:sz w:val="22"/>
          <w:szCs w:val="22"/>
          <w:lang w:eastAsia="zh-CN" w:bidi="en-US"/>
        </w:rPr>
      </w:pPr>
      <w:r w:rsidRPr="00C666FA">
        <w:rPr>
          <w:rFonts w:ascii="Palatino Linotype" w:hAnsi="Palatino Linotype"/>
          <w:b/>
          <w:snapToGrid w:val="0"/>
          <w:color w:val="000000" w:themeColor="text1"/>
          <w:kern w:val="0"/>
          <w:sz w:val="22"/>
          <w:szCs w:val="22"/>
          <w:lang w:bidi="en-US"/>
        </w:rPr>
        <w:t xml:space="preserve">Appendix A: </w:t>
      </w:r>
      <w:r w:rsidR="006D48C6" w:rsidRPr="006D48C6">
        <w:rPr>
          <w:rFonts w:ascii="Palatino Linotype" w:hAnsi="Palatino Linotype"/>
          <w:b/>
          <w:snapToGrid w:val="0"/>
          <w:color w:val="000000" w:themeColor="text1"/>
          <w:kern w:val="0"/>
          <w:sz w:val="22"/>
          <w:szCs w:val="22"/>
          <w:lang w:bidi="en-US"/>
        </w:rPr>
        <w:t>Data Construction Details</w:t>
      </w:r>
    </w:p>
    <w:p w:rsidR="006D48C6" w:rsidRDefault="006D48C6" w:rsidP="006D48C6">
      <w:pPr>
        <w:rPr>
          <w:rFonts w:ascii="Times New Roman" w:eastAsia="Times New Roman" w:hAnsi="Times New Roman" w:cs="Times New Roman"/>
          <w:b/>
          <w:bCs/>
          <w:i/>
          <w:noProof/>
          <w:snapToGrid w:val="0"/>
          <w:color w:val="000000" w:themeColor="text1"/>
          <w:kern w:val="0"/>
          <w:szCs w:val="28"/>
          <w:lang w:eastAsia="zh-CN" w:bidi="en-US"/>
        </w:rPr>
      </w:pPr>
      <w:r w:rsidRPr="006D48C6">
        <w:rPr>
          <w:rFonts w:ascii="Times New Roman" w:eastAsia="Times New Roman" w:hAnsi="Times New Roman" w:cs="Times New Roman"/>
          <w:b/>
          <w:bCs/>
          <w:i/>
          <w:noProof/>
          <w:snapToGrid w:val="0"/>
          <w:color w:val="000000" w:themeColor="text1"/>
          <w:kern w:val="0"/>
          <w:szCs w:val="28"/>
          <w:lang w:eastAsia="zh-CN" w:bidi="en-US"/>
        </w:rPr>
        <w:t>Stock Market Volatility</w:t>
      </w:r>
    </w:p>
    <w:p w:rsidR="006D48C6" w:rsidRDefault="006D48C6" w:rsidP="006D48C6">
      <w:pPr>
        <w:ind w:firstLine="420"/>
        <w:rPr>
          <w:rFonts w:ascii="Times New Roman" w:eastAsia="Times New Roman" w:hAnsi="Times New Roman" w:cs="Times New Roman"/>
          <w:iCs/>
          <w:noProof/>
          <w:snapToGrid w:val="0"/>
          <w:color w:val="000000" w:themeColor="text1"/>
          <w:kern w:val="0"/>
          <w:szCs w:val="28"/>
          <w:lang w:eastAsia="zh-CN" w:bidi="en-US"/>
        </w:rPr>
      </w:pPr>
      <w:r w:rsidRPr="006D48C6">
        <w:rPr>
          <w:rFonts w:ascii="Times New Roman" w:eastAsia="Times New Roman" w:hAnsi="Times New Roman" w:cs="Times New Roman"/>
          <w:iCs/>
          <w:noProof/>
          <w:snapToGrid w:val="0"/>
          <w:color w:val="000000" w:themeColor="text1"/>
          <w:kern w:val="0"/>
          <w:szCs w:val="28"/>
          <w:lang w:eastAsia="zh-CN" w:bidi="en-US"/>
        </w:rPr>
        <w:t>The daily KOSPI index level is obtained from the FnGuide database. This study computes log daily returns in percentage terms as</w:t>
      </w:r>
      <w:r w:rsidRPr="006D48C6">
        <w:rPr>
          <w:rFonts w:ascii="Times New Roman" w:eastAsia="Times New Roman" w:hAnsi="Times New Roman" w:cs="Times New Roman" w:hint="eastAsia"/>
          <w:iCs/>
          <w:noProof/>
          <w:snapToGrid w:val="0"/>
          <w:color w:val="000000" w:themeColor="text1"/>
          <w:kern w:val="0"/>
          <w:szCs w:val="28"/>
          <w:lang w:eastAsia="zh-CN" w:bidi="en-US"/>
        </w:rPr>
        <w:t xml:space="preserve"> </w:t>
      </w:r>
      <m:oMath>
        <m:sSub>
          <m:sSubPr>
            <m:ctrlPr>
              <w:rPr>
                <w:rFonts w:ascii="Cambria Math" w:hAnsi="Cambria Math" w:cs="Times New Roman"/>
                <w:i/>
                <w:lang w:eastAsia="zh-CN"/>
              </w:rPr>
            </m:ctrlPr>
          </m:sSubPr>
          <m:e>
            <m:r>
              <w:rPr>
                <w:rFonts w:ascii="Cambria Math" w:hAnsi="Cambria Math" w:cs="Times New Roman"/>
                <w:lang w:eastAsia="zh-CN"/>
              </w:rPr>
              <m:t>r</m:t>
            </m:r>
          </m:e>
          <m:sub>
            <m:r>
              <w:rPr>
                <w:rFonts w:ascii="Cambria Math" w:hAnsi="Cambria Math" w:cs="Times New Roman"/>
                <w:lang w:eastAsia="zh-CN"/>
              </w:rPr>
              <m:t>i</m:t>
            </m:r>
          </m:sub>
        </m:sSub>
      </m:oMath>
      <w:r w:rsidRPr="006D48C6">
        <w:rPr>
          <w:rFonts w:ascii="Times New Roman" w:eastAsia="Times New Roman" w:hAnsi="Times New Roman" w:cs="Times New Roman"/>
          <w:iCs/>
          <w:noProof/>
          <w:snapToGrid w:val="0"/>
          <w:color w:val="000000" w:themeColor="text1"/>
          <w:kern w:val="0"/>
          <w:szCs w:val="28"/>
          <w:lang w:eastAsia="zh-CN" w:bidi="en-US"/>
        </w:rPr>
        <w:t xml:space="preserve"> and measures daily volatility as </w:t>
      </w:r>
      <m:oMath>
        <m:sSubSup>
          <m:sSubSupPr>
            <m:ctrlPr>
              <w:rPr>
                <w:rFonts w:ascii="Cambria Math" w:hAnsi="Cambria Math" w:cs="Times New Roman"/>
              </w:rPr>
            </m:ctrlPr>
          </m:sSubSupPr>
          <m:e>
            <m:r>
              <w:rPr>
                <w:rFonts w:ascii="Cambria Math" w:hAnsi="Cambria Math" w:cs="Times New Roman"/>
              </w:rPr>
              <m:t>r</m:t>
            </m:r>
            <m:ctrlPr>
              <w:rPr>
                <w:rFonts w:ascii="Cambria Math" w:hAnsi="Cambria Math" w:cs="Times New Roman"/>
                <w:i/>
              </w:rPr>
            </m:ctrlPr>
          </m:e>
          <m:sub>
            <m:r>
              <w:rPr>
                <w:rFonts w:ascii="Cambria Math" w:hAnsi="Cambria Math" w:cs="Times New Roman"/>
              </w:rPr>
              <m:t>i</m:t>
            </m:r>
            <m:ctrlPr>
              <w:rPr>
                <w:rFonts w:ascii="Cambria Math" w:hAnsi="Cambria Math" w:cs="Times New Roman"/>
                <w:i/>
              </w:rPr>
            </m:ctrlPr>
          </m:sub>
          <m:sup>
            <m:r>
              <m:rPr>
                <m:sty m:val="p"/>
              </m:rPr>
              <w:rPr>
                <w:rFonts w:ascii="Cambria Math" w:hAnsi="Cambria Math" w:cs="Times New Roman"/>
              </w:rPr>
              <m:t>2</m:t>
            </m:r>
          </m:sup>
        </m:sSubSup>
      </m:oMath>
      <w:r w:rsidRPr="006D48C6">
        <w:rPr>
          <w:rFonts w:ascii="Times New Roman" w:eastAsia="Times New Roman" w:hAnsi="Times New Roman" w:cs="Times New Roman"/>
          <w:iCs/>
          <w:noProof/>
          <w:snapToGrid w:val="0"/>
          <w:color w:val="000000" w:themeColor="text1"/>
          <w:kern w:val="0"/>
          <w:szCs w:val="28"/>
          <w:lang w:eastAsia="zh-CN" w:bidi="en-US"/>
        </w:rPr>
        <w:t>. The monthly realized variance (</w:t>
      </w:r>
      <m:oMath>
        <m:r>
          <w:rPr>
            <w:rFonts w:ascii="Cambria Math" w:hAnsi="Cambria Math" w:cs="Times New Roman"/>
            <w:lang w:eastAsia="zh-CN"/>
          </w:rPr>
          <m:t>R</m:t>
        </m:r>
        <m:sSub>
          <m:sSubPr>
            <m:ctrlPr>
              <w:rPr>
                <w:rFonts w:ascii="Cambria Math" w:hAnsi="Cambria Math" w:cs="Times New Roman"/>
                <w:i/>
                <w:lang w:eastAsia="zh-CN"/>
              </w:rPr>
            </m:ctrlPr>
          </m:sSubPr>
          <m:e>
            <m:r>
              <w:rPr>
                <w:rFonts w:ascii="Cambria Math" w:hAnsi="Cambria Math" w:cs="Times New Roman"/>
                <w:lang w:eastAsia="zh-CN"/>
              </w:rPr>
              <m:t>V</m:t>
            </m:r>
          </m:e>
          <m:sub>
            <m:r>
              <w:rPr>
                <w:rFonts w:ascii="Cambria Math" w:hAnsi="Cambria Math" w:cs="Times New Roman"/>
                <w:lang w:eastAsia="zh-CN"/>
              </w:rPr>
              <m:t>t</m:t>
            </m:r>
          </m:sub>
        </m:sSub>
      </m:oMath>
      <w:r w:rsidRPr="006D48C6">
        <w:rPr>
          <w:rFonts w:ascii="Times New Roman" w:eastAsia="Times New Roman" w:hAnsi="Times New Roman" w:cs="Times New Roman"/>
          <w:iCs/>
          <w:noProof/>
          <w:snapToGrid w:val="0"/>
          <w:color w:val="000000" w:themeColor="text1"/>
          <w:kern w:val="0"/>
          <w:szCs w:val="28"/>
          <w:lang w:eastAsia="zh-CN" w:bidi="en-US"/>
        </w:rPr>
        <w:t xml:space="preserve">) is calculated as the squared sum of daily returns within each month. </w:t>
      </w:r>
      <w:r w:rsidR="009970BA" w:rsidRPr="009970BA">
        <w:rPr>
          <w:rFonts w:ascii="Times New Roman" w:eastAsia="Times New Roman" w:hAnsi="Times New Roman" w:cs="Times New Roman"/>
          <w:iCs/>
          <w:noProof/>
          <w:snapToGrid w:val="0"/>
          <w:color w:val="000000" w:themeColor="text1"/>
          <w:kern w:val="0"/>
          <w:szCs w:val="28"/>
          <w:lang w:eastAsia="zh-CN" w:bidi="en-US"/>
        </w:rPr>
        <w:fldChar w:fldCharType="begin"/>
      </w:r>
      <w:r w:rsidR="009970BA" w:rsidRPr="009970BA">
        <w:rPr>
          <w:rFonts w:ascii="Times New Roman" w:eastAsia="Times New Roman" w:hAnsi="Times New Roman" w:cs="Times New Roman"/>
          <w:iCs/>
          <w:noProof/>
          <w:snapToGrid w:val="0"/>
          <w:color w:val="000000" w:themeColor="text1"/>
          <w:kern w:val="0"/>
          <w:szCs w:val="28"/>
          <w:lang w:eastAsia="zh-CN" w:bidi="en-US"/>
        </w:rPr>
        <w:instrText xml:space="preserve"> REF _Ref205802347 \h </w:instrText>
      </w:r>
      <w:r w:rsidR="009970BA">
        <w:rPr>
          <w:rFonts w:ascii="Times New Roman" w:eastAsia="Times New Roman" w:hAnsi="Times New Roman" w:cs="Times New Roman"/>
          <w:iCs/>
          <w:noProof/>
          <w:snapToGrid w:val="0"/>
          <w:color w:val="000000" w:themeColor="text1"/>
          <w:kern w:val="0"/>
          <w:szCs w:val="28"/>
          <w:lang w:eastAsia="zh-CN" w:bidi="en-US"/>
        </w:rPr>
        <w:instrText xml:space="preserve"> \* MERGEFORMAT </w:instrText>
      </w:r>
      <w:r w:rsidR="009970BA" w:rsidRPr="009970BA">
        <w:rPr>
          <w:rFonts w:ascii="Times New Roman" w:eastAsia="Times New Roman" w:hAnsi="Times New Roman" w:cs="Times New Roman"/>
          <w:iCs/>
          <w:noProof/>
          <w:snapToGrid w:val="0"/>
          <w:color w:val="000000" w:themeColor="text1"/>
          <w:kern w:val="0"/>
          <w:szCs w:val="28"/>
          <w:lang w:eastAsia="zh-CN" w:bidi="en-US"/>
        </w:rPr>
      </w:r>
      <w:r w:rsidR="009970BA" w:rsidRPr="009970BA">
        <w:rPr>
          <w:rFonts w:ascii="Times New Roman" w:eastAsia="Times New Roman" w:hAnsi="Times New Roman" w:cs="Times New Roman"/>
          <w:iCs/>
          <w:noProof/>
          <w:snapToGrid w:val="0"/>
          <w:color w:val="000000" w:themeColor="text1"/>
          <w:kern w:val="0"/>
          <w:szCs w:val="28"/>
          <w:lang w:eastAsia="zh-CN" w:bidi="en-US"/>
        </w:rPr>
        <w:fldChar w:fldCharType="separate"/>
      </w:r>
      <w:r w:rsidR="009970BA" w:rsidRPr="009970BA">
        <w:rPr>
          <w:rFonts w:ascii="Times New Roman" w:hAnsi="Times New Roman" w:cs="Times New Roman"/>
        </w:rPr>
        <w:t xml:space="preserve">Figure </w:t>
      </w:r>
      <w:r w:rsidR="009970BA" w:rsidRPr="009970BA">
        <w:rPr>
          <w:rFonts w:ascii="Times New Roman" w:hAnsi="Times New Roman" w:cs="Times New Roman"/>
          <w:noProof/>
        </w:rPr>
        <w:t>1</w:t>
      </w:r>
      <w:r w:rsidR="009970BA" w:rsidRPr="009970BA">
        <w:rPr>
          <w:rFonts w:ascii="Times New Roman" w:eastAsia="Times New Roman" w:hAnsi="Times New Roman" w:cs="Times New Roman"/>
          <w:iCs/>
          <w:noProof/>
          <w:snapToGrid w:val="0"/>
          <w:color w:val="000000" w:themeColor="text1"/>
          <w:kern w:val="0"/>
          <w:szCs w:val="28"/>
          <w:lang w:eastAsia="zh-CN" w:bidi="en-US"/>
        </w:rPr>
        <w:fldChar w:fldCharType="end"/>
      </w:r>
      <w:r w:rsidRPr="009970BA">
        <w:rPr>
          <w:rFonts w:ascii="Times New Roman" w:eastAsia="Times New Roman" w:hAnsi="Times New Roman" w:cs="Times New Roman"/>
          <w:iCs/>
          <w:noProof/>
          <w:snapToGrid w:val="0"/>
          <w:color w:val="000000" w:themeColor="text1"/>
          <w:kern w:val="0"/>
          <w:szCs w:val="28"/>
          <w:lang w:eastAsia="zh-CN" w:bidi="en-US"/>
        </w:rPr>
        <w:t xml:space="preserve"> illustra</w:t>
      </w:r>
      <w:r w:rsidRPr="006D48C6">
        <w:rPr>
          <w:rFonts w:ascii="Times New Roman" w:eastAsia="Times New Roman" w:hAnsi="Times New Roman" w:cs="Times New Roman"/>
          <w:iCs/>
          <w:noProof/>
          <w:snapToGrid w:val="0"/>
          <w:color w:val="000000" w:themeColor="text1"/>
          <w:kern w:val="0"/>
          <w:szCs w:val="28"/>
          <w:lang w:eastAsia="zh-CN" w:bidi="en-US"/>
        </w:rPr>
        <w:t>tes the dynamics of the KOSPI index and its realized volatility, highlighting two high-volatility periods—the global financial crisis (2008–2011) and the COVID-19 pandemic (2020–2022)—as well as a relatively low-volatility period in between.</w:t>
      </w:r>
    </w:p>
    <w:p w:rsidR="006D48C6" w:rsidRPr="006D48C6" w:rsidRDefault="006D48C6" w:rsidP="006D48C6">
      <w:pPr>
        <w:rPr>
          <w:rFonts w:ascii="Times New Roman" w:eastAsia="Times New Roman" w:hAnsi="Times New Roman" w:cs="Times New Roman"/>
          <w:b/>
          <w:bCs/>
          <w:i/>
          <w:noProof/>
          <w:snapToGrid w:val="0"/>
          <w:color w:val="000000" w:themeColor="text1"/>
          <w:kern w:val="0"/>
          <w:szCs w:val="28"/>
          <w:lang w:eastAsia="zh-CN" w:bidi="en-US"/>
        </w:rPr>
      </w:pPr>
      <w:r w:rsidRPr="006D48C6">
        <w:rPr>
          <w:rFonts w:ascii="Times New Roman" w:eastAsia="Times New Roman" w:hAnsi="Times New Roman" w:cs="Times New Roman"/>
          <w:b/>
          <w:bCs/>
          <w:i/>
          <w:noProof/>
          <w:snapToGrid w:val="0"/>
          <w:color w:val="000000" w:themeColor="text1"/>
          <w:kern w:val="0"/>
          <w:szCs w:val="28"/>
          <w:lang w:eastAsia="zh-CN" w:bidi="en-US"/>
        </w:rPr>
        <w:t>Policy Uncertainty</w:t>
      </w:r>
    </w:p>
    <w:p w:rsidR="006D48C6" w:rsidRDefault="006D48C6" w:rsidP="0018478D">
      <w:pPr>
        <w:ind w:firstLine="420"/>
        <w:rPr>
          <w:rFonts w:ascii="Times New Roman" w:hAnsi="Times New Roman" w:cs="Times New Roman"/>
          <w:lang w:eastAsia="zh-CN"/>
        </w:rPr>
      </w:pPr>
      <w:r w:rsidRPr="006D48C6">
        <w:rPr>
          <w:rFonts w:ascii="Times New Roman" w:hAnsi="Times New Roman" w:cs="Times New Roman"/>
          <w:lang w:eastAsia="zh-CN"/>
        </w:rPr>
        <w:t>Monthly South Korean policy uncertainty indices are obtained from the Baker, Bloom, and Davis database</w:t>
      </w:r>
      <w:r w:rsidR="003D76B3">
        <w:rPr>
          <w:rFonts w:ascii="Times New Roman" w:hAnsi="Times New Roman" w:cs="Times New Roman"/>
          <w:lang w:eastAsia="zh-CN"/>
        </w:rPr>
        <w:t xml:space="preserve"> (policyuncertainty.com)</w:t>
      </w:r>
      <w:r w:rsidRPr="006D48C6">
        <w:rPr>
          <w:rFonts w:ascii="Times New Roman" w:hAnsi="Times New Roman" w:cs="Times New Roman"/>
          <w:lang w:eastAsia="zh-CN"/>
        </w:rPr>
        <w:t xml:space="preserve">, as developed by </w:t>
      </w:r>
      <w:r w:rsidR="006218CB">
        <w:rPr>
          <w:rFonts w:ascii="Times New Roman" w:hAnsi="Times New Roman" w:cs="Times New Roman"/>
          <w:lang w:eastAsia="zh-CN"/>
        </w:rPr>
        <w:fldChar w:fldCharType="begin"/>
      </w:r>
      <w:r w:rsidR="00717B72">
        <w:rPr>
          <w:rFonts w:ascii="Times New Roman" w:hAnsi="Times New Roman" w:cs="Times New Roman"/>
          <w:lang w:eastAsia="zh-CN"/>
        </w:rPr>
        <w:instrText xml:space="preserve"> ADDIN EN.CITE &lt;EndNote&gt;&lt;Cite AuthorYear="1"&gt;&lt;Author&gt;Cho&lt;/Author&gt;&lt;Year&gt;2022&lt;/Year&gt;&lt;RecNum&gt;11&lt;/RecNum&gt;&lt;DisplayText&gt;Cho and Kim (2022)&lt;/DisplayText&gt;&lt;record&gt;&lt;rec-number&gt;11&lt;/rec-number&gt;&lt;foreign-keys&gt;&lt;key app="EN" db-id="9eex0vav2wexe8etpdrxdfw4rpzw909d0sft" timestamp="1754736974"&gt;11&lt;/key&gt;&lt;/foreign-keys&gt;&lt;ref-type name="Journal Article"&gt;17&lt;/ref-type&gt;&lt;contributors&gt;&lt;authors&gt;&lt;author&gt;Cho, Dooyeon&lt;/author&gt;&lt;author&gt;Kim, Husang&lt;/author&gt;&lt;/authors&gt;&lt;/contributors&gt;&lt;titles&gt;&lt;title&gt;Macroeconomic effects of uncertainty shocks: Evidence from Korea&lt;/title&gt;&lt;secondary-title&gt;Journal of Asian Economics&lt;/secondary-title&gt;&lt;/titles&gt;&lt;periodical&gt;&lt;full-title&gt;Journal of Asian Economics&lt;/full-title&gt;&lt;/periodical&gt;&lt;pages&gt;101571&lt;/pages&gt;&lt;volume&gt;84&lt;/volume&gt;&lt;dates&gt;&lt;year&gt;2022&lt;/year&gt;&lt;pub-dates&gt;&lt;date&gt;11/01&lt;/date&gt;&lt;/pub-dates&gt;&lt;/dates&gt;&lt;urls&gt;&lt;/urls&gt;&lt;electronic-resource-num&gt;https://doi.org/10.1016/j.asieco.2022.101571&lt;/electronic-resource-num&gt;&lt;/record&gt;&lt;/Cite&gt;&lt;/EndNote&gt;</w:instrText>
      </w:r>
      <w:r w:rsidR="006218CB">
        <w:rPr>
          <w:rFonts w:ascii="Times New Roman" w:hAnsi="Times New Roman" w:cs="Times New Roman"/>
          <w:lang w:eastAsia="zh-CN"/>
        </w:rPr>
        <w:fldChar w:fldCharType="separate"/>
      </w:r>
      <w:r w:rsidR="006218CB">
        <w:rPr>
          <w:rFonts w:ascii="Times New Roman" w:hAnsi="Times New Roman" w:cs="Times New Roman"/>
          <w:noProof/>
          <w:lang w:eastAsia="zh-CN"/>
        </w:rPr>
        <w:t>Cho and Kim (2022)</w:t>
      </w:r>
      <w:r w:rsidR="006218CB">
        <w:rPr>
          <w:rFonts w:ascii="Times New Roman" w:hAnsi="Times New Roman" w:cs="Times New Roman"/>
          <w:lang w:eastAsia="zh-CN"/>
        </w:rPr>
        <w:fldChar w:fldCharType="end"/>
      </w:r>
      <w:r w:rsidRPr="006D48C6">
        <w:rPr>
          <w:rFonts w:ascii="Times New Roman" w:hAnsi="Times New Roman" w:cs="Times New Roman"/>
          <w:lang w:eastAsia="zh-CN"/>
        </w:rPr>
        <w:t xml:space="preserve"> following </w:t>
      </w:r>
      <w:r w:rsidR="006218CB">
        <w:rPr>
          <w:rFonts w:ascii="Times New Roman" w:hAnsi="Times New Roman" w:cs="Times New Roman"/>
          <w:lang w:eastAsia="zh-CN"/>
        </w:rPr>
        <w:fldChar w:fldCharType="begin"/>
      </w:r>
      <w:r w:rsidR="00717B72">
        <w:rPr>
          <w:rFonts w:ascii="Times New Roman" w:hAnsi="Times New Roman" w:cs="Times New Roman"/>
          <w:lang w:eastAsia="zh-CN"/>
        </w:rPr>
        <w:instrText xml:space="preserve"> ADDIN EN.CITE &lt;EndNote&gt;&lt;Cite AuthorYear="1"&gt;&lt;Author&gt;Baker&lt;/Author&gt;&lt;Year&gt;2016&lt;/Year&gt;&lt;RecNum&gt;4&lt;/RecNum&gt;&lt;DisplayText&gt;Baker et al. (2016)&lt;/DisplayText&gt;&lt;record&gt;&lt;rec-number&gt;4&lt;/rec-number&gt;&lt;foreign-keys&gt;&lt;key app="EN" db-id="9eex0vav2wexe8etpdrxdfw4rpzw909d0sft" timestamp="1754736563"&gt;4&lt;/key&gt;&lt;/foreign-keys&gt;&lt;ref-type name="Journal Article"&gt;17&lt;/ref-type&gt;&lt;contributors&gt;&lt;authors&gt;&lt;author&gt;Baker, Scott R.&lt;/author&gt;&lt;author&gt;Bloom, Nicholas&lt;/author&gt;&lt;author&gt;Davis, Steven J.&lt;/author&gt;&lt;/authors&gt;&lt;/contributors&gt;&lt;titles&gt;&lt;title&gt;Measuring Economic Policy Uncertainty*&lt;/title&gt;&lt;secondary-title&gt;The Quarterly Journal of Economics&lt;/secondary-title&gt;&lt;/titles&gt;&lt;periodical&gt;&lt;full-title&gt;The Quarterly Journal of Economics&lt;/full-title&gt;&lt;/periodical&gt;&lt;pages&gt;1593-1636&lt;/pages&gt;&lt;volume&gt;131&lt;/volume&gt;&lt;number&gt;4&lt;/number&gt;&lt;dates&gt;&lt;year&gt;2016&lt;/year&gt;&lt;/dates&gt;&lt;isbn&gt;0033-5533&lt;/isbn&gt;&lt;urls&gt;&lt;related-urls&gt;&lt;url&gt;https://doi.org/10.1093/qje/qjw024&lt;/url&gt;&lt;/related-urls&gt;&lt;/urls&gt;&lt;electronic-resource-num&gt;https://doi.org/10.1093/qje/qjw024&lt;/electronic-resource-num&gt;&lt;access-date&gt;8/9/2025&lt;/access-date&gt;&lt;/record&gt;&lt;/Cite&gt;&lt;/EndNote&gt;</w:instrText>
      </w:r>
      <w:r w:rsidR="006218CB">
        <w:rPr>
          <w:rFonts w:ascii="Times New Roman" w:hAnsi="Times New Roman" w:cs="Times New Roman"/>
          <w:lang w:eastAsia="zh-CN"/>
        </w:rPr>
        <w:fldChar w:fldCharType="separate"/>
      </w:r>
      <w:r w:rsidR="006218CB">
        <w:rPr>
          <w:rFonts w:ascii="Times New Roman" w:hAnsi="Times New Roman" w:cs="Times New Roman"/>
          <w:noProof/>
          <w:lang w:eastAsia="zh-CN"/>
        </w:rPr>
        <w:t>Baker et al. (2016)</w:t>
      </w:r>
      <w:r w:rsidR="006218CB">
        <w:rPr>
          <w:rFonts w:ascii="Times New Roman" w:hAnsi="Times New Roman" w:cs="Times New Roman"/>
          <w:lang w:eastAsia="zh-CN"/>
        </w:rPr>
        <w:fldChar w:fldCharType="end"/>
      </w:r>
      <w:r w:rsidRPr="006D48C6">
        <w:rPr>
          <w:rFonts w:ascii="Times New Roman" w:hAnsi="Times New Roman" w:cs="Times New Roman"/>
          <w:lang w:eastAsia="zh-CN"/>
        </w:rPr>
        <w:t>. These include economic policy uncertainty (EPU), fiscal policy uncertainty (FPU), monetary policy uncertainty (MPU), trade policy uncertainty (TPU), and foreign exchange policy uncertainty (FEPU). Each index is constructed from frequency counts of pred</w:t>
      </w:r>
      <w:r w:rsidRPr="00AB3CC7">
        <w:rPr>
          <w:rFonts w:ascii="Times New Roman" w:hAnsi="Times New Roman" w:cs="Times New Roman"/>
          <w:lang w:eastAsia="zh-CN"/>
        </w:rPr>
        <w:t xml:space="preserve">efined sets of policy-related terms appearing in Korean newspapers (see Tables 1 and A1–A5 in </w:t>
      </w:r>
      <w:r w:rsidRPr="00AB3CC7">
        <w:rPr>
          <w:rFonts w:ascii="Times New Roman" w:hAnsi="Times New Roman" w:cs="Times New Roman"/>
          <w:lang w:eastAsia="zh-CN"/>
        </w:rPr>
        <w:fldChar w:fldCharType="begin"/>
      </w:r>
      <w:r w:rsidR="00717B72">
        <w:rPr>
          <w:rFonts w:ascii="Times New Roman" w:hAnsi="Times New Roman" w:cs="Times New Roman"/>
          <w:lang w:eastAsia="zh-CN"/>
        </w:rPr>
        <w:instrText xml:space="preserve"> ADDIN EN.CITE &lt;EndNote&gt;&lt;Cite AuthorYear="1"&gt;&lt;Author&gt;Cho&lt;/Author&gt;&lt;Year&gt;2022&lt;/Year&gt;&lt;RecNum&gt;11&lt;/RecNum&gt;&lt;DisplayText&gt;Cho and Kim (2022)&lt;/DisplayText&gt;&lt;record&gt;&lt;rec-number&gt;11&lt;/rec-number&gt;&lt;foreign-keys&gt;&lt;key app="EN" db-id="9eex0vav2wexe8etpdrxdfw4rpzw909d0sft" timestamp="1754736974"&gt;11&lt;/key&gt;&lt;/foreign-keys&gt;&lt;ref-type name="Journal Article"&gt;17&lt;/ref-type&gt;&lt;contributors&gt;&lt;authors&gt;&lt;author&gt;Cho, Dooyeon&lt;/author&gt;&lt;author&gt;Kim, Husang&lt;/author&gt;&lt;/authors&gt;&lt;/contributors&gt;&lt;titles&gt;&lt;title&gt;Macroeconomic effects of uncertainty shocks: Evidence from Korea&lt;/title&gt;&lt;secondary-title&gt;Journal of Asian Economics&lt;/secondary-title&gt;&lt;/titles&gt;&lt;periodical&gt;&lt;full-title&gt;Journal of Asian Economics&lt;/full-title&gt;&lt;/periodical&gt;&lt;pages&gt;101571&lt;/pages&gt;&lt;volume&gt;84&lt;/volume&gt;&lt;dates&gt;&lt;year&gt;2022&lt;/year&gt;&lt;pub-dates&gt;&lt;date&gt;11/01&lt;/date&gt;&lt;/pub-dates&gt;&lt;/dates&gt;&lt;urls&gt;&lt;/urls&gt;&lt;electronic-resource-num&gt;https://doi.org/10.1016/j.asieco.2022.101571&lt;/electronic-resource-num&gt;&lt;/record&gt;&lt;/Cite&gt;&lt;/EndNote&gt;</w:instrText>
      </w:r>
      <w:r w:rsidRPr="00AB3CC7">
        <w:rPr>
          <w:rFonts w:ascii="Times New Roman" w:hAnsi="Times New Roman" w:cs="Times New Roman"/>
          <w:lang w:eastAsia="zh-CN"/>
        </w:rPr>
        <w:fldChar w:fldCharType="separate"/>
      </w:r>
      <w:r w:rsidRPr="00AB3CC7">
        <w:rPr>
          <w:rFonts w:ascii="Times New Roman" w:hAnsi="Times New Roman" w:cs="Times New Roman"/>
          <w:noProof/>
          <w:lang w:eastAsia="zh-CN"/>
        </w:rPr>
        <w:t>Cho and Kim (2022)</w:t>
      </w:r>
      <w:r w:rsidRPr="00AB3CC7">
        <w:rPr>
          <w:rFonts w:ascii="Times New Roman" w:hAnsi="Times New Roman" w:cs="Times New Roman"/>
          <w:lang w:eastAsia="zh-CN"/>
        </w:rPr>
        <w:fldChar w:fldCharType="end"/>
      </w:r>
      <w:r w:rsidRPr="00AB3CC7">
        <w:rPr>
          <w:rFonts w:ascii="Times New Roman" w:hAnsi="Times New Roman" w:cs="Times New Roman"/>
          <w:lang w:eastAsia="zh-CN"/>
        </w:rPr>
        <w:t xml:space="preserve">). For example, the TPU index is based on the frequency of trade-related terms. In the analyses, </w:t>
      </w:r>
      <w:r w:rsidRPr="006D48C6">
        <w:rPr>
          <w:rFonts w:ascii="Times New Roman" w:hAnsi="Times New Roman" w:cs="Times New Roman"/>
          <w:lang w:eastAsia="zh-CN"/>
        </w:rPr>
        <w:t>this study uses the percentage growth rate of the log-transformed indices.</w:t>
      </w:r>
    </w:p>
    <w:p w:rsidR="006D48C6" w:rsidRPr="006D48C6" w:rsidRDefault="006D48C6" w:rsidP="006D48C6">
      <w:pPr>
        <w:rPr>
          <w:rFonts w:ascii="Times New Roman" w:eastAsia="Times New Roman" w:hAnsi="Times New Roman" w:cs="Times New Roman"/>
          <w:b/>
          <w:bCs/>
          <w:i/>
          <w:noProof/>
          <w:snapToGrid w:val="0"/>
          <w:color w:val="000000" w:themeColor="text1"/>
          <w:kern w:val="0"/>
          <w:szCs w:val="28"/>
          <w:lang w:eastAsia="zh-CN" w:bidi="en-US"/>
        </w:rPr>
      </w:pPr>
      <w:r w:rsidRPr="006D48C6">
        <w:rPr>
          <w:rFonts w:ascii="Times New Roman" w:eastAsia="Times New Roman" w:hAnsi="Times New Roman" w:cs="Times New Roman"/>
          <w:b/>
          <w:bCs/>
          <w:i/>
          <w:noProof/>
          <w:snapToGrid w:val="0"/>
          <w:color w:val="000000" w:themeColor="text1"/>
          <w:kern w:val="0"/>
          <w:szCs w:val="28"/>
          <w:lang w:eastAsia="zh-CN" w:bidi="en-US"/>
        </w:rPr>
        <w:t>Investor Sentiment Variables</w:t>
      </w:r>
    </w:p>
    <w:p w:rsidR="006D48C6" w:rsidRDefault="006D48C6" w:rsidP="0018478D">
      <w:pPr>
        <w:ind w:firstLine="420"/>
        <w:rPr>
          <w:rFonts w:ascii="Times New Roman" w:hAnsi="Times New Roman" w:cs="Times New Roman"/>
          <w:lang w:eastAsia="zh-CN"/>
        </w:rPr>
      </w:pPr>
      <w:r w:rsidRPr="006D48C6">
        <w:rPr>
          <w:rFonts w:ascii="Times New Roman" w:hAnsi="Times New Roman" w:cs="Times New Roman"/>
          <w:lang w:eastAsia="zh-CN"/>
        </w:rPr>
        <w:t xml:space="preserve">The Korean investor sentiment index is constructed by combining the variables proposed </w:t>
      </w:r>
      <w:r w:rsidRPr="006D48C6">
        <w:rPr>
          <w:rFonts w:ascii="Times New Roman" w:hAnsi="Times New Roman" w:cs="Times New Roman"/>
          <w:lang w:eastAsia="zh-CN"/>
        </w:rPr>
        <w:lastRenderedPageBreak/>
        <w:t xml:space="preserve">by </w:t>
      </w:r>
      <w:r w:rsidRPr="008A0997">
        <w:rPr>
          <w:rFonts w:ascii="Times New Roman" w:hAnsi="Times New Roman" w:cs="Times New Roman"/>
          <w:color w:val="000000" w:themeColor="text1"/>
        </w:rPr>
        <w:fldChar w:fldCharType="begin"/>
      </w:r>
      <w:r w:rsidRPr="008A0997">
        <w:rPr>
          <w:rFonts w:ascii="Times New Roman" w:hAnsi="Times New Roman" w:cs="Times New Roman"/>
          <w:color w:val="000000" w:themeColor="text1"/>
        </w:rPr>
        <w:instrText xml:space="preserve"> ADDIN EN.CITE &lt;EndNote&gt;&lt;Cite AuthorYear="1"&gt;&lt;Author&gt;Kim&lt;/Author&gt;&lt;Year&gt;2010&lt;/Year&gt;&lt;RecNum&gt;31&lt;/RecNum&gt;&lt;DisplayText&gt;Kim and Byun (2010)&lt;/DisplayText&gt;&lt;record&gt;&lt;rec-number&gt;31&lt;/rec-number&gt;&lt;foreign-keys&gt;&lt;key app="EN" db-id="9eex0vav2wexe8etpdrxdfw4rpzw909d0sft" timestamp="1754737837"&gt;31&lt;/key&gt;&lt;/foreign-keys&gt;&lt;ref-type name="Journal Article"&gt;17&lt;/ref-type&gt;&lt;contributors&gt;&lt;authors&gt;&lt;author&gt;Kim, Keunsoo&lt;/author&gt;&lt;author&gt;Byun, Jinho&lt;/author&gt;&lt;/authors&gt;&lt;/contributors&gt;&lt;titles&gt;&lt;title&gt;Effect of Investor Sentiment on Market Response to Stock Split Announcement&lt;/title&gt;&lt;secondary-title&gt;Asia-Pacific Journal of Financial Studies&lt;/secondary-title&gt;&lt;/titles&gt;&lt;periodical&gt;&lt;full-title&gt;Asia-Pacific Journal of Financial Studies&lt;/full-title&gt;&lt;/periodical&gt;&lt;pages&gt;687-719&lt;/pages&gt;&lt;volume&gt;39&lt;/volume&gt;&lt;number&gt;6&lt;/number&gt;&lt;keywords&gt;&lt;keyword&gt;Behavioral finance&lt;/keyword&gt;&lt;keyword&gt;Investor sentiment&lt;/keyword&gt;&lt;keyword&gt;Market response&lt;/keyword&gt;&lt;keyword&gt;Overreaction&lt;/keyword&gt;&lt;keyword&gt;Stock split&lt;/keyword&gt;&lt;keyword&gt;G10&lt;/keyword&gt;&lt;keyword&gt;G14&lt;/keyword&gt;&lt;/keywords&gt;&lt;dates&gt;&lt;year&gt;2010&lt;/year&gt;&lt;pub-dates&gt;&lt;date&gt;2010/12/01&lt;/date&gt;&lt;/pub-dates&gt;&lt;/dates&gt;&lt;publisher&gt;John Wiley &amp;amp; Sons, Ltd&lt;/publisher&gt;&lt;isbn&gt;2041-9945&lt;/isbn&gt;&lt;urls&gt;&lt;related-urls&gt;&lt;url&gt;https://doi.org/10.1111/j.2041-6156.2010.01029.x&lt;/url&gt;&lt;/related-urls&gt;&lt;/urls&gt;&lt;electronic-resource-num&gt;https://doi.org/10.1111/j.2041-6156.2010.01029.x&lt;/electronic-resource-num&gt;&lt;access-date&gt;2025/08/09&lt;/access-date&gt;&lt;/record&gt;&lt;/Cite&gt;&lt;/EndNote&gt;</w:instrText>
      </w:r>
      <w:r w:rsidRPr="008A0997">
        <w:rPr>
          <w:rFonts w:ascii="Times New Roman" w:hAnsi="Times New Roman" w:cs="Times New Roman"/>
          <w:color w:val="000000" w:themeColor="text1"/>
        </w:rPr>
        <w:fldChar w:fldCharType="separate"/>
      </w:r>
      <w:r w:rsidRPr="008A0997">
        <w:rPr>
          <w:rFonts w:ascii="Times New Roman" w:hAnsi="Times New Roman" w:cs="Times New Roman"/>
          <w:noProof/>
          <w:color w:val="000000" w:themeColor="text1"/>
        </w:rPr>
        <w:t>Kim and Byun (2010)</w:t>
      </w:r>
      <w:r w:rsidRPr="008A0997">
        <w:rPr>
          <w:rFonts w:ascii="Times New Roman" w:hAnsi="Times New Roman" w:cs="Times New Roman"/>
          <w:color w:val="000000" w:themeColor="text1"/>
        </w:rPr>
        <w:fldChar w:fldCharType="end"/>
      </w:r>
      <w:r w:rsidRPr="006D48C6">
        <w:rPr>
          <w:rFonts w:ascii="Times New Roman" w:hAnsi="Times New Roman" w:cs="Times New Roman"/>
          <w:lang w:eastAsia="zh-CN"/>
        </w:rPr>
        <w:t xml:space="preserve">, who follow the methodology of </w:t>
      </w:r>
      <w:r w:rsidR="00717B72">
        <w:rPr>
          <w:rFonts w:ascii="Times New Roman" w:hAnsi="Times New Roman" w:cs="Times New Roman"/>
          <w:lang w:eastAsia="zh-CN"/>
        </w:rPr>
        <w:fldChar w:fldCharType="begin"/>
      </w:r>
      <w:r w:rsidR="00717B72">
        <w:rPr>
          <w:rFonts w:ascii="Times New Roman" w:hAnsi="Times New Roman" w:cs="Times New Roman"/>
          <w:lang w:eastAsia="zh-CN"/>
        </w:rPr>
        <w:instrText xml:space="preserve"> ADDIN EN.CITE &lt;EndNote&gt;&lt;Cite AuthorYear="1"&gt;&lt;Author&gt;Baker&lt;/Author&gt;&lt;Year&gt;2007&lt;/Year&gt;&lt;RecNum&gt;6&lt;/RecNum&gt;&lt;DisplayText&gt;Baker and Wurgler (2007)&lt;/DisplayText&gt;&lt;record&gt;&lt;rec-number&gt;6&lt;/rec-number&gt;&lt;foreign-keys&gt;&lt;key app="EN" db-id="9eex0vav2wexe8etpdrxdfw4rpzw909d0sft" timestamp="1754736720"&gt;6&lt;/key&gt;&lt;/foreign-keys&gt;&lt;ref-type name="Journal Article"&gt;17&lt;/ref-type&gt;&lt;contributors&gt;&lt;authors&gt;&lt;author&gt;Baker, Malcolm&lt;/author&gt;&lt;author&gt;Wurgler, Jeffrey&lt;/author&gt;&lt;/authors&gt;&lt;/contributors&gt;&lt;titles&gt;&lt;title&gt;Investor Sentiment in the Stock Market&lt;/title&gt;&lt;secondary-title&gt;Journal of Economic Perspectives&lt;/secondary-title&gt;&lt;/titles&gt;&lt;periodical&gt;&lt;full-title&gt;Journal of Economic Perspectives&lt;/full-title&gt;&lt;/periodical&gt;&lt;pages&gt;129-152&lt;/pages&gt;&lt;volume&gt;21&lt;/volume&gt;&lt;number&gt;2&lt;/number&gt;&lt;dates&gt;&lt;year&gt;2007&lt;/year&gt;&lt;/dates&gt;&lt;urls&gt;&lt;related-urls&gt;&lt;url&gt;https://www.aeaweb.org/articles?id=10.1257/jep.21.2.129&lt;/url&gt;&lt;/related-urls&gt;&lt;/urls&gt;&lt;electronic-resource-num&gt;https://doi.org/10.1257/jep.21.2.129&lt;/electronic-resource-num&gt;&lt;/record&gt;&lt;/Cite&gt;&lt;/EndNote&gt;</w:instrText>
      </w:r>
      <w:r w:rsidR="00717B72">
        <w:rPr>
          <w:rFonts w:ascii="Times New Roman" w:hAnsi="Times New Roman" w:cs="Times New Roman"/>
          <w:lang w:eastAsia="zh-CN"/>
        </w:rPr>
        <w:fldChar w:fldCharType="separate"/>
      </w:r>
      <w:r w:rsidR="00717B72">
        <w:rPr>
          <w:rFonts w:ascii="Times New Roman" w:hAnsi="Times New Roman" w:cs="Times New Roman"/>
          <w:noProof/>
          <w:lang w:eastAsia="zh-CN"/>
        </w:rPr>
        <w:t>Baker and Wurgler (2007)</w:t>
      </w:r>
      <w:r w:rsidR="00717B72">
        <w:rPr>
          <w:rFonts w:ascii="Times New Roman" w:hAnsi="Times New Roman" w:cs="Times New Roman"/>
          <w:lang w:eastAsia="zh-CN"/>
        </w:rPr>
        <w:fldChar w:fldCharType="end"/>
      </w:r>
      <w:r w:rsidRPr="006D48C6">
        <w:rPr>
          <w:rFonts w:ascii="Times New Roman" w:hAnsi="Times New Roman" w:cs="Times New Roman"/>
          <w:lang w:eastAsia="zh-CN"/>
        </w:rPr>
        <w:t xml:space="preserve">, with those suggested by </w:t>
      </w:r>
      <w:r w:rsidRPr="008A0997">
        <w:rPr>
          <w:rFonts w:ascii="Times New Roman" w:hAnsi="Times New Roman" w:cs="Times New Roman"/>
          <w:color w:val="000000" w:themeColor="text1"/>
        </w:rPr>
        <w:fldChar w:fldCharType="begin"/>
      </w:r>
      <w:r w:rsidR="00717B72">
        <w:rPr>
          <w:rFonts w:ascii="Times New Roman" w:hAnsi="Times New Roman" w:cs="Times New Roman"/>
          <w:color w:val="000000" w:themeColor="text1"/>
        </w:rPr>
        <w:instrText xml:space="preserve"> ADDIN EN.CITE &lt;EndNote&gt;&lt;Cite AuthorYear="1"&gt;&lt;Author&gt;Lee&lt;/Author&gt;&lt;Year&gt;2018&lt;/Year&gt;&lt;RecNum&gt;55&lt;/RecNum&gt;&lt;DisplayText&gt;Lee and Yoon (2018)&lt;/DisplayText&gt;&lt;record&gt;&lt;rec-number&gt;55&lt;/rec-number&gt;&lt;foreign-keys&gt;&lt;key app="EN" db-id="9eex0vav2wexe8etpdrxdfw4rpzw909d0sft" timestamp="1754750517"&gt;55&lt;/key&gt;&lt;/foreign-keys&gt;&lt;ref-type name="Journal Article"&gt;17&lt;/ref-type&gt;&lt;contributors&gt;&lt;authors&gt;&lt;author&gt;Lee, Moon-hyoung&lt;/author&gt;&lt;author&gt; Yoon, Sun-joong&lt;/author&gt;&lt;/authors&gt;&lt;/contributors&gt;&lt;titles&gt;&lt;title&gt;An Informative Independence of Investor Sentiment Indices in the KOSPI 200 Options Market&lt;/title&gt;&lt;secondary-title&gt;Journal of Money and Finance&lt;/secondary-title&gt;&lt;/titles&gt;&lt;periodical&gt;&lt;full-title&gt;Journal of Money and Finance&lt;/full-title&gt;&lt;/periodical&gt;&lt;pages&gt;1-44&lt;/pages&gt;&lt;volume&gt;32&lt;/volume&gt;&lt;number&gt;1&lt;/number&gt;&lt;keywords&gt;&lt;keyword&gt;Options Investor Sentiment Index&lt;/keyword&gt;&lt;keyword&gt;Investor Sentiment Proxy&lt;/keyword&gt;&lt;keyword&gt;Principal Component Analysis&lt;/keyword&gt;&lt;keyword&gt;Orthogonalization&lt;/keyword&gt;&lt;/keywords&gt;&lt;dates&gt;&lt;year&gt;2018&lt;/year&gt;&lt;/dates&gt;&lt;urls&gt;&lt;/urls&gt;&lt;electronic-resource-num&gt;https://doi.org/10.21023/JMF.32.1.1&lt;/electronic-resource-num&gt;&lt;/record&gt;&lt;/Cite&gt;&lt;/EndNote&gt;</w:instrText>
      </w:r>
      <w:r w:rsidRPr="008A0997">
        <w:rPr>
          <w:rFonts w:ascii="Times New Roman" w:hAnsi="Times New Roman" w:cs="Times New Roman"/>
          <w:color w:val="000000" w:themeColor="text1"/>
        </w:rPr>
        <w:fldChar w:fldCharType="separate"/>
      </w:r>
      <w:r w:rsidRPr="008A0997">
        <w:rPr>
          <w:rFonts w:ascii="Times New Roman" w:hAnsi="Times New Roman" w:cs="Times New Roman"/>
          <w:noProof/>
          <w:color w:val="000000" w:themeColor="text1"/>
        </w:rPr>
        <w:t>Lee and Yoon (2018)</w:t>
      </w:r>
      <w:r w:rsidRPr="008A0997">
        <w:rPr>
          <w:rFonts w:ascii="Times New Roman" w:hAnsi="Times New Roman" w:cs="Times New Roman"/>
          <w:color w:val="000000" w:themeColor="text1"/>
        </w:rPr>
        <w:fldChar w:fldCharType="end"/>
      </w:r>
      <w:r w:rsidRPr="006D48C6">
        <w:rPr>
          <w:rFonts w:ascii="Times New Roman" w:hAnsi="Times New Roman" w:cs="Times New Roman"/>
          <w:lang w:eastAsia="zh-CN"/>
        </w:rPr>
        <w:t>, who incorporate derivatives market information to enhance the informativeness of the sentiment measure. The variables include:</w:t>
      </w:r>
    </w:p>
    <w:p w:rsidR="0018478D" w:rsidRDefault="0018478D" w:rsidP="0018478D">
      <w:pPr>
        <w:ind w:firstLine="420"/>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 xml:space="preserve">he first variable is individual investor’s monthly buy-sell imbalance (BSI) from </w:t>
      </w:r>
      <w:r w:rsidRPr="008A0997">
        <w:rPr>
          <w:rFonts w:ascii="Times New Roman" w:hAnsi="Times New Roman" w:cs="Times New Roman"/>
          <w:color w:val="000000" w:themeColor="text1"/>
        </w:rPr>
        <w:fldChar w:fldCharType="begin"/>
      </w:r>
      <w:r w:rsidRPr="008A0997">
        <w:rPr>
          <w:rFonts w:ascii="Times New Roman" w:hAnsi="Times New Roman" w:cs="Times New Roman"/>
          <w:color w:val="000000" w:themeColor="text1"/>
        </w:rPr>
        <w:instrText xml:space="preserve"> ADDIN EN.CITE &lt;EndNote&gt;&lt;Cite AuthorYear="1"&gt;&lt;Author&gt;Kumar&lt;/Author&gt;&lt;Year&gt;2006&lt;/Year&gt;&lt;RecNum&gt;32&lt;/RecNum&gt;&lt;DisplayText&gt;Kumar and Lee (2006)&lt;/DisplayText&gt;&lt;record&gt;&lt;rec-number&gt;32&lt;/rec-number&gt;&lt;foreign-keys&gt;&lt;key app="EN" db-id="9eex0vav2wexe8etpdrxdfw4rpzw909d0sft" timestamp="1754737871"&gt;32&lt;/key&gt;&lt;/foreign-keys&gt;&lt;ref-type name="Journal Article"&gt;17&lt;/ref-type&gt;&lt;contributors&gt;&lt;authors&gt;&lt;author&gt;Kumar, Alok&lt;/author&gt;&lt;author&gt;Lee, Charles M. C.&lt;/author&gt;&lt;/authors&gt;&lt;/contributors&gt;&lt;titles&gt;&lt;title&gt;Retail Investor Sentiment and Return Comovements&lt;/title&gt;&lt;secondary-title&gt;The Journal of Finance&lt;/secondary-title&gt;&lt;/titles&gt;&lt;periodical&gt;&lt;full-title&gt;The Journal of Finance&lt;/full-title&gt;&lt;/periodical&gt;&lt;pages&gt;2451-2486&lt;/pages&gt;&lt;volume&gt;61&lt;/volume&gt;&lt;number&gt;5&lt;/number&gt;&lt;dates&gt;&lt;year&gt;2006&lt;/year&gt;&lt;pub-dates&gt;&lt;date&gt;2006/10/01&lt;/date&gt;&lt;/pub-dates&gt;&lt;/dates&gt;&lt;publisher&gt;John Wiley &amp;amp; Sons, Ltd&lt;/publisher&gt;&lt;isbn&gt;0022-1082&lt;/isbn&gt;&lt;urls&gt;&lt;related-urls&gt;&lt;url&gt;https://doi.org/10.1111/j.1540-6261.2006.01063.x&lt;/url&gt;&lt;/related-urls&gt;&lt;/urls&gt;&lt;electronic-resource-num&gt;https://doi.org/10.1111/j.1540-6261.2006.01063.x&lt;/electronic-resource-num&gt;&lt;access-date&gt;2025/08/09&lt;/access-date&gt;&lt;/record&gt;&lt;/Cite&gt;&lt;/EndNote&gt;</w:instrText>
      </w:r>
      <w:r w:rsidRPr="008A0997">
        <w:rPr>
          <w:rFonts w:ascii="Times New Roman" w:hAnsi="Times New Roman" w:cs="Times New Roman"/>
          <w:color w:val="000000" w:themeColor="text1"/>
        </w:rPr>
        <w:fldChar w:fldCharType="separate"/>
      </w:r>
      <w:r w:rsidRPr="008A0997">
        <w:rPr>
          <w:rFonts w:ascii="Times New Roman" w:hAnsi="Times New Roman" w:cs="Times New Roman"/>
          <w:noProof/>
          <w:color w:val="000000" w:themeColor="text1"/>
        </w:rPr>
        <w:t>Kumar and Lee (2006)</w:t>
      </w:r>
      <w:r w:rsidRPr="008A0997">
        <w:rPr>
          <w:rFonts w:ascii="Times New Roman" w:hAnsi="Times New Roman" w:cs="Times New Roman"/>
          <w:color w:val="000000" w:themeColor="text1"/>
        </w:rPr>
        <w:fldChar w:fldCharType="end"/>
      </w:r>
      <w:r w:rsidRPr="008A0997">
        <w:rPr>
          <w:rFonts w:ascii="Times New Roman" w:hAnsi="Times New Roman" w:cs="Times New Roman"/>
          <w:color w:val="000000" w:themeColor="text1"/>
        </w:rPr>
        <w:t xml:space="preserve">. If BSI is positive, it </w:t>
      </w:r>
      <w:r>
        <w:rPr>
          <w:rFonts w:ascii="Times New Roman" w:hAnsi="Times New Roman" w:cs="Times New Roman"/>
        </w:rPr>
        <w:t xml:space="preserve">means that individual investors’ perspective is positive. </w:t>
      </w:r>
      <w:r w:rsidR="006218CB">
        <w:rPr>
          <w:rFonts w:ascii="Times New Roman" w:hAnsi="Times New Roman" w:cs="Times New Roman"/>
        </w:rPr>
        <w:t>This study</w:t>
      </w:r>
      <w:r>
        <w:rPr>
          <w:rFonts w:ascii="Times New Roman" w:hAnsi="Times New Roman" w:cs="Times New Roman"/>
        </w:rPr>
        <w:t xml:space="preserve"> collect</w:t>
      </w:r>
      <w:r w:rsidR="006218CB">
        <w:rPr>
          <w:rFonts w:ascii="Times New Roman" w:hAnsi="Times New Roman" w:cs="Times New Roman"/>
        </w:rPr>
        <w:t>s</w:t>
      </w:r>
      <w:r>
        <w:rPr>
          <w:rFonts w:ascii="Times New Roman" w:hAnsi="Times New Roman" w:cs="Times New Roman"/>
        </w:rPr>
        <w:t xml:space="preserve"> individual investors’ currency-dominated buy and sell trading volume from the Bank of Korea, and calculate the BSI as the difference of buy and sell trading volumes, divided by the total trading volume. The second variable is the customers’ deposits for stock investment (CD). A positive CD shows that the investors are more optimistic. We collect the data from the Bank of Korea. Followin</w:t>
      </w:r>
      <w:r w:rsidRPr="008A0997">
        <w:rPr>
          <w:rFonts w:ascii="Times New Roman" w:hAnsi="Times New Roman" w:cs="Times New Roman"/>
          <w:color w:val="000000" w:themeColor="text1"/>
        </w:rPr>
        <w:t xml:space="preserve">g </w:t>
      </w:r>
      <w:r w:rsidRPr="008A0997">
        <w:rPr>
          <w:rFonts w:ascii="Times New Roman" w:hAnsi="Times New Roman" w:cs="Times New Roman"/>
          <w:color w:val="000000" w:themeColor="text1"/>
        </w:rPr>
        <w:fldChar w:fldCharType="begin"/>
      </w:r>
      <w:r w:rsidRPr="008A0997">
        <w:rPr>
          <w:rFonts w:ascii="Times New Roman" w:hAnsi="Times New Roman" w:cs="Times New Roman"/>
          <w:color w:val="000000" w:themeColor="text1"/>
        </w:rPr>
        <w:instrText xml:space="preserve"> ADDIN EN.CITE &lt;EndNote&gt;&lt;Cite AuthorYear="1"&gt;&lt;Author&gt;Kim&lt;/Author&gt;&lt;Year&gt;2010&lt;/Year&gt;&lt;RecNum&gt;31&lt;/RecNum&gt;&lt;DisplayText&gt;Kim and Byun (2010)&lt;/DisplayText&gt;&lt;record&gt;&lt;rec-number&gt;31&lt;/rec-number&gt;&lt;foreign-keys&gt;&lt;key app="EN" db-id="9eex0vav2wexe8etpdrxdfw4rpzw909d0sft" timestamp="1754737837"&gt;31&lt;/key&gt;&lt;/foreign-keys&gt;&lt;ref-type name="Journal Article"&gt;17&lt;/ref-type&gt;&lt;contributors&gt;&lt;authors&gt;&lt;author&gt;Kim, Keunsoo&lt;/author&gt;&lt;author&gt;Byun, Jinho&lt;/author&gt;&lt;/authors&gt;&lt;/contributors&gt;&lt;titles&gt;&lt;title&gt;Effect of Investor Sentiment on Market Response to Stock Split Announcement&lt;/title&gt;&lt;secondary-title&gt;Asia-Pacific Journal of Financial Studies&lt;/secondary-title&gt;&lt;/titles&gt;&lt;periodical&gt;&lt;full-title&gt;Asia-Pacific Journal of Financial Studies&lt;/full-title&gt;&lt;/periodical&gt;&lt;pages&gt;687-719&lt;/pages&gt;&lt;volume&gt;39&lt;/volume&gt;&lt;number&gt;6&lt;/number&gt;&lt;keywords&gt;&lt;keyword&gt;Behavioral finance&lt;/keyword&gt;&lt;keyword&gt;Investor sentiment&lt;/keyword&gt;&lt;keyword&gt;Market response&lt;/keyword&gt;&lt;keyword&gt;Overreaction&lt;/keyword&gt;&lt;keyword&gt;Stock split&lt;/keyword&gt;&lt;keyword&gt;G10&lt;/keyword&gt;&lt;keyword&gt;G14&lt;/keyword&gt;&lt;/keywords&gt;&lt;dates&gt;&lt;year&gt;2010&lt;/year&gt;&lt;pub-dates&gt;&lt;date&gt;2010/12/01&lt;/date&gt;&lt;/pub-dates&gt;&lt;/dates&gt;&lt;publisher&gt;John Wiley &amp;amp; Sons, Ltd&lt;/publisher&gt;&lt;isbn&gt;2041-9945&lt;/isbn&gt;&lt;urls&gt;&lt;related-urls&gt;&lt;url&gt;https://doi.org/10.1111/j.2041-6156.2010.01029.x&lt;/url&gt;&lt;/related-urls&gt;&lt;/urls&gt;&lt;electronic-resource-num&gt;https://doi.org/10.1111/j.2041-6156.2010.01029.x&lt;/electronic-resource-num&gt;&lt;access-date&gt;2025/08/09&lt;/access-date&gt;&lt;/record&gt;&lt;/Cite&gt;&lt;/EndNote&gt;</w:instrText>
      </w:r>
      <w:r w:rsidRPr="008A0997">
        <w:rPr>
          <w:rFonts w:ascii="Times New Roman" w:hAnsi="Times New Roman" w:cs="Times New Roman"/>
          <w:color w:val="000000" w:themeColor="text1"/>
        </w:rPr>
        <w:fldChar w:fldCharType="separate"/>
      </w:r>
      <w:r w:rsidRPr="008A0997">
        <w:rPr>
          <w:rFonts w:ascii="Times New Roman" w:hAnsi="Times New Roman" w:cs="Times New Roman"/>
          <w:noProof/>
          <w:color w:val="000000" w:themeColor="text1"/>
        </w:rPr>
        <w:t>Kim and Byun (2010)</w:t>
      </w:r>
      <w:r w:rsidRPr="008A0997">
        <w:rPr>
          <w:rFonts w:ascii="Times New Roman" w:hAnsi="Times New Roman" w:cs="Times New Roman"/>
          <w:color w:val="000000" w:themeColor="text1"/>
        </w:rPr>
        <w:fldChar w:fldCharType="end"/>
      </w:r>
      <w:r w:rsidRPr="008A0997">
        <w:rPr>
          <w:rFonts w:ascii="Times New Roman" w:hAnsi="Times New Roman" w:cs="Times New Roman"/>
          <w:color w:val="000000" w:themeColor="text1"/>
        </w:rPr>
        <w:t>, we detrend the current month’s deposit by its moving average for two years and</w:t>
      </w:r>
      <w:r>
        <w:rPr>
          <w:rFonts w:ascii="Times New Roman" w:hAnsi="Times New Roman" w:cs="Times New Roman"/>
        </w:rPr>
        <w:t xml:space="preserve"> divide it w</w:t>
      </w:r>
      <w:r w:rsidRPr="005B20DE">
        <w:rPr>
          <w:rFonts w:ascii="Times New Roman" w:hAnsi="Times New Roman" w:cs="Times New Roman"/>
          <w:color w:val="000000" w:themeColor="text1"/>
        </w:rPr>
        <w:t xml:space="preserve">ith the current month’s deposit to construct our CD variable. </w:t>
      </w:r>
      <w:r w:rsidRPr="005B20DE">
        <w:rPr>
          <w:rFonts w:ascii="Times New Roman" w:hAnsi="Times New Roman" w:cs="Times New Roman" w:hint="eastAsia"/>
          <w:color w:val="000000" w:themeColor="text1"/>
        </w:rPr>
        <w:t>W</w:t>
      </w:r>
      <w:r w:rsidRPr="005B20DE">
        <w:rPr>
          <w:rFonts w:ascii="Times New Roman" w:hAnsi="Times New Roman" w:cs="Times New Roman"/>
          <w:color w:val="000000" w:themeColor="text1"/>
        </w:rPr>
        <w:t>e use the turnover ratio (TURN) from the Bank of Korea</w:t>
      </w:r>
      <w:r w:rsidRPr="005B20DE">
        <w:rPr>
          <w:color w:val="000000" w:themeColor="text1"/>
        </w:rPr>
        <w:t xml:space="preserve"> </w:t>
      </w:r>
      <w:r w:rsidRPr="005B20DE">
        <w:rPr>
          <w:rFonts w:ascii="Times New Roman" w:hAnsi="Times New Roman" w:cs="Times New Roman"/>
          <w:color w:val="000000" w:themeColor="text1"/>
        </w:rPr>
        <w:t xml:space="preserve">as the third variable. It is the ratio of trading volume and number of shares outstanding. </w:t>
      </w:r>
      <w:r w:rsidRPr="005B20DE">
        <w:rPr>
          <w:rFonts w:ascii="Times New Roman" w:hAnsi="Times New Roman" w:cs="Times New Roman" w:hint="eastAsia"/>
          <w:color w:val="000000" w:themeColor="text1"/>
        </w:rPr>
        <w:t>T</w:t>
      </w:r>
      <w:r w:rsidRPr="005B20DE">
        <w:rPr>
          <w:rFonts w:ascii="Times New Roman" w:hAnsi="Times New Roman" w:cs="Times New Roman"/>
          <w:color w:val="000000" w:themeColor="text1"/>
        </w:rPr>
        <w:t>he</w:t>
      </w:r>
      <w:r>
        <w:rPr>
          <w:rFonts w:ascii="Times New Roman" w:hAnsi="Times New Roman" w:cs="Times New Roman"/>
        </w:rPr>
        <w:t xml:space="preserve"> fourth variable is the log consumer composite sentiment index (CCSI) by the Bank of Korea. The Bank of Korea provides this data from September 2008. </w:t>
      </w:r>
      <w:r w:rsidR="006218CB">
        <w:rPr>
          <w:rFonts w:ascii="Times New Roman" w:hAnsi="Times New Roman" w:cs="Times New Roman"/>
        </w:rPr>
        <w:t>This study</w:t>
      </w:r>
      <w:r>
        <w:rPr>
          <w:rFonts w:ascii="Times New Roman" w:hAnsi="Times New Roman" w:cs="Times New Roman"/>
        </w:rPr>
        <w:t xml:space="preserve"> collect</w:t>
      </w:r>
      <w:r w:rsidR="006218CB">
        <w:rPr>
          <w:rFonts w:ascii="Times New Roman" w:hAnsi="Times New Roman" w:cs="Times New Roman"/>
        </w:rPr>
        <w:t>s</w:t>
      </w:r>
      <w:r>
        <w:rPr>
          <w:rFonts w:ascii="Times New Roman" w:hAnsi="Times New Roman" w:cs="Times New Roman"/>
        </w:rPr>
        <w:t xml:space="preserve"> additional data from the trading economics website</w:t>
      </w:r>
      <w:r>
        <w:rPr>
          <w:rStyle w:val="ae"/>
          <w:rFonts w:ascii="Times New Roman" w:hAnsi="Times New Roman" w:cs="Times New Roman"/>
        </w:rPr>
        <w:footnoteReference w:id="1"/>
      </w:r>
      <w:r>
        <w:rPr>
          <w:rFonts w:ascii="Times New Roman" w:hAnsi="Times New Roman" w:cs="Times New Roman"/>
        </w:rPr>
        <w:t xml:space="preserve"> to extend this data to January 2006. </w:t>
      </w:r>
      <w:r>
        <w:rPr>
          <w:rFonts w:ascii="Times New Roman" w:hAnsi="Times New Roman" w:cs="Times New Roman" w:hint="eastAsia"/>
        </w:rPr>
        <w:t>F</w:t>
      </w:r>
      <w:r>
        <w:rPr>
          <w:rFonts w:ascii="Times New Roman" w:hAnsi="Times New Roman" w:cs="Times New Roman"/>
        </w:rPr>
        <w:t>ifthly, we use the ratio of positive volume minus the negative volume of the options market (OPTION). Positive option volume is the sum of the call buy and put sell volume, and negative volume is the sum of call sell and put buy volume. We collect this data from the Korean National Statistics Office.</w:t>
      </w:r>
    </w:p>
    <w:p w:rsidR="0018478D" w:rsidRDefault="006218CB" w:rsidP="0018478D">
      <w:pPr>
        <w:ind w:firstLine="420"/>
        <w:rPr>
          <w:rFonts w:ascii="Times New Roman" w:hAnsi="Times New Roman" w:cs="Times New Roman"/>
          <w:lang w:eastAsia="zh-CN"/>
        </w:rPr>
      </w:pPr>
      <w:r>
        <w:rPr>
          <w:rFonts w:ascii="Times New Roman" w:hAnsi="Times New Roman" w:cs="Times New Roman"/>
        </w:rPr>
        <w:t>T</w:t>
      </w:r>
      <w:r w:rsidR="0018478D">
        <w:rPr>
          <w:rFonts w:ascii="Times New Roman" w:hAnsi="Times New Roman" w:cs="Times New Roman"/>
        </w:rPr>
        <w:t xml:space="preserve">he sentiment index </w:t>
      </w:r>
      <w:r>
        <w:rPr>
          <w:rFonts w:ascii="Times New Roman" w:hAnsi="Times New Roman" w:cs="Times New Roman"/>
        </w:rPr>
        <w:t xml:space="preserve">constructed </w:t>
      </w:r>
      <w:r w:rsidR="0018478D">
        <w:rPr>
          <w:rFonts w:ascii="Times New Roman" w:hAnsi="Times New Roman" w:cs="Times New Roman"/>
        </w:rPr>
        <w:t xml:space="preserve">using principal component analysis. </w:t>
      </w:r>
      <w:r>
        <w:rPr>
          <w:rFonts w:ascii="Times New Roman" w:hAnsi="Times New Roman" w:cs="Times New Roman"/>
        </w:rPr>
        <w:t>This study employs</w:t>
      </w:r>
      <w:r w:rsidR="0018478D">
        <w:rPr>
          <w:rFonts w:ascii="Times New Roman" w:hAnsi="Times New Roman" w:cs="Times New Roman"/>
        </w:rPr>
        <w:t xml:space="preserve"> ten standardized variables (five aforementioned variables and their lagged variables) to get the </w:t>
      </w:r>
      <w:r w:rsidR="0018478D">
        <w:rPr>
          <w:rFonts w:ascii="Times New Roman" w:hAnsi="Times New Roman" w:cs="Times New Roman"/>
        </w:rPr>
        <w:lastRenderedPageBreak/>
        <w:t xml:space="preserve">first principal component. After that, </w:t>
      </w:r>
      <w:r>
        <w:rPr>
          <w:rFonts w:ascii="Times New Roman" w:hAnsi="Times New Roman" w:cs="Times New Roman"/>
        </w:rPr>
        <w:t>T</w:t>
      </w:r>
      <w:r w:rsidR="0018478D">
        <w:rPr>
          <w:rFonts w:ascii="Times New Roman" w:hAnsi="Times New Roman" w:cs="Times New Roman"/>
        </w:rPr>
        <w:t xml:space="preserve">he Pearson correlation coefficients of first principal component and the ten variables to choose the best timing option (the current variable or the lagged variable) </w:t>
      </w:r>
      <w:r w:rsidR="0018478D" w:rsidRPr="001363CB">
        <w:rPr>
          <w:rFonts w:ascii="Times New Roman" w:hAnsi="Times New Roman" w:cs="Times New Roman"/>
          <w:lang w:eastAsia="zh-CN"/>
        </w:rPr>
        <w:t xml:space="preserve">for a second round of principal component analysis. </w:t>
      </w:r>
    </w:p>
    <w:bookmarkEnd w:id="0"/>
    <w:p w:rsidR="006D48C6" w:rsidRPr="006D48C6" w:rsidRDefault="006D48C6" w:rsidP="006D48C6">
      <w:pPr>
        <w:ind w:firstLine="330"/>
        <w:rPr>
          <w:rFonts w:ascii="Times New Roman" w:hAnsi="Times New Roman" w:cs="Times New Roman"/>
        </w:rPr>
      </w:pPr>
      <w:r w:rsidRPr="006D48C6">
        <w:rPr>
          <w:rFonts w:ascii="Times New Roman" w:hAnsi="Times New Roman" w:cs="Times New Roman"/>
        </w:rPr>
        <w:t xml:space="preserve">As a result, </w:t>
      </w:r>
      <w:r w:rsidR="006218CB">
        <w:rPr>
          <w:rFonts w:ascii="Times New Roman" w:hAnsi="Times New Roman" w:cs="Times New Roman"/>
        </w:rPr>
        <w:t>the</w:t>
      </w:r>
      <w:r w:rsidRPr="006D48C6">
        <w:rPr>
          <w:rFonts w:ascii="Times New Roman" w:hAnsi="Times New Roman" w:cs="Times New Roman"/>
        </w:rPr>
        <w:t xml:space="preserve"> sentiment variable </w:t>
      </w:r>
      <w:r w:rsidR="006218CB">
        <w:rPr>
          <w:rFonts w:ascii="Times New Roman" w:hAnsi="Times New Roman" w:cs="Times New Roman"/>
        </w:rPr>
        <w:t xml:space="preserve">is constructed </w:t>
      </w:r>
      <w:r w:rsidRPr="006D48C6">
        <w:rPr>
          <w:rFonts w:ascii="Times New Roman" w:hAnsi="Times New Roman" w:cs="Times New Roman"/>
        </w:rPr>
        <w:t>as follows:</w:t>
      </w:r>
    </w:p>
    <w:p w:rsidR="005540DF" w:rsidRPr="006D48C6" w:rsidRDefault="00000000">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SENT</m:t>
                  </m:r>
                </m:e>
                <m:sub>
                  <m:r>
                    <w:rPr>
                      <w:rFonts w:ascii="Cambria Math" w:hAnsi="Cambria Math"/>
                    </w:rPr>
                    <m:t>t</m:t>
                  </m:r>
                </m:sub>
              </m:sSub>
              <m:r>
                <w:rPr>
                  <w:rFonts w:ascii="Cambria Math" w:hAnsi="Cambria Math"/>
                </w:rPr>
                <m:t>=0.227*BS</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+0.564</m:t>
              </m:r>
              <m:sSub>
                <m:sSubPr>
                  <m:ctrlPr>
                    <w:rPr>
                      <w:rFonts w:ascii="Cambria Math" w:hAnsi="Cambria Math"/>
                      <w:i/>
                    </w:rPr>
                  </m:ctrlPr>
                </m:sSubPr>
                <m:e>
                  <m:r>
                    <w:rPr>
                      <w:rFonts w:ascii="Cambria Math" w:hAnsi="Cambria Math"/>
                    </w:rPr>
                    <m:t>*CD</m:t>
                  </m:r>
                </m:e>
                <m:sub>
                  <m:r>
                    <w:rPr>
                      <w:rFonts w:ascii="Cambria Math" w:hAnsi="Cambria Math"/>
                    </w:rPr>
                    <m:t>t</m:t>
                  </m:r>
                </m:sub>
              </m:sSub>
              <m:r>
                <w:rPr>
                  <w:rFonts w:ascii="Cambria Math" w:hAnsi="Cambria Math"/>
                </w:rPr>
                <m:t>+0.727*TUR</m:t>
              </m:r>
              <m:sSub>
                <m:sSubPr>
                  <m:ctrlPr>
                    <w:rPr>
                      <w:rFonts w:ascii="Cambria Math" w:hAnsi="Cambria Math"/>
                      <w:i/>
                    </w:rPr>
                  </m:ctrlPr>
                </m:sSubPr>
                <m:e>
                  <m:r>
                    <w:rPr>
                      <w:rFonts w:ascii="Cambria Math" w:hAnsi="Cambria Math"/>
                    </w:rPr>
                    <m:t>N</m:t>
                  </m:r>
                </m:e>
                <m:sub>
                  <m:r>
                    <w:rPr>
                      <w:rFonts w:ascii="Cambria Math" w:hAnsi="Cambria Math"/>
                    </w:rPr>
                    <m:t>t-1</m:t>
                  </m:r>
                </m:sub>
              </m:sSub>
              <m:ctrlPr>
                <w:rPr>
                  <w:rFonts w:ascii="Cambria Math" w:eastAsia="Cambria Math" w:hAnsi="Cambria Math" w:cs="Cambria Math"/>
                  <w:i/>
                </w:rPr>
              </m:ctrlPr>
            </m:e>
            <m:e>
              <m:r>
                <w:rPr>
                  <w:rFonts w:ascii="Cambria Math" w:hAnsi="Cambria Math"/>
                </w:rPr>
                <m:t>-0.201*CCS</m:t>
              </m:r>
              <m:sSub>
                <m:sSubPr>
                  <m:ctrlPr>
                    <w:rPr>
                      <w:rFonts w:ascii="Cambria Math" w:hAnsi="Cambria Math"/>
                      <w:i/>
                    </w:rPr>
                  </m:ctrlPr>
                </m:sSubPr>
                <m:e>
                  <m:r>
                    <w:rPr>
                      <w:rFonts w:ascii="Cambria Math" w:hAnsi="Cambria Math"/>
                    </w:rPr>
                    <m:t>I</m:t>
                  </m:r>
                </m:e>
                <m:sub>
                  <m:r>
                    <w:rPr>
                      <w:rFonts w:ascii="Cambria Math" w:hAnsi="Cambria Math"/>
                    </w:rPr>
                    <m:t>t-1</m:t>
                  </m:r>
                </m:sub>
              </m:sSub>
              <m:r>
                <w:rPr>
                  <w:rFonts w:ascii="Cambria Math" w:hAnsi="Cambria Math"/>
                </w:rPr>
                <m:t>-0.248*OPTIO</m:t>
              </m:r>
              <m:sSub>
                <m:sSubPr>
                  <m:ctrlPr>
                    <w:rPr>
                      <w:rFonts w:ascii="Cambria Math" w:hAnsi="Cambria Math"/>
                      <w:i/>
                    </w:rPr>
                  </m:ctrlPr>
                </m:sSubPr>
                <m:e>
                  <m:r>
                    <w:rPr>
                      <w:rFonts w:ascii="Cambria Math" w:hAnsi="Cambria Math"/>
                    </w:rPr>
                    <m:t>N</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hint="eastAsia"/>
                      <w:lang w:eastAsia="zh-CN"/>
                    </w:rPr>
                    <m:t>A</m:t>
                  </m:r>
                  <m:r>
                    <w:rPr>
                      <w:rFonts w:ascii="Cambria Math" w:hAnsi="Cambria Math"/>
                      <w:lang w:eastAsia="zh-CN"/>
                    </w:rPr>
                    <m:t>1</m:t>
                  </m:r>
                </m:e>
              </m:d>
            </m:e>
          </m:eqArr>
        </m:oMath>
      </m:oMathPara>
    </w:p>
    <w:p w:rsidR="006D48C6" w:rsidRPr="00AB3CC7" w:rsidRDefault="006D48C6" w:rsidP="009970BA">
      <w:pPr>
        <w:ind w:firstLine="420"/>
        <w:rPr>
          <w:rFonts w:ascii="Times New Roman" w:hAnsi="Times New Roman" w:cs="Times New Roman"/>
          <w:lang w:eastAsia="zh-CN"/>
        </w:rPr>
      </w:pPr>
      <w:r w:rsidRPr="006D48C6">
        <w:rPr>
          <w:rFonts w:ascii="Times New Roman" w:hAnsi="Times New Roman" w:cs="Times New Roman"/>
        </w:rPr>
        <w:t>The cumulative variance explained by the first principal component is 32.243%. While this value do</w:t>
      </w:r>
      <w:r w:rsidRPr="00AB3CC7">
        <w:rPr>
          <w:rFonts w:ascii="Times New Roman" w:hAnsi="Times New Roman" w:cs="Times New Roman"/>
        </w:rPr>
        <w:t xml:space="preserve">es not entirely explain the data, it does to some extent represent investor sentiment. For </w:t>
      </w:r>
      <w:r w:rsidR="006218CB">
        <w:rPr>
          <w:rFonts w:ascii="Times New Roman" w:hAnsi="Times New Roman" w:cs="Times New Roman"/>
        </w:rPr>
        <w:t>the</w:t>
      </w:r>
      <w:r w:rsidRPr="00AB3CC7">
        <w:rPr>
          <w:rFonts w:ascii="Times New Roman" w:hAnsi="Times New Roman" w:cs="Times New Roman"/>
        </w:rPr>
        <w:t xml:space="preserve"> main analyses,</w:t>
      </w:r>
      <w:r w:rsidR="006218CB">
        <w:rPr>
          <w:rFonts w:ascii="Times New Roman" w:hAnsi="Times New Roman" w:cs="Times New Roman"/>
        </w:rPr>
        <w:t xml:space="preserve"> </w:t>
      </w:r>
      <w:proofErr w:type="gramStart"/>
      <w:r w:rsidR="006218CB">
        <w:rPr>
          <w:rFonts w:ascii="Times New Roman" w:hAnsi="Times New Roman" w:cs="Times New Roman"/>
        </w:rPr>
        <w:t>This</w:t>
      </w:r>
      <w:proofErr w:type="gramEnd"/>
      <w:r w:rsidR="006218CB">
        <w:rPr>
          <w:rFonts w:ascii="Times New Roman" w:hAnsi="Times New Roman" w:cs="Times New Roman"/>
        </w:rPr>
        <w:t xml:space="preserve"> study</w:t>
      </w:r>
      <w:r w:rsidRPr="00AB3CC7">
        <w:rPr>
          <w:rFonts w:ascii="Times New Roman" w:hAnsi="Times New Roman" w:cs="Times New Roman"/>
        </w:rPr>
        <w:t xml:space="preserve"> use</w:t>
      </w:r>
      <w:r w:rsidR="006218CB">
        <w:rPr>
          <w:rFonts w:ascii="Times New Roman" w:hAnsi="Times New Roman" w:cs="Times New Roman"/>
        </w:rPr>
        <w:t>s</w:t>
      </w:r>
      <w:r w:rsidRPr="00AB3CC7">
        <w:rPr>
          <w:rFonts w:ascii="Times New Roman" w:hAnsi="Times New Roman" w:cs="Times New Roman"/>
        </w:rPr>
        <w:t xml:space="preserve"> the monthly percentage innovation of sentiment variable. </w:t>
      </w:r>
      <w:r w:rsidR="009970BA" w:rsidRPr="00AB3CC7">
        <w:rPr>
          <w:rFonts w:ascii="Times New Roman" w:hAnsi="Times New Roman" w:cs="Times New Roman"/>
        </w:rPr>
        <w:fldChar w:fldCharType="begin"/>
      </w:r>
      <w:r w:rsidR="009970BA" w:rsidRPr="00AB3CC7">
        <w:rPr>
          <w:rFonts w:ascii="Times New Roman" w:hAnsi="Times New Roman" w:cs="Times New Roman"/>
        </w:rPr>
        <w:instrText xml:space="preserve"> REF _Ref205802384 \h  \* MERGEFORMAT </w:instrText>
      </w:r>
      <w:r w:rsidR="009970BA" w:rsidRPr="00AB3CC7">
        <w:rPr>
          <w:rFonts w:ascii="Times New Roman" w:hAnsi="Times New Roman" w:cs="Times New Roman"/>
        </w:rPr>
      </w:r>
      <w:r w:rsidR="009970BA" w:rsidRPr="00AB3CC7">
        <w:rPr>
          <w:rFonts w:ascii="Times New Roman" w:hAnsi="Times New Roman" w:cs="Times New Roman"/>
        </w:rPr>
        <w:fldChar w:fldCharType="separate"/>
      </w:r>
      <w:r w:rsidR="009970BA" w:rsidRPr="00AB3CC7">
        <w:rPr>
          <w:rFonts w:ascii="Times New Roman" w:hAnsi="Times New Roman" w:cs="Times New Roman"/>
        </w:rPr>
        <w:t xml:space="preserve">Figure </w:t>
      </w:r>
      <w:r w:rsidR="009970BA" w:rsidRPr="00AB3CC7">
        <w:rPr>
          <w:rFonts w:ascii="Times New Roman" w:hAnsi="Times New Roman" w:cs="Times New Roman"/>
          <w:noProof/>
        </w:rPr>
        <w:t>2</w:t>
      </w:r>
      <w:r w:rsidR="009970BA" w:rsidRPr="00AB3CC7">
        <w:rPr>
          <w:rFonts w:ascii="Times New Roman" w:hAnsi="Times New Roman" w:cs="Times New Roman"/>
        </w:rPr>
        <w:fldChar w:fldCharType="end"/>
      </w:r>
      <w:r w:rsidRPr="00AB3CC7">
        <w:rPr>
          <w:rFonts w:ascii="Times New Roman" w:hAnsi="Times New Roman" w:cs="Times New Roman"/>
        </w:rPr>
        <w:t xml:space="preserve"> describes the time series of investor sentiment alongside its rate of change.</w:t>
      </w:r>
    </w:p>
    <w:p w:rsidR="00953CF5" w:rsidRPr="00AB3CC7" w:rsidRDefault="0092014F" w:rsidP="0092014F">
      <w:pPr>
        <w:pStyle w:val="4"/>
        <w:keepNext w:val="0"/>
        <w:keepLines w:val="0"/>
        <w:widowControl/>
        <w:spacing w:before="240" w:after="0" w:line="360" w:lineRule="auto"/>
        <w:rPr>
          <w:rFonts w:ascii="Palatino Linotype" w:hAnsi="Palatino Linotype"/>
          <w:b/>
          <w:snapToGrid w:val="0"/>
          <w:color w:val="auto"/>
          <w:kern w:val="0"/>
          <w:sz w:val="22"/>
          <w:szCs w:val="22"/>
          <w:lang w:eastAsia="zh-CN" w:bidi="en-US"/>
        </w:rPr>
      </w:pPr>
      <w:r w:rsidRPr="00AB3CC7">
        <w:rPr>
          <w:rFonts w:ascii="Palatino Linotype" w:hAnsi="Palatino Linotype"/>
          <w:b/>
          <w:snapToGrid w:val="0"/>
          <w:color w:val="auto"/>
          <w:kern w:val="0"/>
          <w:sz w:val="22"/>
          <w:szCs w:val="22"/>
          <w:lang w:bidi="en-US"/>
        </w:rPr>
        <w:t xml:space="preserve">Appendix </w:t>
      </w:r>
      <w:r w:rsidRPr="00AB3CC7">
        <w:rPr>
          <w:rFonts w:ascii="Palatino Linotype" w:hAnsi="Palatino Linotype" w:hint="eastAsia"/>
          <w:b/>
          <w:snapToGrid w:val="0"/>
          <w:color w:val="auto"/>
          <w:kern w:val="0"/>
          <w:sz w:val="22"/>
          <w:szCs w:val="22"/>
          <w:lang w:eastAsia="zh-CN" w:bidi="en-US"/>
        </w:rPr>
        <w:t>B</w:t>
      </w:r>
      <w:r w:rsidRPr="00AB3CC7">
        <w:rPr>
          <w:rFonts w:ascii="Palatino Linotype" w:hAnsi="Palatino Linotype"/>
          <w:b/>
          <w:snapToGrid w:val="0"/>
          <w:color w:val="auto"/>
          <w:kern w:val="0"/>
          <w:sz w:val="22"/>
          <w:szCs w:val="22"/>
          <w:lang w:bidi="en-US"/>
        </w:rPr>
        <w:t xml:space="preserve">: </w:t>
      </w:r>
      <w:bookmarkStart w:id="1" w:name="OLE_LINK80"/>
      <w:r w:rsidRPr="00AB3CC7">
        <w:rPr>
          <w:rFonts w:ascii="Palatino Linotype" w:hAnsi="Palatino Linotype"/>
          <w:b/>
          <w:snapToGrid w:val="0"/>
          <w:color w:val="auto"/>
          <w:kern w:val="0"/>
          <w:sz w:val="22"/>
          <w:szCs w:val="22"/>
          <w:lang w:bidi="en-US"/>
        </w:rPr>
        <w:t>Out-of-Sample Prediction Test</w:t>
      </w:r>
      <w:bookmarkEnd w:id="1"/>
    </w:p>
    <w:p w:rsidR="00953CF5" w:rsidRPr="00AB3CC7" w:rsidRDefault="0092014F" w:rsidP="0092014F">
      <w:pPr>
        <w:pStyle w:val="MDPI22heading2"/>
        <w:spacing w:before="240"/>
        <w:ind w:left="0"/>
        <w:rPr>
          <w:rFonts w:ascii="Times New Roman" w:hAnsi="Times New Roman"/>
          <w:b/>
          <w:bCs/>
          <w:color w:val="auto"/>
          <w:sz w:val="22"/>
          <w:szCs w:val="28"/>
          <w:lang w:eastAsia="zh-CN"/>
        </w:rPr>
      </w:pPr>
      <w:r w:rsidRPr="00AB3CC7">
        <w:rPr>
          <w:rFonts w:ascii="Times New Roman" w:hAnsi="Times New Roman"/>
          <w:b/>
          <w:bCs/>
          <w:color w:val="auto"/>
          <w:sz w:val="22"/>
          <w:szCs w:val="28"/>
          <w:lang w:eastAsia="zh-CN"/>
        </w:rPr>
        <w:t xml:space="preserve">Model Confidence Set (MCS) Test </w:t>
      </w:r>
    </w:p>
    <w:p w:rsidR="00953CF5" w:rsidRPr="00AB3CC7" w:rsidRDefault="006218CB" w:rsidP="00953CF5">
      <w:pPr>
        <w:ind w:firstLine="420"/>
        <w:rPr>
          <w:rFonts w:ascii="Times New Roman" w:hAnsi="Times New Roman" w:cs="Times New Roman"/>
          <w:lang w:eastAsia="zh-CN"/>
        </w:rPr>
      </w:pPr>
      <w:r>
        <w:rPr>
          <w:rFonts w:ascii="Times New Roman" w:hAnsi="Times New Roman" w:cs="Times New Roman"/>
          <w:lang w:eastAsia="zh-CN"/>
        </w:rPr>
        <w:t>This study</w:t>
      </w:r>
      <w:r w:rsidR="00953CF5" w:rsidRPr="00AB3CC7">
        <w:rPr>
          <w:rFonts w:ascii="Times New Roman" w:hAnsi="Times New Roman" w:cs="Times New Roman"/>
          <w:lang w:eastAsia="zh-CN"/>
        </w:rPr>
        <w:t xml:space="preserve"> employ</w:t>
      </w:r>
      <w:r>
        <w:rPr>
          <w:rFonts w:ascii="Times New Roman" w:hAnsi="Times New Roman" w:cs="Times New Roman"/>
          <w:lang w:eastAsia="zh-CN"/>
        </w:rPr>
        <w:t>s</w:t>
      </w:r>
      <w:r w:rsidR="00953CF5" w:rsidRPr="00AB3CC7">
        <w:rPr>
          <w:rFonts w:ascii="Times New Roman" w:hAnsi="Times New Roman" w:cs="Times New Roman"/>
          <w:lang w:eastAsia="zh-CN"/>
        </w:rPr>
        <w:t xml:space="preserve"> the Model Confidence Set (MCS) test proposed by </w:t>
      </w:r>
      <w:r w:rsidR="00953CF5" w:rsidRPr="00AB3CC7">
        <w:rPr>
          <w:rFonts w:ascii="Times New Roman" w:hAnsi="Times New Roman" w:cs="Times New Roman"/>
          <w:lang w:eastAsia="zh-CN"/>
        </w:rPr>
        <w:fldChar w:fldCharType="begin"/>
      </w:r>
      <w:r w:rsidR="00953CF5" w:rsidRPr="00AB3CC7">
        <w:rPr>
          <w:rFonts w:ascii="Times New Roman" w:hAnsi="Times New Roman" w:cs="Times New Roman"/>
          <w:lang w:eastAsia="zh-CN"/>
        </w:rPr>
        <w:instrText xml:space="preserve"> ADDIN EN.CITE &lt;EndNote&gt;&lt;Cite AuthorYear="1"&gt;&lt;Author&gt;Hansen&lt;/Author&gt;&lt;Year&gt;2011&lt;/Year&gt;&lt;RecNum&gt;27&lt;/RecNum&gt;&lt;DisplayText&gt;Hansen et al. (2011)&lt;/DisplayText&gt;&lt;record&gt;&lt;rec-number&gt;27&lt;/rec-number&gt;&lt;foreign-keys&gt;&lt;key app="EN" db-id="9eex0vav2wexe8etpdrxdfw4rpzw909d0sft" timestamp="1754737713"&gt;27&lt;/key&gt;&lt;/foreign-keys&gt;&lt;ref-type name="Journal Article"&gt;17&lt;/ref-type&gt;&lt;contributors&gt;&lt;authors&gt;&lt;author&gt;Hansen, Peter R.&lt;/author&gt;&lt;author&gt;Lunde, Asger&lt;/author&gt;&lt;author&gt;Nason, James M.&lt;/author&gt;&lt;/authors&gt;&lt;/contributors&gt;&lt;titles&gt;&lt;title&gt;The Model Confidence Set&lt;/title&gt;&lt;secondary-title&gt;Econometrica&lt;/secondary-title&gt;&lt;/titles&gt;&lt;periodical&gt;&lt;full-title&gt;Econometrica&lt;/full-title&gt;&lt;/periodical&gt;&lt;pages&gt;453-497&lt;/pages&gt;&lt;volume&gt;79&lt;/volume&gt;&lt;number&gt;2&lt;/number&gt;&lt;keywords&gt;&lt;keyword&gt;Model confidence set&lt;/keyword&gt;&lt;keyword&gt;model selection&lt;/keyword&gt;&lt;keyword&gt;forecasting&lt;/keyword&gt;&lt;keyword&gt;multiple comparisons&lt;/keyword&gt;&lt;/keywords&gt;&lt;dates&gt;&lt;year&gt;2011&lt;/year&gt;&lt;pub-dates&gt;&lt;date&gt;2011/03/01&lt;/date&gt;&lt;/pub-dates&gt;&lt;/dates&gt;&lt;publisher&gt;John Wiley &amp;amp; Sons, Ltd&lt;/publisher&gt;&lt;isbn&gt;0012-9682&lt;/isbn&gt;&lt;urls&gt;&lt;related-urls&gt;&lt;url&gt;https://doi.org/10.3982/ECTA5771&lt;/url&gt;&lt;/related-urls&gt;&lt;/urls&gt;&lt;electronic-resource-num&gt;https://doi.org/10.3982/ECTA5771&lt;/electronic-resource-num&gt;&lt;access-date&gt;2025/08/09&lt;/access-date&gt;&lt;/record&gt;&lt;/Cite&gt;&lt;/EndNote&gt;</w:instrText>
      </w:r>
      <w:r w:rsidR="00953CF5" w:rsidRPr="00AB3CC7">
        <w:rPr>
          <w:rFonts w:ascii="Times New Roman" w:hAnsi="Times New Roman" w:cs="Times New Roman"/>
          <w:lang w:eastAsia="zh-CN"/>
        </w:rPr>
        <w:fldChar w:fldCharType="separate"/>
      </w:r>
      <w:r w:rsidR="00953CF5" w:rsidRPr="00AB3CC7">
        <w:rPr>
          <w:rFonts w:ascii="Times New Roman" w:hAnsi="Times New Roman" w:cs="Times New Roman"/>
          <w:noProof/>
          <w:lang w:eastAsia="zh-CN"/>
        </w:rPr>
        <w:t>Hansen et al. (2011)</w:t>
      </w:r>
      <w:r w:rsidR="00953CF5" w:rsidRPr="00AB3CC7">
        <w:rPr>
          <w:rFonts w:ascii="Times New Roman" w:hAnsi="Times New Roman" w:cs="Times New Roman"/>
          <w:lang w:eastAsia="zh-CN"/>
        </w:rPr>
        <w:fldChar w:fldCharType="end"/>
      </w:r>
      <w:r w:rsidR="00953CF5" w:rsidRPr="00AB3CC7">
        <w:rPr>
          <w:rFonts w:ascii="Times New Roman" w:hAnsi="Times New Roman" w:cs="Times New Roman"/>
          <w:lang w:eastAsia="zh-CN"/>
        </w:rPr>
        <w:t xml:space="preserve">. This method requires the introduction of loss functions to assess the model's predictive error. Considering </w:t>
      </w:r>
      <w:r w:rsidR="00953CF5" w:rsidRPr="00AB3CC7">
        <w:rPr>
          <w:rFonts w:ascii="Times New Roman" w:hAnsi="Times New Roman" w:cs="Times New Roman"/>
          <w:lang w:eastAsia="zh-CN"/>
        </w:rPr>
        <w:fldChar w:fldCharType="begin"/>
      </w:r>
      <w:r w:rsidR="00953CF5" w:rsidRPr="00AB3CC7">
        <w:rPr>
          <w:rFonts w:ascii="Times New Roman" w:hAnsi="Times New Roman" w:cs="Times New Roman"/>
          <w:lang w:eastAsia="zh-CN"/>
        </w:rPr>
        <w:instrText xml:space="preserve"> ADDIN EN.CITE &lt;EndNote&gt;&lt;Cite AuthorYear="1"&gt;&lt;Author&gt;Diebold&lt;/Author&gt;&lt;Year&gt;1996&lt;/Year&gt;&lt;RecNum&gt;16&lt;/RecNum&gt;&lt;DisplayText&gt;Diebold and Lopez (1996)&lt;/DisplayText&gt;&lt;record&gt;&lt;rec-number&gt;16&lt;/rec-number&gt;&lt;foreign-keys&gt;&lt;key app="EN" db-id="9eex0vav2wexe8etpdrxdfw4rpzw909d0sft" timestamp="1754737302"&gt;16&lt;/key&gt;&lt;/foreign-keys&gt;&lt;ref-type name="Book Section"&gt;5&lt;/ref-type&gt;&lt;contributors&gt;&lt;authors&gt;&lt;author&gt;Diebold, Francis X.&lt;/author&gt;&lt;author&gt;Lopez, Jose A.&lt;/author&gt;&lt;/authors&gt;&lt;/contributors&gt;&lt;titles&gt;&lt;title&gt;8 Forecast evaluation and combination&lt;/title&gt;&lt;secondary-title&gt;Handbook of Statistics&lt;/secondary-title&gt;&lt;/titles&gt;&lt;pages&gt;241-268&lt;/pages&gt;&lt;volume&gt;14&lt;/volume&gt;&lt;dates&gt;&lt;year&gt;1996&lt;/year&gt;&lt;pub-dates&gt;&lt;date&gt;1996/01/01/&lt;/date&gt;&lt;/pub-dates&gt;&lt;/dates&gt;&lt;publisher&gt;Elsevier&lt;/publisher&gt;&lt;isbn&gt;0169-7161&lt;/isbn&gt;&lt;urls&gt;&lt;related-urls&gt;&lt;url&gt;https://www.sciencedirect.com/science/article/pii/S0169716196140104&lt;/url&gt;&lt;/related-urls&gt;&lt;/urls&gt;&lt;electronic-resource-num&gt;https://doi.org/10.1016/S0169-7161(96)14010-4&lt;/electronic-resource-num&gt;&lt;/record&gt;&lt;/Cite&gt;&lt;/EndNote&gt;</w:instrText>
      </w:r>
      <w:r w:rsidR="00953CF5" w:rsidRPr="00AB3CC7">
        <w:rPr>
          <w:rFonts w:ascii="Times New Roman" w:hAnsi="Times New Roman" w:cs="Times New Roman"/>
          <w:lang w:eastAsia="zh-CN"/>
        </w:rPr>
        <w:fldChar w:fldCharType="separate"/>
      </w:r>
      <w:r w:rsidR="00953CF5" w:rsidRPr="00AB3CC7">
        <w:rPr>
          <w:rFonts w:ascii="Times New Roman" w:hAnsi="Times New Roman" w:cs="Times New Roman"/>
          <w:noProof/>
          <w:lang w:eastAsia="zh-CN"/>
        </w:rPr>
        <w:t>Diebold and Lopez (1996)</w:t>
      </w:r>
      <w:r w:rsidR="00953CF5" w:rsidRPr="00AB3CC7">
        <w:rPr>
          <w:rFonts w:ascii="Times New Roman" w:hAnsi="Times New Roman" w:cs="Times New Roman"/>
          <w:lang w:eastAsia="zh-CN"/>
        </w:rPr>
        <w:fldChar w:fldCharType="end"/>
      </w:r>
      <w:r w:rsidR="00953CF5" w:rsidRPr="00AB3CC7">
        <w:rPr>
          <w:rFonts w:ascii="Times New Roman" w:hAnsi="Times New Roman" w:cs="Times New Roman"/>
          <w:lang w:eastAsia="zh-CN"/>
        </w:rPr>
        <w:t xml:space="preserve"> perspective that determining the best loss function for forecasting volatility accuracy is challenging, </w:t>
      </w:r>
      <w:r w:rsidR="002E3401">
        <w:rPr>
          <w:rFonts w:ascii="Times New Roman" w:hAnsi="Times New Roman" w:cs="Times New Roman"/>
          <w:lang w:eastAsia="zh-CN"/>
        </w:rPr>
        <w:t>this study</w:t>
      </w:r>
      <w:r w:rsidR="00953CF5" w:rsidRPr="00AB3CC7">
        <w:rPr>
          <w:rFonts w:ascii="Times New Roman" w:hAnsi="Times New Roman" w:cs="Times New Roman"/>
          <w:lang w:eastAsia="zh-CN"/>
        </w:rPr>
        <w:t xml:space="preserve"> select</w:t>
      </w:r>
      <w:r w:rsidR="002E3401">
        <w:rPr>
          <w:rFonts w:ascii="Times New Roman" w:hAnsi="Times New Roman" w:cs="Times New Roman"/>
          <w:lang w:eastAsia="zh-CN"/>
        </w:rPr>
        <w:t>s</w:t>
      </w:r>
      <w:r w:rsidR="00953CF5" w:rsidRPr="00AB3CC7">
        <w:rPr>
          <w:rFonts w:ascii="Times New Roman" w:hAnsi="Times New Roman" w:cs="Times New Roman"/>
          <w:lang w:eastAsia="zh-CN"/>
        </w:rPr>
        <w:t xml:space="preserve"> three loss functions to evaluate the model's predictive error. These are the Mean Squared Error (MSE), Mean Absolute Error (MAE), and</w:t>
      </w:r>
      <w:r w:rsidR="002E3401">
        <w:rPr>
          <w:rFonts w:ascii="Times New Roman" w:hAnsi="Times New Roman" w:cs="Times New Roman"/>
          <w:lang w:eastAsia="zh-CN"/>
        </w:rPr>
        <w:t xml:space="preserve"> </w:t>
      </w:r>
      <m:oMath>
        <m:sSup>
          <m:sSupPr>
            <m:ctrlPr>
              <w:rPr>
                <w:rFonts w:ascii="Cambria Math" w:eastAsia="宋体" w:hAnsi="Cambria Math" w:cs="Cambria"/>
                <w:i/>
              </w:rPr>
            </m:ctrlPr>
          </m:sSupPr>
          <m:e>
            <m:r>
              <w:rPr>
                <w:rFonts w:ascii="Cambria Math" w:eastAsia="宋体" w:hAnsi="Cambria Math" w:cs="Cambria"/>
                <w:lang w:eastAsia="zh-CN"/>
              </w:rPr>
              <m:t>R</m:t>
            </m:r>
          </m:e>
          <m:sup>
            <m:r>
              <w:rPr>
                <w:rFonts w:ascii="Cambria Math" w:eastAsia="宋体" w:hAnsi="Cambria Math" w:cs="Cambria"/>
                <w:lang w:eastAsia="zh-CN"/>
              </w:rPr>
              <m:t>2</m:t>
            </m:r>
          </m:sup>
        </m:sSup>
        <m:r>
          <w:rPr>
            <w:rFonts w:ascii="Cambria Math" w:eastAsia="宋体" w:hAnsi="Cambria Math" w:cs="Cambria"/>
            <w:lang w:eastAsia="zh-CN"/>
          </w:rPr>
          <m:t>LOG</m:t>
        </m:r>
      </m:oMath>
      <w:r w:rsidR="00953CF5" w:rsidRPr="00AB3CC7">
        <w:rPr>
          <w:rFonts w:ascii="Times New Roman" w:hAnsi="Times New Roman" w:cs="Times New Roman"/>
          <w:lang w:eastAsia="zh-CN"/>
        </w:rPr>
        <w:t>.</w:t>
      </w:r>
    </w:p>
    <w:p w:rsidR="00953CF5" w:rsidRPr="00AB3CC7" w:rsidRDefault="00000000" w:rsidP="00953CF5">
      <w:pPr>
        <w:jc w:val="right"/>
        <w:rPr>
          <w:rFonts w:ascii="Times New Roman" w:hAnsi="Times New Roman" w:cs="Times New Roman"/>
        </w:rPr>
      </w:pPr>
      <m:oMathPara>
        <m:oMath>
          <m:eqArr>
            <m:eqArrPr>
              <m:maxDist m:val="1"/>
              <m:ctrlPr>
                <w:rPr>
                  <w:rFonts w:ascii="Cambria Math" w:eastAsia="宋体" w:hAnsi="Cambria Math" w:cs="Cambria"/>
                  <w:i/>
                </w:rPr>
              </m:ctrlPr>
            </m:eqArrPr>
            <m:e>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t</m:t>
                              </m:r>
                            </m:sub>
                            <m:sup>
                              <m:r>
                                <w:rPr>
                                  <w:rFonts w:ascii="Cambria Math" w:hAnsi="Cambria Math"/>
                                </w:rPr>
                                <m:t>2</m:t>
                              </m:r>
                            </m:sup>
                          </m:sSubSup>
                        </m:e>
                      </m:d>
                    </m:e>
                    <m:sup>
                      <m:r>
                        <w:rPr>
                          <w:rFonts w:ascii="Cambria Math" w:hAnsi="Cambria Math"/>
                        </w:rPr>
                        <m:t>2</m:t>
                      </m:r>
                    </m:sup>
                  </m:sSup>
                </m:e>
              </m:nary>
              <m:r>
                <m:rPr>
                  <m:sty m:val="p"/>
                </m:rPr>
                <w:rPr>
                  <w:rFonts w:ascii="Cambria Math" w:hAnsi="Cambria Math"/>
                </w:rPr>
                <m:t xml:space="preserve">; </m:t>
              </m:r>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t</m:t>
                          </m:r>
                        </m:sub>
                        <m:sup>
                          <m:r>
                            <w:rPr>
                              <w:rFonts w:ascii="Cambria Math" w:hAnsi="Cambria Math"/>
                            </w:rPr>
                            <m:t>2</m:t>
                          </m:r>
                        </m:sup>
                      </m:sSubSup>
                    </m:e>
                  </m:d>
                </m:e>
              </m:nary>
              <m:r>
                <w:rPr>
                  <w:rFonts w:ascii="Cambria Math" w:hAnsi="Cambria Math"/>
                </w:rPr>
                <m:t xml:space="preserve">; </m:t>
              </m:r>
              <m:sSup>
                <m:sSupPr>
                  <m:ctrlPr>
                    <w:rPr>
                      <w:rFonts w:ascii="Cambria Math" w:eastAsia="宋体" w:hAnsi="Cambria Math" w:cs="Cambria"/>
                      <w:i/>
                    </w:rPr>
                  </m:ctrlPr>
                </m:sSupPr>
                <m:e>
                  <m:r>
                    <w:rPr>
                      <w:rFonts w:ascii="Cambria Math" w:eastAsia="宋体" w:hAnsi="Cambria Math" w:cs="Cambria" w:hint="eastAsia"/>
                    </w:rPr>
                    <m:t>R</m:t>
                  </m:r>
                  <m:ctrlPr>
                    <w:rPr>
                      <w:rFonts w:ascii="Cambria Math" w:eastAsia="宋体" w:hAnsi="Cambria Math" w:cs="Cambria" w:hint="eastAsia"/>
                      <w:i/>
                    </w:rPr>
                  </m:ctrlPr>
                </m:e>
                <m:sup>
                  <m:r>
                    <w:rPr>
                      <w:rFonts w:ascii="Cambria Math" w:eastAsia="宋体" w:hAnsi="Cambria Math" w:cs="Cambria"/>
                    </w:rPr>
                    <m:t>2</m:t>
                  </m:r>
                </m:sup>
              </m:sSup>
              <m:r>
                <w:rPr>
                  <w:rFonts w:ascii="Cambria Math" w:eastAsia="宋体" w:hAnsi="Cambria Math" w:cs="Cambria"/>
                </w:rPr>
                <m:t>LOG=</m:t>
              </m:r>
              <m:f>
                <m:fPr>
                  <m:ctrlPr>
                    <w:rPr>
                      <w:rFonts w:ascii="Cambria Math" w:eastAsia="宋体" w:hAnsi="Cambria Math" w:cs="Cambria"/>
                      <w:i/>
                    </w:rPr>
                  </m:ctrlPr>
                </m:fPr>
                <m:num>
                  <m:r>
                    <w:rPr>
                      <w:rFonts w:ascii="Cambria Math" w:eastAsia="宋体" w:hAnsi="Cambria Math" w:cs="Cambria"/>
                    </w:rPr>
                    <m:t>1</m:t>
                  </m:r>
                </m:num>
                <m:den>
                  <m:r>
                    <w:rPr>
                      <w:rFonts w:ascii="Cambria Math" w:eastAsia="宋体" w:hAnsi="Cambria Math" w:cs="Cambria"/>
                    </w:rPr>
                    <m:t>n</m:t>
                  </m:r>
                </m:den>
              </m:f>
              <m:nary>
                <m:naryPr>
                  <m:chr m:val="∑"/>
                  <m:limLoc m:val="undOvr"/>
                  <m:ctrlPr>
                    <w:rPr>
                      <w:rFonts w:ascii="Cambria Math" w:eastAsia="宋体" w:hAnsi="Cambria Math" w:cs="Cambria"/>
                      <w:i/>
                    </w:rPr>
                  </m:ctrlPr>
                </m:naryPr>
                <m:sub>
                  <m:r>
                    <w:rPr>
                      <w:rFonts w:ascii="Cambria Math" w:eastAsia="宋体" w:hAnsi="Cambria Math" w:cs="Cambria"/>
                    </w:rPr>
                    <m:t>n=1</m:t>
                  </m:r>
                </m:sub>
                <m:sup>
                  <m:r>
                    <w:rPr>
                      <w:rFonts w:ascii="Cambria Math" w:eastAsia="宋体" w:hAnsi="Cambria Math" w:cs="Cambria"/>
                    </w:rPr>
                    <m:t>N</m:t>
                  </m:r>
                </m:sup>
                <m:e>
                  <m:sSup>
                    <m:sSupPr>
                      <m:ctrlPr>
                        <w:rPr>
                          <w:rFonts w:ascii="Cambria Math" w:hAnsi="Cambria Math"/>
                          <w:i/>
                        </w:rPr>
                      </m:ctrlPr>
                    </m:sSupPr>
                    <m:e>
                      <m:d>
                        <m:dPr>
                          <m:ctrlPr>
                            <w:rPr>
                              <w:rFonts w:ascii="Cambria Math" w:eastAsia="宋体" w:hAnsi="Cambria Math" w:cs="Cambria"/>
                              <w:i/>
                            </w:rPr>
                          </m:ctrlPr>
                        </m:dPr>
                        <m:e>
                          <m:func>
                            <m:funcPr>
                              <m:ctrlPr>
                                <w:rPr>
                                  <w:rFonts w:ascii="Cambria Math" w:eastAsia="宋体" w:hAnsi="Cambria Math" w:cs="Cambria"/>
                                  <w:i/>
                                </w:rPr>
                              </m:ctrlPr>
                            </m:funcPr>
                            <m:fName>
                              <m:r>
                                <m:rPr>
                                  <m:sty m:val="p"/>
                                </m:rPr>
                                <w:rPr>
                                  <w:rFonts w:ascii="Cambria Math" w:eastAsia="宋体" w:hAnsi="Cambria Math" w:cs="Cambria"/>
                                </w:rPr>
                                <m:t>ln</m:t>
                              </m:r>
                            </m:fName>
                            <m:e>
                              <m:f>
                                <m:fPr>
                                  <m:ctrlPr>
                                    <w:rPr>
                                      <w:rFonts w:ascii="Cambria Math" w:eastAsia="宋体" w:hAnsi="Cambria Math" w:cs="Cambria"/>
                                      <w:i/>
                                    </w:rPr>
                                  </m:ctrlPr>
                                </m:fPr>
                                <m:num>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sup>
                                  </m:sSubSup>
                                </m:num>
                                <m:den>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t</m:t>
                                      </m:r>
                                    </m:sub>
                                    <m:sup>
                                      <m:r>
                                        <w:rPr>
                                          <w:rFonts w:ascii="Cambria Math" w:hAnsi="Cambria Math"/>
                                        </w:rPr>
                                        <m:t>2</m:t>
                                      </m:r>
                                    </m:sup>
                                  </m:sSubSup>
                                </m:den>
                              </m:f>
                            </m:e>
                          </m:func>
                        </m:e>
                      </m:d>
                    </m:e>
                    <m:sup>
                      <m:r>
                        <w:rPr>
                          <w:rFonts w:ascii="Cambria Math" w:hAnsi="Cambria Math"/>
                        </w:rPr>
                        <m:t>2</m:t>
                      </m:r>
                    </m:sup>
                  </m:sSup>
                </m:e>
              </m:nary>
              <m:r>
                <w:rPr>
                  <w:rFonts w:ascii="Cambria Math" w:hAnsi="Cambria Math"/>
                </w:rPr>
                <m:t>#</m:t>
              </m:r>
              <m:d>
                <m:dPr>
                  <m:ctrlPr>
                    <w:rPr>
                      <w:rFonts w:ascii="Cambria Math" w:eastAsia="宋体" w:hAnsi="Cambria Math" w:cs="Cambria"/>
                      <w:i/>
                    </w:rPr>
                  </m:ctrlPr>
                </m:dPr>
                <m:e>
                  <m:r>
                    <w:rPr>
                      <w:rFonts w:ascii="Cambria Math" w:eastAsia="宋体" w:hAnsi="Cambria Math" w:cs="Cambria"/>
                    </w:rPr>
                    <m:t>A2</m:t>
                  </m:r>
                </m:e>
              </m:d>
              <m:ctrlPr>
                <w:rPr>
                  <w:rFonts w:ascii="Cambria Math" w:hAnsi="Cambria Math"/>
                  <w:i/>
                </w:rPr>
              </m:ctrlPr>
            </m:e>
          </m:eqArr>
        </m:oMath>
      </m:oMathPara>
    </w:p>
    <w:p w:rsidR="00953CF5" w:rsidRPr="00AB3CC7" w:rsidRDefault="00953CF5" w:rsidP="00953CF5">
      <w:pPr>
        <w:rPr>
          <w:rFonts w:ascii="Times New Roman" w:hAnsi="Times New Roman" w:cs="Times New Roman"/>
          <w:lang w:eastAsia="zh-CN"/>
        </w:rPr>
      </w:pPr>
      <w:r w:rsidRPr="00AB3CC7">
        <w:rPr>
          <w:rFonts w:ascii="Times New Roman" w:hAnsi="Times New Roman" w:cs="Times New Roman"/>
          <w:lang w:eastAsia="zh-CN"/>
        </w:rPr>
        <w:t xml:space="preserve">The notation </w:t>
      </w:r>
      <m:oMath>
        <m:sSubSup>
          <m:sSubSupPr>
            <m:ctrlPr>
              <w:rPr>
                <w:rFonts w:ascii="Cambria Math" w:hAnsi="Cambria Math"/>
                <w:i/>
              </w:rPr>
            </m:ctrlPr>
          </m:sSubSupPr>
          <m:e>
            <m:r>
              <w:rPr>
                <w:rFonts w:ascii="Cambria Math" w:hAnsi="Cambria Math"/>
                <w:lang w:eastAsia="zh-CN"/>
              </w:rPr>
              <m:t>σ</m:t>
            </m:r>
          </m:e>
          <m:sub>
            <m:r>
              <w:rPr>
                <w:rFonts w:ascii="Cambria Math" w:hAnsi="Cambria Math"/>
                <w:lang w:eastAsia="zh-CN"/>
              </w:rPr>
              <m:t>t</m:t>
            </m:r>
          </m:sub>
          <m:sup>
            <m:r>
              <w:rPr>
                <w:rFonts w:ascii="Cambria Math" w:hAnsi="Cambria Math"/>
                <w:lang w:eastAsia="zh-CN"/>
              </w:rPr>
              <m:t>2</m:t>
            </m:r>
          </m:sup>
        </m:sSubSup>
      </m:oMath>
      <w:r w:rsidRPr="00AB3CC7">
        <w:rPr>
          <w:rFonts w:ascii="Times New Roman" w:hAnsi="Times New Roman" w:cs="Times New Roman"/>
          <w:lang w:eastAsia="zh-CN"/>
        </w:rPr>
        <w:t xml:space="preserve"> represents the realized variance, while </w:t>
      </w:r>
      <m:oMath>
        <m:sSubSup>
          <m:sSubSupPr>
            <m:ctrlPr>
              <w:rPr>
                <w:rFonts w:ascii="Cambria Math" w:hAnsi="Cambria Math"/>
                <w:i/>
              </w:rPr>
            </m:ctrlPr>
          </m:sSubSupPr>
          <m:e>
            <m:acc>
              <m:accPr>
                <m:ctrlPr>
                  <w:rPr>
                    <w:rFonts w:ascii="Cambria Math" w:hAnsi="Cambria Math"/>
                    <w:i/>
                  </w:rPr>
                </m:ctrlPr>
              </m:accPr>
              <m:e>
                <m:r>
                  <w:rPr>
                    <w:rFonts w:ascii="Cambria Math" w:hAnsi="Cambria Math"/>
                    <w:lang w:eastAsia="zh-CN"/>
                  </w:rPr>
                  <m:t>σ</m:t>
                </m:r>
              </m:e>
            </m:acc>
          </m:e>
          <m:sub>
            <m:r>
              <w:rPr>
                <w:rFonts w:ascii="Cambria Math" w:hAnsi="Cambria Math"/>
                <w:lang w:eastAsia="zh-CN"/>
              </w:rPr>
              <m:t>t</m:t>
            </m:r>
          </m:sub>
          <m:sup>
            <m:r>
              <w:rPr>
                <w:rFonts w:ascii="Cambria Math" w:hAnsi="Cambria Math"/>
                <w:lang w:eastAsia="zh-CN"/>
              </w:rPr>
              <m:t>2</m:t>
            </m:r>
          </m:sup>
        </m:sSubSup>
      </m:oMath>
      <w:r w:rsidRPr="00AB3CC7">
        <w:rPr>
          <w:rFonts w:ascii="Times New Roman" w:hAnsi="Times New Roman" w:cs="Times New Roman"/>
        </w:rPr>
        <w:t xml:space="preserve"> </w:t>
      </w:r>
      <w:r w:rsidRPr="00AB3CC7">
        <w:rPr>
          <w:rFonts w:ascii="Times New Roman" w:hAnsi="Times New Roman" w:cs="Times New Roman"/>
          <w:lang w:eastAsia="zh-CN"/>
        </w:rPr>
        <w:t xml:space="preserve">denotes the estimated values derived from the model. To make a comparison, we include </w:t>
      </w:r>
      <w:proofErr w:type="gramStart"/>
      <w:r w:rsidRPr="00AB3CC7">
        <w:rPr>
          <w:rFonts w:ascii="Times New Roman" w:hAnsi="Times New Roman" w:cs="Times New Roman"/>
          <w:lang w:eastAsia="zh-CN"/>
        </w:rPr>
        <w:t>GARCH(</w:t>
      </w:r>
      <w:proofErr w:type="gramEnd"/>
      <w:r w:rsidRPr="00AB3CC7">
        <w:rPr>
          <w:rFonts w:ascii="Times New Roman" w:hAnsi="Times New Roman" w:cs="Times New Roman"/>
          <w:lang w:eastAsia="zh-CN"/>
        </w:rPr>
        <w:t>1,1), GJR-</w:t>
      </w:r>
      <w:proofErr w:type="gramStart"/>
      <w:r w:rsidRPr="00AB3CC7">
        <w:rPr>
          <w:rFonts w:ascii="Times New Roman" w:hAnsi="Times New Roman" w:cs="Times New Roman"/>
          <w:lang w:eastAsia="zh-CN"/>
        </w:rPr>
        <w:t>GARCH(</w:t>
      </w:r>
      <w:proofErr w:type="gramEnd"/>
      <w:r w:rsidRPr="00AB3CC7">
        <w:rPr>
          <w:rFonts w:ascii="Times New Roman" w:hAnsi="Times New Roman" w:cs="Times New Roman"/>
          <w:lang w:eastAsia="zh-CN"/>
        </w:rPr>
        <w:t xml:space="preserve">1,1), and GJR-GARCH-MIDAS models of each variable in the Model Confidence Set (MCS). </w:t>
      </w:r>
      <w:r w:rsidR="002E3401">
        <w:rPr>
          <w:rFonts w:ascii="Times New Roman" w:hAnsi="Times New Roman" w:cs="Times New Roman"/>
          <w:lang w:eastAsia="zh-CN"/>
        </w:rPr>
        <w:t>T</w:t>
      </w:r>
      <w:r w:rsidRPr="00AB3CC7">
        <w:rPr>
          <w:rFonts w:ascii="Times New Roman" w:hAnsi="Times New Roman" w:cs="Times New Roman"/>
          <w:lang w:eastAsia="zh-CN"/>
        </w:rPr>
        <w:t xml:space="preserve">he maximum t-value </w:t>
      </w:r>
      <m:oMath>
        <m:sSub>
          <m:sSubPr>
            <m:ctrlPr>
              <w:rPr>
                <w:rFonts w:ascii="Cambria Math" w:hAnsi="Cambria Math" w:cs="Cambria"/>
                <w:i/>
              </w:rPr>
            </m:ctrlPr>
          </m:sSubPr>
          <m:e>
            <m:r>
              <w:rPr>
                <w:rFonts w:ascii="Cambria Math" w:hAnsi="Cambria Math" w:cs="Cambria" w:hint="eastAsia"/>
              </w:rPr>
              <m:t>T</m:t>
            </m:r>
            <m:ctrlPr>
              <w:rPr>
                <w:rFonts w:ascii="Cambria Math" w:hAnsi="Cambria Math" w:cs="Cambria" w:hint="eastAsia"/>
                <w:i/>
              </w:rPr>
            </m:ctrlPr>
          </m:e>
          <m:sub>
            <m:r>
              <w:rPr>
                <w:rFonts w:ascii="Cambria Math" w:hAnsi="Cambria Math" w:cs="Cambria"/>
              </w:rPr>
              <m:t>max,M</m:t>
            </m:r>
          </m:sub>
        </m:sSub>
      </m:oMath>
      <w:r w:rsidRPr="00AB3CC7">
        <w:rPr>
          <w:rFonts w:ascii="Times New Roman" w:hAnsi="Times New Roman" w:cs="Times New Roman"/>
          <w:lang w:eastAsia="zh-CN"/>
        </w:rPr>
        <w:t xml:space="preserve"> and the range statistic </w:t>
      </w:r>
      <m:oMath>
        <m:sSub>
          <m:sSubPr>
            <m:ctrlPr>
              <w:rPr>
                <w:rFonts w:ascii="Cambria Math" w:hAnsi="Cambria Math" w:cs="Cambria"/>
                <w:i/>
              </w:rPr>
            </m:ctrlPr>
          </m:sSubPr>
          <m:e>
            <m:r>
              <w:rPr>
                <w:rFonts w:ascii="Cambria Math" w:hAnsi="Cambria Math" w:cs="Cambria"/>
              </w:rPr>
              <m:t>T</m:t>
            </m:r>
          </m:e>
          <m:sub>
            <m:r>
              <w:rPr>
                <w:rFonts w:ascii="Cambria Math" w:hAnsi="Cambria Math" w:cs="Cambria"/>
              </w:rPr>
              <m:t>R,M</m:t>
            </m:r>
          </m:sub>
        </m:sSub>
      </m:oMath>
      <w:r w:rsidRPr="00AB3CC7">
        <w:rPr>
          <w:rFonts w:ascii="Times New Roman" w:hAnsi="Times New Roman" w:cs="Times New Roman"/>
          <w:lang w:eastAsia="zh-CN"/>
        </w:rPr>
        <w:t xml:space="preserve">. If the values exceed the given critical </w:t>
      </w:r>
      <w:r w:rsidRPr="00AB3CC7">
        <w:rPr>
          <w:rFonts w:ascii="Times New Roman" w:hAnsi="Times New Roman" w:cs="Times New Roman"/>
          <w:lang w:eastAsia="zh-CN"/>
        </w:rPr>
        <w:lastRenderedPageBreak/>
        <w:t xml:space="preserve">threshold, the null hypothesis is rejected. Here, </w:t>
      </w:r>
      <m:oMath>
        <m:sSub>
          <m:sSubPr>
            <m:ctrlPr>
              <w:rPr>
                <w:rFonts w:ascii="Cambria Math" w:hAnsi="Cambria Math"/>
                <w:i/>
              </w:rPr>
            </m:ctrlPr>
          </m:sSubPr>
          <m:e>
            <m:r>
              <w:rPr>
                <w:rFonts w:ascii="Cambria Math" w:hAnsi="Cambria Math" w:hint="eastAsia"/>
                <w:lang w:eastAsia="zh-CN"/>
              </w:rPr>
              <m:t>d</m:t>
            </m:r>
            <m:ctrlPr>
              <w:rPr>
                <w:rFonts w:ascii="Cambria Math" w:hAnsi="Cambria Math" w:hint="eastAsia"/>
                <w:i/>
              </w:rPr>
            </m:ctrlPr>
          </m:e>
          <m:sub>
            <m:r>
              <w:rPr>
                <w:rFonts w:ascii="Cambria Math" w:hAnsi="Cambria Math"/>
                <w:lang w:eastAsia="zh-CN"/>
              </w:rPr>
              <m:t>a,b</m:t>
            </m:r>
          </m:sub>
        </m:sSub>
      </m:oMath>
      <w:r w:rsidRPr="00AB3CC7">
        <w:rPr>
          <w:rFonts w:ascii="Times New Roman" w:hAnsi="Times New Roman" w:cs="Times New Roman"/>
          <w:lang w:eastAsia="zh-CN"/>
        </w:rPr>
        <w:t xml:space="preserve"> represents the difference in losses between models a and b in set M. </w:t>
      </w:r>
      <m:oMath>
        <m:acc>
          <m:accPr>
            <m:ctrlPr>
              <w:rPr>
                <w:rFonts w:ascii="Cambria Math" w:hAnsi="Cambria Math" w:cs="Cambria"/>
              </w:rPr>
            </m:ctrlPr>
          </m:accPr>
          <m:e>
            <m:r>
              <w:rPr>
                <w:rFonts w:ascii="Cambria Math" w:hAnsi="Cambria Math" w:cs="Cambria"/>
                <w:lang w:eastAsia="zh-CN"/>
              </w:rPr>
              <m:t>var</m:t>
            </m:r>
          </m:e>
        </m:acc>
        <m:r>
          <m:rPr>
            <m:sty m:val="p"/>
          </m:rPr>
          <w:rPr>
            <w:rFonts w:ascii="Cambria Math" w:hAnsi="Cambria Math" w:cs="Cambria"/>
            <w:lang w:eastAsia="zh-CN"/>
          </w:rPr>
          <m:t>(</m:t>
        </m:r>
        <m:sSub>
          <m:sSubPr>
            <m:ctrlPr>
              <w:rPr>
                <w:rFonts w:ascii="Cambria Math" w:hAnsi="Cambria Math" w:cs="Cambria"/>
              </w:rPr>
            </m:ctrlPr>
          </m:sSubPr>
          <m:e>
            <m:acc>
              <m:accPr>
                <m:chr m:val="̅"/>
                <m:ctrlPr>
                  <w:rPr>
                    <w:rFonts w:ascii="Cambria Math" w:hAnsi="Cambria Math" w:cs="Cambria"/>
                  </w:rPr>
                </m:ctrlPr>
              </m:accPr>
              <m:e>
                <m:r>
                  <w:rPr>
                    <w:rFonts w:ascii="Cambria Math" w:hAnsi="Cambria Math" w:cs="Cambria"/>
                    <w:lang w:eastAsia="zh-CN"/>
                  </w:rPr>
                  <m:t>d</m:t>
                </m:r>
              </m:e>
            </m:acc>
          </m:e>
          <m:sub>
            <m:r>
              <w:rPr>
                <w:rFonts w:ascii="Cambria Math" w:hAnsi="Cambria Math" w:cs="Cambria"/>
                <w:lang w:eastAsia="zh-CN"/>
              </w:rPr>
              <m:t>a</m:t>
            </m:r>
          </m:sub>
        </m:sSub>
        <m:r>
          <m:rPr>
            <m:sty m:val="p"/>
          </m:rPr>
          <w:rPr>
            <w:rFonts w:ascii="Cambria Math" w:hAnsi="Cambria Math" w:cs="Cambria"/>
            <w:lang w:eastAsia="zh-CN"/>
          </w:rPr>
          <m:t>)</m:t>
        </m:r>
      </m:oMath>
      <w:r w:rsidRPr="00AB3CC7">
        <w:rPr>
          <w:rFonts w:ascii="Times New Roman" w:hAnsi="Times New Roman" w:cs="Times New Roman"/>
          <w:lang w:eastAsia="zh-CN"/>
        </w:rPr>
        <w:t xml:space="preserve"> and </w:t>
      </w:r>
      <m:oMath>
        <m:acc>
          <m:accPr>
            <m:ctrlPr>
              <w:rPr>
                <w:rFonts w:ascii="Cambria Math" w:hAnsi="Cambria Math" w:cs="Cambria"/>
              </w:rPr>
            </m:ctrlPr>
          </m:accPr>
          <m:e>
            <m:r>
              <w:rPr>
                <w:rFonts w:ascii="Cambria Math" w:hAnsi="Cambria Math" w:cs="Cambria"/>
                <w:lang w:eastAsia="zh-CN"/>
              </w:rPr>
              <m:t>var</m:t>
            </m:r>
          </m:e>
        </m:acc>
        <m:r>
          <m:rPr>
            <m:sty m:val="p"/>
          </m:rPr>
          <w:rPr>
            <w:rFonts w:ascii="Cambria Math" w:hAnsi="Cambria Math" w:cs="Cambria"/>
            <w:lang w:eastAsia="zh-CN"/>
          </w:rPr>
          <m:t>(</m:t>
        </m:r>
        <m:sSub>
          <m:sSubPr>
            <m:ctrlPr>
              <w:rPr>
                <w:rFonts w:ascii="Cambria Math" w:hAnsi="Cambria Math" w:cs="Cambria"/>
              </w:rPr>
            </m:ctrlPr>
          </m:sSubPr>
          <m:e>
            <m:acc>
              <m:accPr>
                <m:chr m:val="̅"/>
                <m:ctrlPr>
                  <w:rPr>
                    <w:rFonts w:ascii="Cambria Math" w:hAnsi="Cambria Math" w:cs="Cambria"/>
                  </w:rPr>
                </m:ctrlPr>
              </m:accPr>
              <m:e>
                <m:r>
                  <w:rPr>
                    <w:rFonts w:ascii="Cambria Math" w:hAnsi="Cambria Math" w:cs="Cambria"/>
                    <w:lang w:eastAsia="zh-CN"/>
                  </w:rPr>
                  <m:t>d</m:t>
                </m:r>
              </m:e>
            </m:acc>
          </m:e>
          <m:sub>
            <m:r>
              <w:rPr>
                <w:rFonts w:ascii="Cambria Math" w:hAnsi="Cambria Math" w:cs="Cambria"/>
                <w:lang w:eastAsia="zh-CN"/>
              </w:rPr>
              <m:t>a</m:t>
            </m:r>
            <m:r>
              <w:rPr>
                <w:rFonts w:ascii="Cambria Math" w:hAnsi="Cambria Math" w:cs="Cambria" w:hint="eastAsia"/>
                <w:lang w:eastAsia="zh-CN"/>
              </w:rPr>
              <m:t>,</m:t>
            </m:r>
            <m:r>
              <w:rPr>
                <w:rFonts w:ascii="Cambria Math" w:hAnsi="Cambria Math" w:cs="Cambria"/>
                <w:lang w:eastAsia="zh-CN"/>
              </w:rPr>
              <m:t>b</m:t>
            </m:r>
          </m:sub>
        </m:sSub>
        <m:r>
          <m:rPr>
            <m:sty m:val="p"/>
          </m:rPr>
          <w:rPr>
            <w:rFonts w:ascii="Cambria Math" w:hAnsi="Cambria Math" w:cs="Cambria"/>
            <w:lang w:eastAsia="zh-CN"/>
          </w:rPr>
          <m:t>)</m:t>
        </m:r>
      </m:oMath>
      <w:r w:rsidRPr="00AB3CC7">
        <w:rPr>
          <w:rFonts w:ascii="Times New Roman" w:hAnsi="Times New Roman" w:cs="Times New Roman"/>
          <w:lang w:eastAsia="zh-CN"/>
        </w:rPr>
        <w:t xml:space="preserve"> are estimations of </w:t>
      </w:r>
      <m:oMath>
        <m:sSub>
          <m:sSubPr>
            <m:ctrlPr>
              <w:rPr>
                <w:rFonts w:ascii="Cambria Math" w:hAnsi="Cambria Math" w:cs="Cambria"/>
              </w:rPr>
            </m:ctrlPr>
          </m:sSubPr>
          <m:e>
            <m:acc>
              <m:accPr>
                <m:chr m:val="̅"/>
                <m:ctrlPr>
                  <w:rPr>
                    <w:rFonts w:ascii="Cambria Math" w:hAnsi="Cambria Math" w:cs="Cambria"/>
                  </w:rPr>
                </m:ctrlPr>
              </m:accPr>
              <m:e>
                <m:r>
                  <w:rPr>
                    <w:rFonts w:ascii="Cambria Math" w:hAnsi="Cambria Math" w:cs="Cambria"/>
                    <w:lang w:eastAsia="zh-CN"/>
                  </w:rPr>
                  <m:t>d</m:t>
                </m:r>
              </m:e>
            </m:acc>
          </m:e>
          <m:sub>
            <m:r>
              <w:rPr>
                <w:rFonts w:ascii="Cambria Math" w:hAnsi="Cambria Math" w:cs="Cambria"/>
                <w:lang w:eastAsia="zh-CN"/>
              </w:rPr>
              <m:t>a</m:t>
            </m:r>
          </m:sub>
        </m:sSub>
      </m:oMath>
      <w:r w:rsidRPr="00AB3CC7">
        <w:rPr>
          <w:rFonts w:ascii="Times New Roman" w:hAnsi="Times New Roman" w:cs="Times New Roman" w:hint="eastAsia"/>
          <w:lang w:eastAsia="zh-CN"/>
        </w:rPr>
        <w:t xml:space="preserve"> </w:t>
      </w:r>
      <w:r w:rsidRPr="00AB3CC7">
        <w:rPr>
          <w:rFonts w:ascii="Times New Roman" w:hAnsi="Times New Roman" w:cs="Times New Roman"/>
          <w:lang w:eastAsia="zh-CN"/>
        </w:rPr>
        <w:t xml:space="preserve">and </w:t>
      </w:r>
      <m:oMath>
        <m:sSub>
          <m:sSubPr>
            <m:ctrlPr>
              <w:rPr>
                <w:rFonts w:ascii="Cambria Math" w:hAnsi="Cambria Math" w:cs="Cambria"/>
              </w:rPr>
            </m:ctrlPr>
          </m:sSubPr>
          <m:e>
            <m:acc>
              <m:accPr>
                <m:chr m:val="̅"/>
                <m:ctrlPr>
                  <w:rPr>
                    <w:rFonts w:ascii="Cambria Math" w:hAnsi="Cambria Math" w:cs="Cambria"/>
                  </w:rPr>
                </m:ctrlPr>
              </m:accPr>
              <m:e>
                <m:r>
                  <w:rPr>
                    <w:rFonts w:ascii="Cambria Math" w:hAnsi="Cambria Math" w:cs="Cambria"/>
                    <w:lang w:eastAsia="zh-CN"/>
                  </w:rPr>
                  <m:t>d</m:t>
                </m:r>
              </m:e>
            </m:acc>
          </m:e>
          <m:sub>
            <m:r>
              <w:rPr>
                <w:rFonts w:ascii="Cambria Math" w:hAnsi="Cambria Math" w:cs="Cambria"/>
                <w:lang w:eastAsia="zh-CN"/>
              </w:rPr>
              <m:t>a</m:t>
            </m:r>
            <m:r>
              <m:rPr>
                <m:sty m:val="p"/>
              </m:rPr>
              <w:rPr>
                <w:rFonts w:ascii="Cambria Math" w:hAnsi="Cambria Math" w:cs="Cambria"/>
                <w:lang w:eastAsia="zh-CN"/>
              </w:rPr>
              <m:t>,</m:t>
            </m:r>
            <m:r>
              <w:rPr>
                <w:rFonts w:ascii="Cambria Math" w:hAnsi="Cambria Math" w:cs="Cambria"/>
                <w:lang w:eastAsia="zh-CN"/>
              </w:rPr>
              <m:t>b</m:t>
            </m:r>
          </m:sub>
        </m:sSub>
      </m:oMath>
      <w:r w:rsidRPr="00AB3CC7">
        <w:rPr>
          <w:rFonts w:ascii="Times New Roman" w:hAnsi="Times New Roman" w:cs="Times New Roman"/>
          <w:lang w:eastAsia="zh-CN"/>
        </w:rPr>
        <w:t xml:space="preserve">, respectively, obtained using stationary block </w:t>
      </w:r>
      <w:r w:rsidRPr="00AB3CC7">
        <w:rPr>
          <w:rFonts w:ascii="Times New Roman" w:hAnsi="Times New Roman" w:cs="Times New Roman" w:hint="eastAsia"/>
          <w:lang w:eastAsia="zh-CN"/>
        </w:rPr>
        <w:t>b</w:t>
      </w:r>
      <w:r w:rsidRPr="00AB3CC7">
        <w:rPr>
          <w:rFonts w:ascii="Times New Roman" w:hAnsi="Times New Roman" w:cs="Times New Roman"/>
          <w:lang w:eastAsia="zh-CN"/>
        </w:rPr>
        <w:t>ootstrap.</w:t>
      </w:r>
    </w:p>
    <w:p w:rsidR="00953CF5" w:rsidRPr="00AB3CC7" w:rsidRDefault="00000000" w:rsidP="00953CF5">
      <w:pPr>
        <w:wordWrap w:val="0"/>
        <w:ind w:firstLineChars="100" w:firstLine="220"/>
        <w:jc w:val="right"/>
        <w:rPr>
          <w:rFonts w:ascii="Times New Roman" w:hAnsi="Times New Roman" w:cs="Times New Roman"/>
        </w:rPr>
      </w:pPr>
      <m:oMathPara>
        <m:oMath>
          <m:eqArr>
            <m:eqArrPr>
              <m:maxDist m:val="1"/>
              <m:ctrlPr>
                <w:rPr>
                  <w:rFonts w:ascii="Cambria Math" w:eastAsia="宋体" w:hAnsi="Cambria Math" w:cs="Cambria"/>
                  <w:i/>
                </w:rPr>
              </m:ctrlPr>
            </m:eqArrPr>
            <m:e>
              <m:sSub>
                <m:sSubPr>
                  <m:ctrlPr>
                    <w:rPr>
                      <w:rFonts w:ascii="Cambria Math" w:eastAsia="宋体" w:hAnsi="Cambria Math" w:cs="Cambria"/>
                      <w:i/>
                    </w:rPr>
                  </m:ctrlPr>
                </m:sSubPr>
                <m:e>
                  <m:r>
                    <w:rPr>
                      <w:rFonts w:ascii="Cambria Math" w:eastAsia="宋体" w:hAnsi="Cambria Math" w:cs="Cambria" w:hint="eastAsia"/>
                    </w:rPr>
                    <m:t>T</m:t>
                  </m:r>
                  <m:ctrlPr>
                    <w:rPr>
                      <w:rFonts w:ascii="Cambria Math" w:eastAsia="宋体" w:hAnsi="Cambria Math" w:cs="Cambria" w:hint="eastAsia"/>
                      <w:i/>
                    </w:rPr>
                  </m:ctrlPr>
                </m:e>
                <m:sub>
                  <m:r>
                    <w:rPr>
                      <w:rFonts w:ascii="Cambria Math" w:eastAsia="宋体" w:hAnsi="Cambria Math" w:cs="Cambria"/>
                    </w:rPr>
                    <m:t>max,M</m:t>
                  </m:r>
                </m:sub>
              </m:sSub>
              <m:r>
                <w:rPr>
                  <w:rFonts w:ascii="Cambria Math" w:eastAsia="宋体" w:hAnsi="Cambria Math" w:cs="Cambria"/>
                </w:rPr>
                <m:t>=max*</m:t>
              </m:r>
              <m:f>
                <m:fPr>
                  <m:ctrlPr>
                    <w:rPr>
                      <w:rFonts w:ascii="Cambria Math" w:eastAsia="宋体" w:hAnsi="Cambria Math" w:cs="Cambria"/>
                    </w:rPr>
                  </m:ctrlPr>
                </m:fPr>
                <m:num>
                  <m:sSub>
                    <m:sSubPr>
                      <m:ctrlPr>
                        <w:rPr>
                          <w:rFonts w:ascii="Cambria Math" w:eastAsia="宋体" w:hAnsi="Cambria Math" w:cs="Cambria"/>
                        </w:rPr>
                      </m:ctrlPr>
                    </m:sSubPr>
                    <m:e>
                      <m:acc>
                        <m:accPr>
                          <m:chr m:val="̅"/>
                          <m:ctrlPr>
                            <w:rPr>
                              <w:rFonts w:ascii="Cambria Math" w:eastAsia="宋体" w:hAnsi="Cambria Math" w:cs="Cambria"/>
                            </w:rPr>
                          </m:ctrlPr>
                        </m:accPr>
                        <m:e>
                          <m:r>
                            <w:rPr>
                              <w:rFonts w:ascii="Cambria Math" w:eastAsia="宋体" w:hAnsi="Cambria Math" w:cs="Cambria"/>
                            </w:rPr>
                            <m:t>d</m:t>
                          </m:r>
                        </m:e>
                      </m:acc>
                    </m:e>
                    <m:sub>
                      <m:r>
                        <w:rPr>
                          <w:rFonts w:ascii="Cambria Math" w:eastAsia="宋体" w:hAnsi="Cambria Math" w:cs="Cambria"/>
                        </w:rPr>
                        <m:t>a</m:t>
                      </m:r>
                    </m:sub>
                  </m:sSub>
                </m:num>
                <m:den>
                  <m:rad>
                    <m:radPr>
                      <m:degHide m:val="1"/>
                      <m:ctrlPr>
                        <w:rPr>
                          <w:rFonts w:ascii="Cambria Math" w:eastAsia="宋体" w:hAnsi="Cambria Math" w:cs="Cambria"/>
                        </w:rPr>
                      </m:ctrlPr>
                    </m:radPr>
                    <m:deg/>
                    <m:e>
                      <m:acc>
                        <m:accPr>
                          <m:ctrlPr>
                            <w:rPr>
                              <w:rFonts w:ascii="Cambria Math" w:eastAsia="宋体" w:hAnsi="Cambria Math" w:cs="Cambria"/>
                            </w:rPr>
                          </m:ctrlPr>
                        </m:accPr>
                        <m:e>
                          <m:r>
                            <w:rPr>
                              <w:rFonts w:ascii="Cambria Math" w:eastAsia="宋体" w:hAnsi="Cambria Math" w:cs="Cambria"/>
                            </w:rPr>
                            <m:t>var</m:t>
                          </m:r>
                        </m:e>
                      </m:acc>
                      <m:d>
                        <m:dPr>
                          <m:ctrlPr>
                            <w:rPr>
                              <w:rFonts w:ascii="Cambria Math" w:eastAsia="宋体" w:hAnsi="Cambria Math" w:cs="Cambria"/>
                            </w:rPr>
                          </m:ctrlPr>
                        </m:dPr>
                        <m:e>
                          <m:sSub>
                            <m:sSubPr>
                              <m:ctrlPr>
                                <w:rPr>
                                  <w:rFonts w:ascii="Cambria Math" w:eastAsia="宋体" w:hAnsi="Cambria Math" w:cs="Cambria"/>
                                </w:rPr>
                              </m:ctrlPr>
                            </m:sSubPr>
                            <m:e>
                              <m:acc>
                                <m:accPr>
                                  <m:chr m:val="̅"/>
                                  <m:ctrlPr>
                                    <w:rPr>
                                      <w:rFonts w:ascii="Cambria Math" w:eastAsia="宋体" w:hAnsi="Cambria Math" w:cs="Cambria"/>
                                    </w:rPr>
                                  </m:ctrlPr>
                                </m:accPr>
                                <m:e>
                                  <m:r>
                                    <w:rPr>
                                      <w:rFonts w:ascii="Cambria Math" w:eastAsia="宋体" w:hAnsi="Cambria Math" w:cs="Cambria"/>
                                    </w:rPr>
                                    <m:t>d</m:t>
                                  </m:r>
                                </m:e>
                              </m:acc>
                            </m:e>
                            <m:sub>
                              <m:r>
                                <w:rPr>
                                  <w:rFonts w:ascii="Cambria Math" w:eastAsia="宋体" w:hAnsi="Cambria Math" w:cs="Cambria"/>
                                </w:rPr>
                                <m:t>a</m:t>
                              </m:r>
                            </m:sub>
                          </m:sSub>
                        </m:e>
                      </m:d>
                    </m:e>
                  </m:rad>
                </m:den>
              </m:f>
              <m:r>
                <w:rPr>
                  <w:rFonts w:ascii="Cambria Math" w:eastAsia="宋体" w:hAnsi="Cambria Math" w:cs="Cambria"/>
                </w:rPr>
                <m:t xml:space="preserve">; </m:t>
              </m:r>
              <m:sSub>
                <m:sSubPr>
                  <m:ctrlPr>
                    <w:rPr>
                      <w:rFonts w:ascii="Cambria Math" w:eastAsia="宋体" w:hAnsi="Cambria Math" w:cs="Cambria"/>
                      <w:i/>
                    </w:rPr>
                  </m:ctrlPr>
                </m:sSubPr>
                <m:e>
                  <m:r>
                    <w:rPr>
                      <w:rFonts w:ascii="Cambria Math" w:eastAsia="宋体" w:hAnsi="Cambria Math" w:cs="Cambria"/>
                    </w:rPr>
                    <m:t>T</m:t>
                  </m:r>
                </m:e>
                <m:sub>
                  <m:r>
                    <w:rPr>
                      <w:rFonts w:ascii="Cambria Math" w:eastAsia="宋体" w:hAnsi="Cambria Math" w:cs="Cambria"/>
                    </w:rPr>
                    <m:t>R,M</m:t>
                  </m:r>
                </m:sub>
              </m:sSub>
              <m:r>
                <w:rPr>
                  <w:rFonts w:ascii="Cambria Math" w:eastAsia="宋体" w:hAnsi="Cambria Math" w:cs="Cambria"/>
                </w:rPr>
                <m:t>=max*</m:t>
              </m:r>
              <m:d>
                <m:dPr>
                  <m:begChr m:val="|"/>
                  <m:endChr m:val="|"/>
                  <m:ctrlPr>
                    <w:rPr>
                      <w:rFonts w:ascii="Cambria Math" w:eastAsia="宋体" w:hAnsi="Cambria Math" w:cs="Cambria"/>
                      <w:i/>
                    </w:rPr>
                  </m:ctrlPr>
                </m:dPr>
                <m:e>
                  <m:f>
                    <m:fPr>
                      <m:ctrlPr>
                        <w:rPr>
                          <w:rFonts w:ascii="Cambria Math" w:eastAsia="宋体" w:hAnsi="Cambria Math" w:cs="Cambria"/>
                        </w:rPr>
                      </m:ctrlPr>
                    </m:fPr>
                    <m:num>
                      <m:sSub>
                        <m:sSubPr>
                          <m:ctrlPr>
                            <w:rPr>
                              <w:rFonts w:ascii="Cambria Math" w:eastAsia="宋体" w:hAnsi="Cambria Math" w:cs="Cambria"/>
                            </w:rPr>
                          </m:ctrlPr>
                        </m:sSubPr>
                        <m:e>
                          <m:acc>
                            <m:accPr>
                              <m:chr m:val="̅"/>
                              <m:ctrlPr>
                                <w:rPr>
                                  <w:rFonts w:ascii="Cambria Math" w:eastAsia="宋体" w:hAnsi="Cambria Math" w:cs="Cambria"/>
                                </w:rPr>
                              </m:ctrlPr>
                            </m:accPr>
                            <m:e>
                              <m:r>
                                <w:rPr>
                                  <w:rFonts w:ascii="Cambria Math" w:eastAsia="宋体" w:hAnsi="Cambria Math" w:cs="Cambria"/>
                                </w:rPr>
                                <m:t>d</m:t>
                              </m:r>
                            </m:e>
                          </m:acc>
                        </m:e>
                        <m:sub>
                          <m:r>
                            <w:rPr>
                              <w:rFonts w:ascii="Cambria Math" w:eastAsia="宋体" w:hAnsi="Cambria Math" w:cs="Cambria"/>
                            </w:rPr>
                            <m:t>a</m:t>
                          </m:r>
                          <m:r>
                            <m:rPr>
                              <m:sty m:val="p"/>
                            </m:rPr>
                            <w:rPr>
                              <w:rFonts w:ascii="Cambria Math" w:eastAsia="宋体" w:hAnsi="Cambria Math" w:cs="Cambria"/>
                            </w:rPr>
                            <m:t>,</m:t>
                          </m:r>
                          <m:r>
                            <w:rPr>
                              <w:rFonts w:ascii="Cambria Math" w:eastAsia="宋体" w:hAnsi="Cambria Math" w:cs="Cambria"/>
                            </w:rPr>
                            <m:t>b</m:t>
                          </m:r>
                        </m:sub>
                      </m:sSub>
                    </m:num>
                    <m:den>
                      <m:rad>
                        <m:radPr>
                          <m:degHide m:val="1"/>
                          <m:ctrlPr>
                            <w:rPr>
                              <w:rFonts w:ascii="Cambria Math" w:eastAsia="宋体" w:hAnsi="Cambria Math" w:cs="Cambria"/>
                            </w:rPr>
                          </m:ctrlPr>
                        </m:radPr>
                        <m:deg/>
                        <m:e>
                          <m:acc>
                            <m:accPr>
                              <m:ctrlPr>
                                <w:rPr>
                                  <w:rFonts w:ascii="Cambria Math" w:eastAsia="宋体" w:hAnsi="Cambria Math" w:cs="Cambria"/>
                                </w:rPr>
                              </m:ctrlPr>
                            </m:accPr>
                            <m:e>
                              <m:r>
                                <w:rPr>
                                  <w:rFonts w:ascii="Cambria Math" w:eastAsia="宋体" w:hAnsi="Cambria Math" w:cs="Cambria"/>
                                </w:rPr>
                                <m:t>var</m:t>
                              </m:r>
                            </m:e>
                          </m:acc>
                          <m:d>
                            <m:dPr>
                              <m:ctrlPr>
                                <w:rPr>
                                  <w:rFonts w:ascii="Cambria Math" w:eastAsia="宋体" w:hAnsi="Cambria Math" w:cs="Cambria"/>
                                </w:rPr>
                              </m:ctrlPr>
                            </m:dPr>
                            <m:e>
                              <m:sSub>
                                <m:sSubPr>
                                  <m:ctrlPr>
                                    <w:rPr>
                                      <w:rFonts w:ascii="Cambria Math" w:eastAsia="宋体" w:hAnsi="Cambria Math" w:cs="Cambria"/>
                                    </w:rPr>
                                  </m:ctrlPr>
                                </m:sSubPr>
                                <m:e>
                                  <m:acc>
                                    <m:accPr>
                                      <m:chr m:val="̅"/>
                                      <m:ctrlPr>
                                        <w:rPr>
                                          <w:rFonts w:ascii="Cambria Math" w:eastAsia="宋体" w:hAnsi="Cambria Math" w:cs="Cambria"/>
                                        </w:rPr>
                                      </m:ctrlPr>
                                    </m:accPr>
                                    <m:e>
                                      <m:r>
                                        <w:rPr>
                                          <w:rFonts w:ascii="Cambria Math" w:eastAsia="宋体" w:hAnsi="Cambria Math" w:cs="Cambria"/>
                                        </w:rPr>
                                        <m:t>d</m:t>
                                      </m:r>
                                    </m:e>
                                  </m:acc>
                                </m:e>
                                <m:sub>
                                  <m:r>
                                    <w:rPr>
                                      <w:rFonts w:ascii="Cambria Math" w:eastAsia="宋体" w:hAnsi="Cambria Math" w:cs="Cambria"/>
                                    </w:rPr>
                                    <m:t>a</m:t>
                                  </m:r>
                                  <m:r>
                                    <w:rPr>
                                      <w:rFonts w:ascii="Cambria Math" w:eastAsia="宋体" w:hAnsi="Cambria Math" w:cs="Cambria" w:hint="eastAsia"/>
                                    </w:rPr>
                                    <m:t>,</m:t>
                                  </m:r>
                                  <m:r>
                                    <w:rPr>
                                      <w:rFonts w:ascii="Cambria Math" w:eastAsia="宋体" w:hAnsi="Cambria Math" w:cs="Cambria"/>
                                    </w:rPr>
                                    <m:t>b</m:t>
                                  </m:r>
                                </m:sub>
                              </m:sSub>
                            </m:e>
                          </m:d>
                        </m:e>
                      </m:rad>
                    </m:den>
                  </m:f>
                </m:e>
              </m:d>
              <m:r>
                <w:rPr>
                  <w:rFonts w:ascii="Cambria Math" w:eastAsia="宋体" w:hAnsi="Cambria Math" w:cs="Cambria"/>
                </w:rPr>
                <m:t>, for a,b∈M#</m:t>
              </m:r>
              <m:d>
                <m:dPr>
                  <m:ctrlPr>
                    <w:rPr>
                      <w:rFonts w:ascii="Cambria Math" w:eastAsia="宋体" w:hAnsi="Cambria Math" w:cs="Cambria"/>
                      <w:i/>
                    </w:rPr>
                  </m:ctrlPr>
                </m:dPr>
                <m:e>
                  <m:r>
                    <w:rPr>
                      <w:rFonts w:ascii="Cambria Math" w:eastAsia="宋体" w:hAnsi="Cambria Math" w:cs="Cambria"/>
                    </w:rPr>
                    <m:t>A3</m:t>
                  </m:r>
                </m:e>
              </m:d>
            </m:e>
          </m:eqArr>
        </m:oMath>
      </m:oMathPara>
    </w:p>
    <w:p w:rsidR="00953CF5" w:rsidRPr="00AB3CC7" w:rsidRDefault="00953CF5" w:rsidP="00953CF5">
      <w:pPr>
        <w:ind w:firstLineChars="100" w:firstLine="220"/>
        <w:jc w:val="right"/>
        <w:rPr>
          <w:rFonts w:ascii="Times New Roman" w:hAnsi="Times New Roman" w:cs="Times New Roman"/>
        </w:rPr>
      </w:pPr>
    </w:p>
    <w:p w:rsidR="00953CF5" w:rsidRPr="00AB3CC7" w:rsidRDefault="00953CF5" w:rsidP="00953CF5">
      <w:pPr>
        <w:rPr>
          <w:rFonts w:ascii="Times New Roman" w:hAnsi="Times New Roman" w:cs="Times New Roman"/>
          <w:lang w:eastAsia="zh-CN"/>
        </w:rPr>
      </w:pPr>
      <w:r w:rsidRPr="00AB3CC7">
        <w:rPr>
          <w:rFonts w:ascii="Times New Roman" w:hAnsi="Times New Roman" w:cs="Times New Roman"/>
          <w:lang w:eastAsia="zh-CN"/>
        </w:rPr>
        <w:fldChar w:fldCharType="begin"/>
      </w:r>
      <w:r w:rsidRPr="00AB3CC7">
        <w:rPr>
          <w:rFonts w:ascii="Times New Roman" w:hAnsi="Times New Roman" w:cs="Times New Roman"/>
          <w:lang w:eastAsia="zh-CN"/>
        </w:rPr>
        <w:instrText xml:space="preserve"> ADDIN EN.CITE &lt;EndNote&gt;&lt;Cite AuthorYear="1"&gt;&lt;Author&gt;Liu&lt;/Author&gt;&lt;Year&gt;2018&lt;/Year&gt;&lt;RecNum&gt;36&lt;/RecNum&gt;&lt;DisplayText&gt;Liu et al. (2018)&lt;/DisplayText&gt;&lt;record&gt;&lt;rec-number&gt;36&lt;/rec-number&gt;&lt;foreign-keys&gt;&lt;key app="EN" db-id="9eex0vav2wexe8etpdrxdfw4rpzw909d0sft" timestamp="1754746526"&gt;36&lt;/key&gt;&lt;/foreign-keys&gt;&lt;ref-type name="Journal Article"&gt;17&lt;/ref-type&gt;&lt;contributors&gt;&lt;authors&gt;&lt;author&gt;Liu, Jing&lt;/author&gt;&lt;author&gt;Ma, Feng&lt;/author&gt;&lt;author&gt;Yang, Ke&lt;/author&gt;&lt;author&gt;Zhang, Yaojie&lt;/author&gt;&lt;/authors&gt;&lt;/contributors&gt;&lt;titles&gt;&lt;title&gt;Forecasting the oil futures price volatility: Large jumps and small jumps&lt;/title&gt;&lt;secondary-title&gt;Energy Economics&lt;/secondary-title&gt;&lt;/titles&gt;&lt;periodical&gt;&lt;full-title&gt;Energy Economics&lt;/full-title&gt;&lt;/periodical&gt;&lt;pages&gt;321-330&lt;/pages&gt;&lt;volume&gt;72&lt;/volume&gt;&lt;keywords&gt;&lt;keyword&gt;Volatility forecasting&lt;/keyword&gt;&lt;keyword&gt;oil futures price&lt;/keyword&gt;&lt;keyword&gt;Large and small jumps&lt;/keyword&gt;&lt;keyword&gt;Predictive evaluation&lt;/keyword&gt;&lt;/keywords&gt;&lt;dates&gt;&lt;year&gt;2018&lt;/year&gt;&lt;pub-dates&gt;&lt;date&gt;2018/05/01/&lt;/date&gt;&lt;/pub-dates&gt;&lt;/dates&gt;&lt;isbn&gt;0140-9883&lt;/isbn&gt;&lt;urls&gt;&lt;related-urls&gt;&lt;url&gt;https://www.sciencedirect.com/science/article/pii/S0140988318301488&lt;/url&gt;&lt;/related-urls&gt;&lt;/urls&gt;&lt;electronic-resource-num&gt;https://doi.org/10.1016/j.eneco.2018.04.023&lt;/electronic-resource-num&gt;&lt;/record&gt;&lt;/Cite&gt;&lt;/EndNote&gt;</w:instrText>
      </w:r>
      <w:r w:rsidRPr="00AB3CC7">
        <w:rPr>
          <w:rFonts w:ascii="Times New Roman" w:hAnsi="Times New Roman" w:cs="Times New Roman"/>
          <w:lang w:eastAsia="zh-CN"/>
        </w:rPr>
        <w:fldChar w:fldCharType="separate"/>
      </w:r>
      <w:r w:rsidRPr="00AB3CC7">
        <w:rPr>
          <w:rFonts w:ascii="Times New Roman" w:hAnsi="Times New Roman" w:cs="Times New Roman"/>
          <w:noProof/>
          <w:lang w:eastAsia="zh-CN"/>
        </w:rPr>
        <w:t>Liu et al. (2018)</w:t>
      </w:r>
      <w:r w:rsidRPr="00AB3CC7">
        <w:rPr>
          <w:rFonts w:ascii="Times New Roman" w:hAnsi="Times New Roman" w:cs="Times New Roman"/>
          <w:lang w:eastAsia="zh-CN"/>
        </w:rPr>
        <w:fldChar w:fldCharType="end"/>
      </w:r>
      <w:r w:rsidRPr="00AB3CC7">
        <w:rPr>
          <w:rFonts w:ascii="Times New Roman" w:hAnsi="Times New Roman" w:cs="Times New Roman"/>
          <w:lang w:eastAsia="zh-CN"/>
        </w:rPr>
        <w:t xml:space="preserve"> and </w:t>
      </w:r>
      <w:r w:rsidRPr="00AB3CC7">
        <w:rPr>
          <w:rFonts w:ascii="Times New Roman" w:hAnsi="Times New Roman" w:cs="Times New Roman"/>
          <w:lang w:eastAsia="zh-CN"/>
        </w:rPr>
        <w:fldChar w:fldCharType="begin"/>
      </w:r>
      <w:r w:rsidRPr="00AB3CC7">
        <w:rPr>
          <w:rFonts w:ascii="Times New Roman" w:hAnsi="Times New Roman" w:cs="Times New Roman"/>
          <w:lang w:eastAsia="zh-CN"/>
        </w:rPr>
        <w:instrText xml:space="preserve"> ADDIN EN.CITE &lt;EndNote&gt;&lt;Cite AuthorYear="1"&gt;&lt;Author&gt;Wang&lt;/Author&gt;&lt;Year&gt;2020&lt;/Year&gt;&lt;RecNum&gt;56&lt;/RecNum&gt;&lt;DisplayText&gt;Wang et al. (2020)&lt;/DisplayText&gt;&lt;record&gt;&lt;rec-number&gt;56&lt;/rec-number&gt;&lt;foreign-keys&gt;&lt;key app="EN" db-id="9eex0vav2wexe8etpdrxdfw4rpzw909d0sft" timestamp="1754752168"&gt;56&lt;/key&gt;&lt;/foreign-keys&gt;&lt;ref-type name="Journal Article"&gt;17&lt;/ref-type&gt;&lt;contributors&gt;&lt;authors&gt;&lt;author&gt;Wang, Lu&lt;/author&gt;&lt;author&gt;Ma, Feng&lt;/author&gt;&lt;author&gt;Liu, Jing&lt;/author&gt;&lt;author&gt;Yang, Lin&lt;/author&gt;&lt;/authors&gt;&lt;/contributors&gt;&lt;titles&gt;&lt;title&gt;Forecasting stock price volatility: New evidence from the GARCH-MIDAS model&lt;/title&gt;&lt;secondary-title&gt;International Journal of Forecasting&lt;/secondary-title&gt;&lt;/titles&gt;&lt;periodical&gt;&lt;full-title&gt;International Journal of Forecasting&lt;/full-title&gt;&lt;/periodical&gt;&lt;pages&gt;684-694&lt;/pages&gt;&lt;volume&gt;36&lt;/volume&gt;&lt;number&gt;2&lt;/number&gt;&lt;keywords&gt;&lt;keyword&gt;Stock market&lt;/keyword&gt;&lt;keyword&gt;GARCH-MIDAS&lt;/keyword&gt;&lt;keyword&gt;Out-of-sample forecasts&lt;/keyword&gt;&lt;keyword&gt;Volatility forecasting&lt;/keyword&gt;&lt;keyword&gt;Forecasting evaluation&lt;/keyword&gt;&lt;/keywords&gt;&lt;dates&gt;&lt;year&gt;2020&lt;/year&gt;&lt;pub-dates&gt;&lt;date&gt;2020/04/01/&lt;/date&gt;&lt;/pub-dates&gt;&lt;/dates&gt;&lt;isbn&gt;0169-2070&lt;/isbn&gt;&lt;urls&gt;&lt;related-urls&gt;&lt;url&gt;https://www.sciencedirect.com/science/article/pii/S0169207019302298&lt;/url&gt;&lt;/related-urls&gt;&lt;/urls&gt;&lt;electronic-resource-num&gt;https://doi.org/10.1016/j.ijforecast.2019.08.005&lt;/electronic-resource-num&gt;&lt;/record&gt;&lt;/Cite&gt;&lt;/EndNote&gt;</w:instrText>
      </w:r>
      <w:r w:rsidRPr="00AB3CC7">
        <w:rPr>
          <w:rFonts w:ascii="Times New Roman" w:hAnsi="Times New Roman" w:cs="Times New Roman"/>
          <w:lang w:eastAsia="zh-CN"/>
        </w:rPr>
        <w:fldChar w:fldCharType="separate"/>
      </w:r>
      <w:r w:rsidRPr="00AB3CC7">
        <w:rPr>
          <w:rFonts w:ascii="Times New Roman" w:hAnsi="Times New Roman" w:cs="Times New Roman"/>
          <w:noProof/>
          <w:lang w:eastAsia="zh-CN"/>
        </w:rPr>
        <w:t>Wang et al. (2020)</w:t>
      </w:r>
      <w:r w:rsidRPr="00AB3CC7">
        <w:rPr>
          <w:rFonts w:ascii="Times New Roman" w:hAnsi="Times New Roman" w:cs="Times New Roman"/>
          <w:lang w:eastAsia="zh-CN"/>
        </w:rPr>
        <w:fldChar w:fldCharType="end"/>
      </w:r>
      <w:r w:rsidRPr="00AB3CC7">
        <w:rPr>
          <w:rFonts w:ascii="Times New Roman" w:hAnsi="Times New Roman" w:cs="Times New Roman"/>
          <w:lang w:eastAsia="zh-CN"/>
        </w:rPr>
        <w:t xml:space="preserve"> demonstrate that setting the threshold to 0.10 aids in selecting the best model. Hence, </w:t>
      </w:r>
      <w:r w:rsidR="002E3401">
        <w:rPr>
          <w:rFonts w:ascii="Times New Roman" w:hAnsi="Times New Roman" w:cs="Times New Roman" w:hint="eastAsia"/>
          <w:lang w:eastAsia="zh-CN"/>
        </w:rPr>
        <w:t>th</w:t>
      </w:r>
      <w:r w:rsidR="002E3401">
        <w:rPr>
          <w:rFonts w:ascii="Times New Roman" w:hAnsi="Times New Roman" w:cs="Times New Roman"/>
          <w:lang w:eastAsia="zh-CN"/>
        </w:rPr>
        <w:t>is study</w:t>
      </w:r>
      <w:r w:rsidRPr="00AB3CC7">
        <w:rPr>
          <w:rFonts w:ascii="Times New Roman" w:hAnsi="Times New Roman" w:cs="Times New Roman"/>
          <w:lang w:eastAsia="zh-CN"/>
        </w:rPr>
        <w:t xml:space="preserve"> choose</w:t>
      </w:r>
      <w:r w:rsidR="002E3401">
        <w:rPr>
          <w:rFonts w:ascii="Times New Roman" w:hAnsi="Times New Roman" w:cs="Times New Roman" w:hint="eastAsia"/>
          <w:lang w:eastAsia="zh-CN"/>
        </w:rPr>
        <w:t>s</w:t>
      </w:r>
      <w:r w:rsidRPr="00AB3CC7">
        <w:rPr>
          <w:rFonts w:ascii="Times New Roman" w:hAnsi="Times New Roman" w:cs="Times New Roman"/>
          <w:lang w:eastAsia="zh-CN"/>
        </w:rPr>
        <w:t xml:space="preserve"> to set the p-value for the MCS to 0.10.</w:t>
      </w:r>
      <w:r w:rsidR="00D336B1" w:rsidRPr="00AB3CC7">
        <w:rPr>
          <w:rFonts w:ascii="Times New Roman" w:hAnsi="Times New Roman" w:cs="Times New Roman"/>
          <w:lang w:eastAsia="zh-CN"/>
        </w:rPr>
        <w:t xml:space="preserve"> The p-values are determined from 10000 block bootstraps.</w:t>
      </w:r>
    </w:p>
    <w:p w:rsidR="00DA2D05" w:rsidRPr="0092014F" w:rsidRDefault="0092014F" w:rsidP="0092014F">
      <w:pPr>
        <w:pStyle w:val="MDPI22heading2"/>
        <w:spacing w:before="240"/>
        <w:ind w:left="0"/>
        <w:rPr>
          <w:rFonts w:ascii="Times New Roman" w:hAnsi="Times New Roman"/>
          <w:b/>
          <w:bCs/>
          <w:color w:val="000000" w:themeColor="text1"/>
          <w:sz w:val="22"/>
          <w:szCs w:val="28"/>
          <w:lang w:eastAsia="zh-CN"/>
        </w:rPr>
      </w:pPr>
      <w:r w:rsidRPr="00655AEB">
        <w:rPr>
          <w:rFonts w:ascii="Times New Roman" w:hAnsi="Times New Roman"/>
          <w:b/>
          <w:bCs/>
          <w:color w:val="000000" w:themeColor="text1"/>
          <w:sz w:val="22"/>
          <w:szCs w:val="28"/>
          <w:lang w:eastAsia="zh-CN"/>
        </w:rPr>
        <w:t xml:space="preserve">Diebold and Mariano (DM) </w:t>
      </w:r>
      <w:r w:rsidRPr="00655AEB">
        <w:rPr>
          <w:rFonts w:ascii="Times New Roman" w:hAnsi="Times New Roman" w:hint="eastAsia"/>
          <w:b/>
          <w:bCs/>
          <w:color w:val="000000" w:themeColor="text1"/>
          <w:sz w:val="22"/>
          <w:szCs w:val="28"/>
          <w:lang w:eastAsia="zh-CN"/>
        </w:rPr>
        <w:t>T</w:t>
      </w:r>
      <w:r w:rsidRPr="00655AEB">
        <w:rPr>
          <w:rFonts w:ascii="Times New Roman" w:hAnsi="Times New Roman"/>
          <w:b/>
          <w:bCs/>
          <w:color w:val="000000" w:themeColor="text1"/>
          <w:sz w:val="22"/>
          <w:szCs w:val="28"/>
          <w:lang w:eastAsia="zh-CN"/>
        </w:rPr>
        <w:t>est</w:t>
      </w:r>
    </w:p>
    <w:p w:rsidR="0092014F" w:rsidRPr="00016468" w:rsidRDefault="0092014F" w:rsidP="002E3401">
      <w:pPr>
        <w:ind w:firstLine="420"/>
        <w:rPr>
          <w:rFonts w:ascii="Times New Roman" w:hAnsi="Times New Roman" w:cs="Times New Roman"/>
          <w:lang w:eastAsia="zh-CN"/>
        </w:rPr>
      </w:pPr>
      <w:r w:rsidRPr="00A6051A">
        <w:rPr>
          <w:rFonts w:ascii="Times New Roman" w:hAnsi="Times New Roman" w:cs="Times New Roman"/>
          <w:lang w:eastAsia="zh-CN"/>
        </w:rPr>
        <w:t xml:space="preserve">Next, </w:t>
      </w:r>
      <w:r w:rsidR="002E3401">
        <w:rPr>
          <w:rFonts w:ascii="Times New Roman" w:hAnsi="Times New Roman" w:cs="Times New Roman"/>
          <w:lang w:eastAsia="zh-CN"/>
        </w:rPr>
        <w:t>this study</w:t>
      </w:r>
      <w:r w:rsidRPr="00A6051A">
        <w:rPr>
          <w:rFonts w:ascii="Times New Roman" w:hAnsi="Times New Roman" w:cs="Times New Roman"/>
          <w:lang w:eastAsia="zh-CN"/>
        </w:rPr>
        <w:t xml:space="preserve"> compar</w:t>
      </w:r>
      <w:r>
        <w:rPr>
          <w:rFonts w:ascii="Times New Roman" w:hAnsi="Times New Roman" w:cs="Times New Roman"/>
          <w:lang w:eastAsia="zh-CN"/>
        </w:rPr>
        <w:t>e</w:t>
      </w:r>
      <w:r w:rsidR="002E3401">
        <w:rPr>
          <w:rFonts w:ascii="Times New Roman" w:hAnsi="Times New Roman" w:cs="Times New Roman"/>
          <w:lang w:eastAsia="zh-CN"/>
        </w:rPr>
        <w:t>s</w:t>
      </w:r>
      <w:r w:rsidRPr="00A6051A">
        <w:rPr>
          <w:rFonts w:ascii="Times New Roman" w:hAnsi="Times New Roman" w:cs="Times New Roman"/>
          <w:lang w:eastAsia="zh-CN"/>
        </w:rPr>
        <w:t xml:space="preserve"> the predictive accuracy of two models using the Diebold and Mariano (DM) te</w:t>
      </w:r>
      <w:r w:rsidRPr="00AB3CC7">
        <w:rPr>
          <w:rFonts w:ascii="Times New Roman" w:hAnsi="Times New Roman" w:cs="Times New Roman"/>
          <w:lang w:eastAsia="zh-CN"/>
        </w:rPr>
        <w:t>st</w:t>
      </w:r>
      <w:r w:rsidRPr="00AB3CC7">
        <w:rPr>
          <w:rFonts w:ascii="Times New Roman" w:hAnsi="Times New Roman" w:cs="Times New Roman" w:hint="eastAsia"/>
          <w:lang w:eastAsia="zh-CN"/>
        </w:rPr>
        <w:t xml:space="preserve"> </w:t>
      </w:r>
      <w:r w:rsidRPr="00AB3CC7">
        <w:rPr>
          <w:rFonts w:ascii="Times New Roman" w:hAnsi="Times New Roman" w:cs="Times New Roman"/>
          <w:lang w:eastAsia="zh-CN"/>
        </w:rPr>
        <w:fldChar w:fldCharType="begin"/>
      </w:r>
      <w:r w:rsidR="00717B72">
        <w:rPr>
          <w:rFonts w:ascii="Times New Roman" w:hAnsi="Times New Roman" w:cs="Times New Roman"/>
          <w:lang w:eastAsia="zh-CN"/>
        </w:rPr>
        <w:instrText xml:space="preserve"> ADDIN EN.CITE &lt;EndNote&gt;&lt;Cite&gt;&lt;Author&gt;Diebold&lt;/Author&gt;&lt;Year&gt;2002&lt;/Year&gt;&lt;RecNum&gt;17&lt;/RecNum&gt;&lt;DisplayText&gt;(Diebold &amp;amp; Mariano, 2002)&lt;/DisplayText&gt;&lt;record&gt;&lt;rec-number&gt;17&lt;/rec-number&gt;&lt;foreign-keys&gt;&lt;key app="EN" db-id="9eex0vav2wexe8etpdrxdfw4rpzw909d0sft" timestamp="1754737330"&gt;17&lt;/key&gt;&lt;/foreign-keys&gt;&lt;ref-type name="Journal Article"&gt;17&lt;/ref-type&gt;&lt;contributors&gt;&lt;authors&gt;&lt;author&gt;Diebold, Francis X.&lt;/author&gt;&lt;author&gt;Mariano, Robert S.&lt;/author&gt;&lt;/authors&gt;&lt;/contributors&gt;&lt;titles&gt;&lt;title&gt;Comparing Predictive Accuracy&lt;/title&gt;&lt;secondary-title&gt;Journal of Business &amp;amp; Economic Statistics&lt;/secondary-title&gt;&lt;/titles&gt;&lt;periodical&gt;&lt;full-title&gt;Journal of Business &amp;amp; Economic Statistics&lt;/full-title&gt;&lt;/periodical&gt;&lt;pages&gt;134-144&lt;/pages&gt;&lt;volume&gt;20&lt;/volume&gt;&lt;number&gt;1&lt;/number&gt;&lt;dates&gt;&lt;year&gt;2002&lt;/year&gt;&lt;pub-dates&gt;&lt;date&gt;2002/01/01&lt;/date&gt;&lt;/pub-dates&gt;&lt;/dates&gt;&lt;publisher&gt;ASA Website&lt;/publisher&gt;&lt;isbn&gt;0735-0015&lt;/isbn&gt;&lt;urls&gt;&lt;related-urls&gt;&lt;url&gt;https://doi.org/10.1198/073500102753410444&lt;/url&gt;&lt;/related-urls&gt;&lt;/urls&gt;&lt;electronic-resource-num&gt;https://doi.org/10.1198/073500102753410444&lt;/electronic-resource-num&gt;&lt;/record&gt;&lt;/Cite&gt;&lt;/EndNote&gt;</w:instrText>
      </w:r>
      <w:r w:rsidRPr="00AB3CC7">
        <w:rPr>
          <w:rFonts w:ascii="Times New Roman" w:hAnsi="Times New Roman" w:cs="Times New Roman"/>
          <w:lang w:eastAsia="zh-CN"/>
        </w:rPr>
        <w:fldChar w:fldCharType="separate"/>
      </w:r>
      <w:r w:rsidRPr="00AB3CC7">
        <w:rPr>
          <w:rFonts w:ascii="Times New Roman" w:hAnsi="Times New Roman" w:cs="Times New Roman"/>
          <w:noProof/>
          <w:lang w:eastAsia="zh-CN"/>
        </w:rPr>
        <w:t>(Diebold &amp; Mariano, 2002)</w:t>
      </w:r>
      <w:r w:rsidRPr="00AB3CC7">
        <w:rPr>
          <w:rFonts w:ascii="Times New Roman" w:hAnsi="Times New Roman" w:cs="Times New Roman"/>
          <w:lang w:eastAsia="zh-CN"/>
        </w:rPr>
        <w:fldChar w:fldCharType="end"/>
      </w:r>
      <w:r w:rsidRPr="00AB3CC7">
        <w:rPr>
          <w:rFonts w:ascii="Times New Roman" w:hAnsi="Times New Roman" w:cs="Times New Roman"/>
          <w:lang w:eastAsia="zh-CN"/>
        </w:rPr>
        <w:t>, whi</w:t>
      </w:r>
      <w:r w:rsidRPr="00A6051A">
        <w:rPr>
          <w:rFonts w:ascii="Times New Roman" w:hAnsi="Times New Roman" w:cs="Times New Roman"/>
          <w:lang w:eastAsia="zh-CN"/>
        </w:rPr>
        <w:t>ch evaluates the predictive ability of two models. The null hypothesis of the DM test assumes that both forecasting models possess an equal predictive ability. Hence, if the p-value is less than the significance level, the null hypothesis</w:t>
      </w:r>
      <w:r w:rsidR="002E3401">
        <w:rPr>
          <w:rFonts w:ascii="Times New Roman" w:hAnsi="Times New Roman" w:cs="Times New Roman"/>
          <w:lang w:eastAsia="zh-CN"/>
        </w:rPr>
        <w:t xml:space="preserve"> is rejected</w:t>
      </w:r>
      <w:r w:rsidRPr="00A6051A">
        <w:rPr>
          <w:rFonts w:ascii="Times New Roman" w:hAnsi="Times New Roman" w:cs="Times New Roman"/>
          <w:lang w:eastAsia="zh-CN"/>
        </w:rPr>
        <w:t>,</w:t>
      </w:r>
      <w:r w:rsidR="002E3401" w:rsidRPr="002E3401">
        <w:rPr>
          <w:rFonts w:ascii="Times New Roman" w:hAnsi="Times New Roman" w:cs="Times New Roman"/>
          <w:lang w:eastAsia="zh-CN"/>
        </w:rPr>
        <w:t xml:space="preserve"> indicating a statistically significant difference in predictive performance.</w:t>
      </w:r>
      <m:oMath>
        <m:eqArr>
          <m:eqArrPr>
            <m:maxDist m:val="1"/>
            <m:ctrlPr>
              <w:rPr>
                <w:rFonts w:ascii="Cambria Math" w:eastAsia="Malgun Gothic" w:hAnsi="Cambria Math" w:cs="宋体"/>
                <w:i/>
                <w:color w:val="000000" w:themeColor="text1"/>
              </w:rPr>
            </m:ctrlPr>
          </m:eqArrPr>
          <m:e>
            <m:r>
              <w:rPr>
                <w:rFonts w:ascii="Cambria Math" w:eastAsia="宋体" w:hAnsi="Cambria Math" w:cs="Times New Roman"/>
                <w:lang w:eastAsia="zh-CN"/>
              </w:rPr>
              <m:t>DM=</m:t>
            </m:r>
            <m:f>
              <m:fPr>
                <m:ctrlPr>
                  <w:rPr>
                    <w:rFonts w:ascii="Cambria Math" w:eastAsia="宋体" w:hAnsi="Cambria Math" w:cs="Times New Roman"/>
                    <w:i/>
                    <w:color w:val="000000" w:themeColor="text1"/>
                  </w:rPr>
                </m:ctrlPr>
              </m:fPr>
              <m:num>
                <m:acc>
                  <m:accPr>
                    <m:chr m:val="̅"/>
                    <m:ctrlPr>
                      <w:rPr>
                        <w:rFonts w:ascii="Cambria Math" w:eastAsia="宋体" w:hAnsi="Cambria Math" w:cs="Times New Roman"/>
                        <w:i/>
                        <w:color w:val="000000" w:themeColor="text1"/>
                      </w:rPr>
                    </m:ctrlPr>
                  </m:accPr>
                  <m:e>
                    <m:r>
                      <w:rPr>
                        <w:rFonts w:ascii="Cambria Math" w:eastAsia="宋体" w:hAnsi="Cambria Math" w:cs="Times New Roman"/>
                        <w:color w:val="000000" w:themeColor="text1"/>
                      </w:rPr>
                      <m:t>d</m:t>
                    </m:r>
                  </m:e>
                </m:acc>
                <m:ctrlPr>
                  <w:rPr>
                    <w:rFonts w:ascii="Cambria Math" w:eastAsia="宋体" w:hAnsi="Cambria Math" w:cs="Times New Roman"/>
                    <w:i/>
                    <w:lang w:eastAsia="zh-CN"/>
                  </w:rPr>
                </m:ctrlPr>
              </m:num>
              <m:den>
                <m:rad>
                  <m:radPr>
                    <m:degHide m:val="1"/>
                    <m:ctrlPr>
                      <w:rPr>
                        <w:rFonts w:ascii="Cambria Math" w:eastAsia="宋体" w:hAnsi="Cambria Math" w:cs="Times New Roman"/>
                        <w:i/>
                        <w:color w:val="000000" w:themeColor="text1"/>
                      </w:rPr>
                    </m:ctrlPr>
                  </m:radPr>
                  <m:deg/>
                  <m:e>
                    <m:r>
                      <w:rPr>
                        <w:rFonts w:ascii="Cambria Math" w:eastAsia="宋体" w:hAnsi="Cambria Math" w:cs="Times New Roman"/>
                        <w:color w:val="000000" w:themeColor="text1"/>
                      </w:rPr>
                      <m:t>var</m:t>
                    </m:r>
                    <m:d>
                      <m:dPr>
                        <m:ctrlPr>
                          <w:rPr>
                            <w:rFonts w:ascii="Cambria Math" w:eastAsia="宋体" w:hAnsi="Cambria Math" w:cs="Times New Roman"/>
                            <w:i/>
                            <w:color w:val="000000" w:themeColor="text1"/>
                          </w:rPr>
                        </m:ctrlPr>
                      </m:dPr>
                      <m:e>
                        <m:sSub>
                          <m:sSubPr>
                            <m:ctrlPr>
                              <w:rPr>
                                <w:rFonts w:ascii="Cambria Math" w:eastAsia="宋体" w:hAnsi="Cambria Math" w:cs="Times New Roman"/>
                                <w:i/>
                                <w:color w:val="000000" w:themeColor="text1"/>
                              </w:rPr>
                            </m:ctrlPr>
                          </m:sSubPr>
                          <m:e>
                            <m:r>
                              <w:rPr>
                                <w:rFonts w:ascii="Cambria Math" w:eastAsia="宋体" w:hAnsi="Cambria Math" w:cs="Times New Roman"/>
                                <w:color w:val="000000" w:themeColor="text1"/>
                              </w:rPr>
                              <m:t>d</m:t>
                            </m:r>
                          </m:e>
                          <m:sub>
                            <m:r>
                              <w:rPr>
                                <w:rFonts w:ascii="Cambria Math" w:eastAsia="宋体" w:hAnsi="Cambria Math" w:cs="Times New Roman"/>
                                <w:color w:val="000000" w:themeColor="text1"/>
                              </w:rPr>
                              <m:t>s</m:t>
                            </m:r>
                          </m:sub>
                        </m:sSub>
                      </m:e>
                    </m:d>
                  </m:e>
                </m:rad>
              </m:den>
            </m:f>
            <m:r>
              <w:rPr>
                <w:rFonts w:ascii="Cambria Math" w:eastAsia="宋体" w:hAnsi="Cambria Math" w:cs="Times New Roman"/>
                <w:color w:val="000000" w:themeColor="text1"/>
              </w:rPr>
              <m:t>~N</m:t>
            </m:r>
            <m:d>
              <m:dPr>
                <m:ctrlPr>
                  <w:rPr>
                    <w:rFonts w:ascii="Cambria Math" w:eastAsia="宋体" w:hAnsi="Cambria Math" w:cs="Times New Roman"/>
                    <w:i/>
                    <w:color w:val="000000" w:themeColor="text1"/>
                  </w:rPr>
                </m:ctrlPr>
              </m:dPr>
              <m:e>
                <m:r>
                  <w:rPr>
                    <w:rFonts w:ascii="Cambria Math" w:eastAsia="宋体" w:hAnsi="Cambria Math" w:cs="Times New Roman"/>
                    <w:color w:val="000000" w:themeColor="text1"/>
                  </w:rPr>
                  <m:t>0,1</m:t>
                </m:r>
              </m:e>
            </m:d>
            <m:r>
              <w:rPr>
                <w:rFonts w:ascii="Cambria Math" w:eastAsia="宋体" w:hAnsi="Cambria Math" w:cs="Times New Roman"/>
                <w:color w:val="000000" w:themeColor="text1"/>
              </w:rPr>
              <m:t xml:space="preserve">, </m:t>
            </m:r>
            <m:sSub>
              <m:sSubPr>
                <m:ctrlPr>
                  <w:rPr>
                    <w:rFonts w:ascii="Cambria Math" w:eastAsia="宋体" w:hAnsi="Cambria Math" w:cs="Times New Roman"/>
                    <w:i/>
                    <w:color w:val="000000" w:themeColor="text1"/>
                  </w:rPr>
                </m:ctrlPr>
              </m:sSubPr>
              <m:e>
                <m:r>
                  <w:rPr>
                    <w:rFonts w:ascii="Cambria Math" w:eastAsia="宋体" w:hAnsi="Cambria Math" w:cs="Times New Roman"/>
                    <w:color w:val="000000" w:themeColor="text1"/>
                  </w:rPr>
                  <m:t>d</m:t>
                </m:r>
              </m:e>
              <m:sub>
                <m:r>
                  <w:rPr>
                    <w:rFonts w:ascii="Cambria Math" w:eastAsia="宋体" w:hAnsi="Cambria Math" w:cs="Times New Roman"/>
                    <w:color w:val="000000" w:themeColor="text1"/>
                  </w:rPr>
                  <m:t>s</m:t>
                </m:r>
              </m:sub>
            </m:sSub>
            <m:r>
              <w:rPr>
                <w:rFonts w:ascii="Cambria Math" w:eastAsia="宋体" w:hAnsi="Cambria Math" w:cs="Times New Roman"/>
                <w:color w:val="000000" w:themeColor="text1"/>
              </w:rPr>
              <m:t>=</m:t>
            </m:r>
            <m:sSubSup>
              <m:sSubSupPr>
                <m:ctrlPr>
                  <w:rPr>
                    <w:rFonts w:ascii="Cambria Math" w:eastAsia="宋体" w:hAnsi="Cambria Math" w:cs="Times New Roman"/>
                    <w:i/>
                    <w:color w:val="000000" w:themeColor="text1"/>
                  </w:rPr>
                </m:ctrlPr>
              </m:sSubSupPr>
              <m:e>
                <m:r>
                  <w:rPr>
                    <w:rFonts w:ascii="Cambria Math" w:eastAsia="宋体" w:hAnsi="Cambria Math" w:cs="Times New Roman"/>
                    <w:color w:val="000000" w:themeColor="text1"/>
                  </w:rPr>
                  <m:t>E</m:t>
                </m:r>
              </m:e>
              <m:sub>
                <m:r>
                  <w:rPr>
                    <w:rFonts w:ascii="Cambria Math" w:eastAsia="宋体" w:hAnsi="Cambria Math" w:cs="Times New Roman"/>
                    <w:color w:val="000000" w:themeColor="text1"/>
                  </w:rPr>
                  <m:t>a,s</m:t>
                </m:r>
              </m:sub>
              <m:sup>
                <m:r>
                  <w:rPr>
                    <w:rFonts w:ascii="Cambria Math" w:eastAsia="宋体" w:hAnsi="Cambria Math" w:cs="Times New Roman"/>
                    <w:color w:val="000000" w:themeColor="text1"/>
                  </w:rPr>
                  <m:t>2</m:t>
                </m:r>
              </m:sup>
            </m:sSubSup>
            <m:r>
              <w:rPr>
                <w:rFonts w:ascii="Cambria Math" w:eastAsia="宋体" w:hAnsi="Cambria Math" w:cs="Times New Roman"/>
                <w:color w:val="000000" w:themeColor="text1"/>
              </w:rPr>
              <m:t>-</m:t>
            </m:r>
            <m:sSubSup>
              <m:sSubSupPr>
                <m:ctrlPr>
                  <w:rPr>
                    <w:rFonts w:ascii="Cambria Math" w:eastAsia="宋体" w:hAnsi="Cambria Math" w:cs="Times New Roman"/>
                    <w:i/>
                    <w:color w:val="000000" w:themeColor="text1"/>
                  </w:rPr>
                </m:ctrlPr>
              </m:sSubSupPr>
              <m:e>
                <m:r>
                  <w:rPr>
                    <w:rFonts w:ascii="Cambria Math" w:eastAsia="宋体" w:hAnsi="Cambria Math" w:cs="Times New Roman"/>
                    <w:color w:val="000000" w:themeColor="text1"/>
                  </w:rPr>
                  <m:t>E</m:t>
                </m:r>
              </m:e>
              <m:sub>
                <m:r>
                  <w:rPr>
                    <w:rFonts w:ascii="Cambria Math" w:eastAsia="宋体" w:hAnsi="Cambria Math" w:cs="Times New Roman"/>
                    <w:color w:val="000000" w:themeColor="text1"/>
                  </w:rPr>
                  <m:t>b,s</m:t>
                </m:r>
              </m:sub>
              <m:sup>
                <m:r>
                  <w:rPr>
                    <w:rFonts w:ascii="Cambria Math" w:eastAsia="宋体" w:hAnsi="Cambria Math" w:cs="Times New Roman"/>
                    <w:color w:val="000000" w:themeColor="text1"/>
                  </w:rPr>
                  <m:t>2</m:t>
                </m:r>
              </m:sup>
            </m:sSubSup>
            <m:r>
              <w:rPr>
                <w:rFonts w:ascii="Cambria Math" w:eastAsia="宋体" w:hAnsi="Cambria Math" w:cs="Times New Roman"/>
                <w:lang w:eastAsia="zh-CN"/>
              </w:rPr>
              <m:t>#</m:t>
            </m:r>
            <m:d>
              <m:dPr>
                <m:ctrlPr>
                  <w:rPr>
                    <w:rFonts w:ascii="Cambria Math" w:eastAsia="Malgun Gothic" w:hAnsi="Cambria Math" w:cs="宋体"/>
                    <w:i/>
                    <w:color w:val="000000" w:themeColor="text1"/>
                  </w:rPr>
                </m:ctrlPr>
              </m:dPr>
              <m:e>
                <m:r>
                  <w:rPr>
                    <w:rFonts w:ascii="Cambria Math" w:eastAsia="Malgun Gothic" w:hAnsi="Cambria Math" w:cs="宋体"/>
                    <w:color w:val="000000" w:themeColor="text1"/>
                  </w:rPr>
                  <m:t>A4</m:t>
                </m:r>
              </m:e>
            </m:d>
            <m:ctrlPr>
              <w:rPr>
                <w:rFonts w:ascii="Cambria Math" w:eastAsia="宋体" w:hAnsi="Cambria Math" w:cs="Times New Roman"/>
                <w:i/>
                <w:lang w:eastAsia="zh-CN"/>
              </w:rPr>
            </m:ctrlPr>
          </m:e>
        </m:eqArr>
      </m:oMath>
    </w:p>
    <w:p w:rsidR="0092014F" w:rsidRPr="00016468" w:rsidRDefault="0092014F" w:rsidP="0092014F">
      <w:pPr>
        <w:spacing w:line="276" w:lineRule="auto"/>
        <w:jc w:val="right"/>
        <w:rPr>
          <w:rFonts w:ascii="Times New Roman" w:hAnsi="Times New Roman" w:cs="Times New Roman"/>
          <w:color w:val="000000" w:themeColor="text1"/>
        </w:rPr>
      </w:pPr>
    </w:p>
    <w:p w:rsidR="0092014F" w:rsidRDefault="00000000" w:rsidP="0092014F">
      <w:pPr>
        <w:rPr>
          <w:rFonts w:ascii="Times New Roman" w:hAnsi="Times New Roman" w:cs="Times New Roman"/>
          <w:lang w:eastAsia="zh-CN"/>
        </w:rPr>
      </w:pPr>
      <m:oMath>
        <m:sSub>
          <m:sSubPr>
            <m:ctrlPr>
              <w:rPr>
                <w:rFonts w:ascii="Cambria Math" w:eastAsia="宋体" w:hAnsi="Cambria Math" w:cs="宋体"/>
                <w:i/>
                <w:lang w:eastAsia="zh-CN"/>
              </w:rPr>
            </m:ctrlPr>
          </m:sSubPr>
          <m:e>
            <m:r>
              <w:rPr>
                <w:rFonts w:ascii="Cambria Math" w:eastAsia="宋体" w:hAnsi="Cambria Math" w:cs="宋体"/>
                <w:lang w:eastAsia="zh-CN"/>
              </w:rPr>
              <m:t>E</m:t>
            </m:r>
          </m:e>
          <m:sub>
            <m:r>
              <w:rPr>
                <w:rFonts w:ascii="Cambria Math" w:eastAsia="宋体" w:hAnsi="Cambria Math" w:cs="宋体"/>
                <w:lang w:eastAsia="zh-CN"/>
              </w:rPr>
              <m:t>a,s</m:t>
            </m:r>
          </m:sub>
        </m:sSub>
      </m:oMath>
      <w:r w:rsidR="0092014F" w:rsidRPr="00242B0D">
        <w:rPr>
          <w:rFonts w:ascii="Times New Roman" w:hAnsi="Times New Roman" w:cs="Times New Roman"/>
          <w:lang w:eastAsia="zh-CN"/>
        </w:rPr>
        <w:t xml:space="preserve"> and </w:t>
      </w:r>
      <m:oMath>
        <m:sSub>
          <m:sSubPr>
            <m:ctrlPr>
              <w:rPr>
                <w:rFonts w:ascii="Cambria Math" w:eastAsia="宋体" w:hAnsi="Cambria Math" w:cs="宋体"/>
                <w:i/>
                <w:lang w:eastAsia="zh-CN"/>
              </w:rPr>
            </m:ctrlPr>
          </m:sSubPr>
          <m:e>
            <m:r>
              <w:rPr>
                <w:rFonts w:ascii="Cambria Math" w:eastAsia="宋体" w:hAnsi="Cambria Math" w:cs="宋体"/>
                <w:lang w:eastAsia="zh-CN"/>
              </w:rPr>
              <m:t>E</m:t>
            </m:r>
          </m:e>
          <m:sub>
            <m:r>
              <w:rPr>
                <w:rFonts w:ascii="Cambria Math" w:eastAsia="宋体" w:hAnsi="Cambria Math" w:cs="宋体"/>
                <w:lang w:eastAsia="zh-CN"/>
              </w:rPr>
              <m:t>b,s</m:t>
            </m:r>
          </m:sub>
        </m:sSub>
      </m:oMath>
      <w:r w:rsidR="0092014F" w:rsidRPr="00242B0D">
        <w:rPr>
          <w:rFonts w:ascii="Times New Roman" w:hAnsi="Times New Roman" w:cs="Times New Roman"/>
          <w:lang w:eastAsia="zh-CN"/>
        </w:rPr>
        <w:t xml:space="preserve"> represent the prediction errors of models a and b, respectively. </w:t>
      </w:r>
      <m:oMath>
        <m:acc>
          <m:accPr>
            <m:chr m:val="̅"/>
            <m:ctrlPr>
              <w:rPr>
                <w:rFonts w:ascii="Cambria Math" w:eastAsia="宋体" w:hAnsi="Cambria Math" w:cs="Cambria"/>
                <w:i/>
                <w:color w:val="000000" w:themeColor="text1"/>
              </w:rPr>
            </m:ctrlPr>
          </m:accPr>
          <m:e>
            <m:r>
              <w:rPr>
                <w:rFonts w:ascii="Cambria Math" w:eastAsia="宋体" w:hAnsi="Cambria Math" w:cs="Cambria"/>
                <w:color w:val="000000" w:themeColor="text1"/>
                <w:lang w:eastAsia="zh-CN"/>
              </w:rPr>
              <m:t>d</m:t>
            </m:r>
          </m:e>
        </m:acc>
      </m:oMath>
      <w:r w:rsidR="0092014F" w:rsidRPr="00242B0D">
        <w:rPr>
          <w:rFonts w:ascii="Times New Roman" w:hAnsi="Times New Roman" w:cs="Times New Roman"/>
          <w:lang w:eastAsia="zh-CN"/>
        </w:rPr>
        <w:t xml:space="preserve"> denotes the average value of the time series </w:t>
      </w:r>
      <m:oMath>
        <m:sSub>
          <m:sSubPr>
            <m:ctrlPr>
              <w:rPr>
                <w:rFonts w:ascii="Cambria Math" w:eastAsia="宋体" w:hAnsi="Cambria Math" w:cs="Cambria"/>
                <w:i/>
                <w:color w:val="000000" w:themeColor="text1"/>
              </w:rPr>
            </m:ctrlPr>
          </m:sSubPr>
          <m:e>
            <m:r>
              <w:rPr>
                <w:rFonts w:ascii="Cambria Math" w:eastAsia="宋体" w:hAnsi="Cambria Math" w:cs="Cambria"/>
                <w:color w:val="000000" w:themeColor="text1"/>
                <w:lang w:eastAsia="zh-CN"/>
              </w:rPr>
              <m:t>d</m:t>
            </m:r>
          </m:e>
          <m:sub>
            <m:r>
              <w:rPr>
                <w:rFonts w:ascii="Cambria Math" w:eastAsia="宋体" w:hAnsi="Cambria Math" w:cs="Cambria"/>
                <w:color w:val="000000" w:themeColor="text1"/>
                <w:lang w:eastAsia="zh-CN"/>
              </w:rPr>
              <m:t>s</m:t>
            </m:r>
          </m:sub>
        </m:sSub>
      </m:oMath>
      <w:r w:rsidR="0092014F" w:rsidRPr="00242B0D">
        <w:rPr>
          <w:rFonts w:ascii="Times New Roman" w:hAnsi="Times New Roman" w:cs="Times New Roman"/>
          <w:lang w:eastAsia="zh-CN"/>
        </w:rPr>
        <w:t xml:space="preserve">, while </w:t>
      </w:r>
      <m:oMath>
        <m:r>
          <w:rPr>
            <w:rFonts w:ascii="Cambria Math" w:eastAsia="宋体" w:hAnsi="Cambria Math" w:cs="Cambria"/>
            <w:color w:val="000000" w:themeColor="text1"/>
            <w:lang w:eastAsia="zh-CN"/>
          </w:rPr>
          <m:t>var(</m:t>
        </m:r>
        <m:sSub>
          <m:sSubPr>
            <m:ctrlPr>
              <w:rPr>
                <w:rFonts w:ascii="Cambria Math" w:eastAsia="宋体" w:hAnsi="Cambria Math" w:cs="Cambria"/>
                <w:i/>
                <w:color w:val="000000" w:themeColor="text1"/>
              </w:rPr>
            </m:ctrlPr>
          </m:sSubPr>
          <m:e>
            <m:r>
              <w:rPr>
                <w:rFonts w:ascii="Cambria Math" w:eastAsia="宋体" w:hAnsi="Cambria Math" w:cs="Cambria"/>
                <w:color w:val="000000" w:themeColor="text1"/>
                <w:lang w:eastAsia="zh-CN"/>
              </w:rPr>
              <m:t>d</m:t>
            </m:r>
          </m:e>
          <m:sub>
            <m:r>
              <w:rPr>
                <w:rFonts w:ascii="Cambria Math" w:eastAsia="宋体" w:hAnsi="Cambria Math" w:cs="Cambria"/>
                <w:color w:val="000000" w:themeColor="text1"/>
                <w:lang w:eastAsia="zh-CN"/>
              </w:rPr>
              <m:t>s</m:t>
            </m:r>
          </m:sub>
        </m:sSub>
        <m:r>
          <w:rPr>
            <w:rFonts w:ascii="Cambria Math" w:eastAsia="宋体" w:hAnsi="Cambria Math" w:cs="Cambria"/>
            <w:color w:val="000000" w:themeColor="text1"/>
            <w:lang w:eastAsia="zh-CN"/>
          </w:rPr>
          <m:t>)</m:t>
        </m:r>
      </m:oMath>
      <w:r w:rsidR="0092014F" w:rsidRPr="00242B0D">
        <w:rPr>
          <w:rFonts w:ascii="Times New Roman" w:hAnsi="Times New Roman" w:cs="Times New Roman"/>
          <w:lang w:eastAsia="zh-CN"/>
        </w:rPr>
        <w:t xml:space="preserve"> stands for the variance of </w:t>
      </w:r>
      <m:oMath>
        <m:sSub>
          <m:sSubPr>
            <m:ctrlPr>
              <w:rPr>
                <w:rFonts w:ascii="Cambria Math" w:eastAsia="宋体" w:hAnsi="Cambria Math" w:cs="Cambria"/>
                <w:i/>
                <w:color w:val="000000" w:themeColor="text1"/>
              </w:rPr>
            </m:ctrlPr>
          </m:sSubPr>
          <m:e>
            <m:r>
              <w:rPr>
                <w:rFonts w:ascii="Cambria Math" w:eastAsia="宋体" w:hAnsi="Cambria Math" w:cs="Cambria"/>
                <w:color w:val="000000" w:themeColor="text1"/>
                <w:lang w:eastAsia="zh-CN"/>
              </w:rPr>
              <m:t>d</m:t>
            </m:r>
          </m:e>
          <m:sub>
            <m:r>
              <w:rPr>
                <w:rFonts w:ascii="Cambria Math" w:eastAsia="宋体" w:hAnsi="Cambria Math" w:cs="Cambria"/>
                <w:color w:val="000000" w:themeColor="text1"/>
                <w:lang w:eastAsia="zh-CN"/>
              </w:rPr>
              <m:t>s</m:t>
            </m:r>
          </m:sub>
        </m:sSub>
      </m:oMath>
      <w:r w:rsidR="0092014F" w:rsidRPr="00242B0D">
        <w:rPr>
          <w:rFonts w:ascii="Times New Roman" w:hAnsi="Times New Roman" w:cs="Times New Roman"/>
          <w:lang w:eastAsia="zh-CN"/>
        </w:rPr>
        <w:t>.</w:t>
      </w:r>
    </w:p>
    <w:p w:rsidR="0092014F" w:rsidRPr="0092014F" w:rsidRDefault="0092014F" w:rsidP="00953CF5">
      <w:pPr>
        <w:rPr>
          <w:rFonts w:ascii="Times New Roman" w:hAnsi="Times New Roman" w:cs="Times New Roman"/>
          <w:lang w:eastAsia="zh-CN"/>
        </w:rPr>
      </w:pPr>
    </w:p>
    <w:p w:rsidR="009847B3" w:rsidRDefault="009847B3" w:rsidP="00DA2D05">
      <w:pPr>
        <w:rPr>
          <w:lang w:eastAsia="zh-CN"/>
        </w:rPr>
        <w:sectPr w:rsidR="009847B3">
          <w:pgSz w:w="11906" w:h="16838"/>
          <w:pgMar w:top="1440" w:right="1800" w:bottom="1440" w:left="1800" w:header="851" w:footer="992" w:gutter="0"/>
          <w:cols w:space="425"/>
          <w:docGrid w:type="lines" w:linePitch="312"/>
        </w:sectPr>
      </w:pPr>
    </w:p>
    <w:p w:rsidR="00DA2D05" w:rsidRPr="009847B3" w:rsidRDefault="00DA2D05" w:rsidP="00DA2D05">
      <w:pPr>
        <w:rPr>
          <w:rFonts w:ascii="Times New Roman" w:hAnsi="Times New Roman" w:cs="Times New Roman"/>
          <w:b/>
          <w:bCs/>
          <w:sz w:val="24"/>
          <w:szCs w:val="24"/>
          <w:lang w:eastAsia="zh-CN"/>
        </w:rPr>
      </w:pPr>
      <w:r w:rsidRPr="009847B3">
        <w:rPr>
          <w:rFonts w:ascii="Times New Roman" w:hAnsi="Times New Roman" w:cs="Times New Roman"/>
          <w:b/>
          <w:bCs/>
          <w:sz w:val="24"/>
          <w:szCs w:val="24"/>
          <w:lang w:eastAsia="zh-CN"/>
        </w:rPr>
        <w:lastRenderedPageBreak/>
        <w:t>References</w:t>
      </w:r>
    </w:p>
    <w:p w:rsidR="00717B72" w:rsidRPr="00717B72" w:rsidRDefault="00DA2D05" w:rsidP="00717B72">
      <w:pPr>
        <w:pStyle w:val="EndNoteBibliography"/>
        <w:spacing w:after="0"/>
        <w:ind w:left="720" w:hanging="720"/>
        <w:rPr>
          <w:rFonts w:ascii="Times New Roman" w:hAnsi="Times New Roman" w:cs="Times New Roman"/>
          <w:noProof/>
        </w:rPr>
      </w:pPr>
      <w:r w:rsidRPr="00613A33">
        <w:rPr>
          <w:rFonts w:ascii="Times New Roman" w:hAnsi="Times New Roman" w:cs="Times New Roman"/>
          <w:lang w:eastAsia="zh-CN"/>
        </w:rPr>
        <w:fldChar w:fldCharType="begin"/>
      </w:r>
      <w:r w:rsidRPr="00613A33">
        <w:rPr>
          <w:rFonts w:ascii="Times New Roman" w:hAnsi="Times New Roman" w:cs="Times New Roman"/>
          <w:lang w:eastAsia="zh-CN"/>
        </w:rPr>
        <w:instrText xml:space="preserve"> ADDIN EN.REFLIST </w:instrText>
      </w:r>
      <w:r w:rsidRPr="00613A33">
        <w:rPr>
          <w:rFonts w:ascii="Times New Roman" w:hAnsi="Times New Roman" w:cs="Times New Roman"/>
          <w:lang w:eastAsia="zh-CN"/>
        </w:rPr>
        <w:fldChar w:fldCharType="separate"/>
      </w:r>
      <w:r w:rsidR="00717B72" w:rsidRPr="00717B72">
        <w:rPr>
          <w:rFonts w:ascii="Times New Roman" w:hAnsi="Times New Roman" w:cs="Times New Roman"/>
          <w:noProof/>
        </w:rPr>
        <w:t xml:space="preserve">Baker, M., &amp; Wurgler, J. (2007). Investor Sentiment in the Stock Market. </w:t>
      </w:r>
      <w:r w:rsidR="00717B72" w:rsidRPr="00717B72">
        <w:rPr>
          <w:rFonts w:ascii="Times New Roman" w:hAnsi="Times New Roman" w:cs="Times New Roman"/>
          <w:i/>
          <w:noProof/>
        </w:rPr>
        <w:t>Journal of Economic Perspectives</w:t>
      </w:r>
      <w:r w:rsidR="00717B72" w:rsidRPr="00717B72">
        <w:rPr>
          <w:rFonts w:ascii="Times New Roman" w:hAnsi="Times New Roman" w:cs="Times New Roman"/>
          <w:noProof/>
        </w:rPr>
        <w:t>,</w:t>
      </w:r>
      <w:r w:rsidR="00717B72" w:rsidRPr="00717B72">
        <w:rPr>
          <w:rFonts w:ascii="Times New Roman" w:hAnsi="Times New Roman" w:cs="Times New Roman"/>
          <w:i/>
          <w:noProof/>
        </w:rPr>
        <w:t xml:space="preserve"> 21</w:t>
      </w:r>
      <w:r w:rsidR="00717B72" w:rsidRPr="00717B72">
        <w:rPr>
          <w:rFonts w:ascii="Times New Roman" w:hAnsi="Times New Roman" w:cs="Times New Roman"/>
          <w:noProof/>
        </w:rPr>
        <w:t xml:space="preserve">(2), 129–152. </w:t>
      </w:r>
      <w:hyperlink r:id="rId7" w:history="1">
        <w:r w:rsidR="00717B72" w:rsidRPr="00717B72">
          <w:rPr>
            <w:rStyle w:val="af2"/>
            <w:rFonts w:ascii="Times New Roman" w:hAnsi="Times New Roman" w:cs="Times New Roman"/>
            <w:noProof/>
          </w:rPr>
          <w:t>https://doi.org/10.1257/jep.21.2.129</w:t>
        </w:r>
      </w:hyperlink>
      <w:r w:rsidR="00717B72" w:rsidRPr="00717B72">
        <w:rPr>
          <w:rFonts w:ascii="Times New Roman" w:hAnsi="Times New Roman" w:cs="Times New Roman"/>
          <w:noProof/>
        </w:rPr>
        <w:t xml:space="preserve"> </w:t>
      </w:r>
    </w:p>
    <w:p w:rsidR="00717B72" w:rsidRPr="00717B72" w:rsidRDefault="00717B72" w:rsidP="00717B72">
      <w:pPr>
        <w:pStyle w:val="EndNoteBibliography"/>
        <w:spacing w:after="0"/>
        <w:ind w:left="720" w:hanging="720"/>
        <w:rPr>
          <w:rFonts w:ascii="Times New Roman" w:hAnsi="Times New Roman" w:cs="Times New Roman"/>
          <w:noProof/>
        </w:rPr>
      </w:pPr>
      <w:r w:rsidRPr="00717B72">
        <w:rPr>
          <w:rFonts w:ascii="Times New Roman" w:hAnsi="Times New Roman" w:cs="Times New Roman"/>
          <w:noProof/>
        </w:rPr>
        <w:t xml:space="preserve">Baker, S. R., Bloom, N., &amp; Davis, S. J. (2016). Measuring Economic Policy Uncertainty*. </w:t>
      </w:r>
      <w:r w:rsidRPr="00717B72">
        <w:rPr>
          <w:rFonts w:ascii="Times New Roman" w:hAnsi="Times New Roman" w:cs="Times New Roman"/>
          <w:i/>
          <w:noProof/>
        </w:rPr>
        <w:t>The Quarterly Journal of Economics</w:t>
      </w:r>
      <w:r w:rsidRPr="00717B72">
        <w:rPr>
          <w:rFonts w:ascii="Times New Roman" w:hAnsi="Times New Roman" w:cs="Times New Roman"/>
          <w:noProof/>
        </w:rPr>
        <w:t>,</w:t>
      </w:r>
      <w:r w:rsidRPr="00717B72">
        <w:rPr>
          <w:rFonts w:ascii="Times New Roman" w:hAnsi="Times New Roman" w:cs="Times New Roman"/>
          <w:i/>
          <w:noProof/>
        </w:rPr>
        <w:t xml:space="preserve"> 131</w:t>
      </w:r>
      <w:r w:rsidRPr="00717B72">
        <w:rPr>
          <w:rFonts w:ascii="Times New Roman" w:hAnsi="Times New Roman" w:cs="Times New Roman"/>
          <w:noProof/>
        </w:rPr>
        <w:t xml:space="preserve">(4), 1593–1636. </w:t>
      </w:r>
      <w:hyperlink r:id="rId8" w:history="1">
        <w:r w:rsidRPr="00717B72">
          <w:rPr>
            <w:rStyle w:val="af2"/>
            <w:rFonts w:ascii="Times New Roman" w:hAnsi="Times New Roman" w:cs="Times New Roman"/>
            <w:noProof/>
          </w:rPr>
          <w:t>https://doi.org/10.1093/qje/qjw024</w:t>
        </w:r>
      </w:hyperlink>
      <w:r w:rsidRPr="00717B72">
        <w:rPr>
          <w:rFonts w:ascii="Times New Roman" w:hAnsi="Times New Roman" w:cs="Times New Roman"/>
          <w:noProof/>
        </w:rPr>
        <w:t xml:space="preserve"> </w:t>
      </w:r>
    </w:p>
    <w:p w:rsidR="00717B72" w:rsidRPr="00717B72" w:rsidRDefault="00717B72" w:rsidP="00717B72">
      <w:pPr>
        <w:pStyle w:val="EndNoteBibliography"/>
        <w:spacing w:after="0"/>
        <w:ind w:left="720" w:hanging="720"/>
        <w:rPr>
          <w:rFonts w:ascii="Times New Roman" w:hAnsi="Times New Roman" w:cs="Times New Roman"/>
          <w:noProof/>
        </w:rPr>
      </w:pPr>
      <w:r w:rsidRPr="00717B72">
        <w:rPr>
          <w:rFonts w:ascii="Times New Roman" w:hAnsi="Times New Roman" w:cs="Times New Roman"/>
          <w:noProof/>
        </w:rPr>
        <w:t xml:space="preserve">Cho, D., &amp; Kim, H. (2022). Macroeconomic effects of uncertainty shocks: Evidence from Korea. </w:t>
      </w:r>
      <w:r w:rsidRPr="00717B72">
        <w:rPr>
          <w:rFonts w:ascii="Times New Roman" w:hAnsi="Times New Roman" w:cs="Times New Roman"/>
          <w:i/>
          <w:noProof/>
        </w:rPr>
        <w:t>Journal of Asian Economics</w:t>
      </w:r>
      <w:r w:rsidRPr="00717B72">
        <w:rPr>
          <w:rFonts w:ascii="Times New Roman" w:hAnsi="Times New Roman" w:cs="Times New Roman"/>
          <w:noProof/>
        </w:rPr>
        <w:t>,</w:t>
      </w:r>
      <w:r w:rsidRPr="00717B72">
        <w:rPr>
          <w:rFonts w:ascii="Times New Roman" w:hAnsi="Times New Roman" w:cs="Times New Roman"/>
          <w:i/>
          <w:noProof/>
        </w:rPr>
        <w:t xml:space="preserve"> 84</w:t>
      </w:r>
      <w:r w:rsidRPr="00717B72">
        <w:rPr>
          <w:rFonts w:ascii="Times New Roman" w:hAnsi="Times New Roman" w:cs="Times New Roman"/>
          <w:noProof/>
        </w:rPr>
        <w:t xml:space="preserve">, 101571. </w:t>
      </w:r>
      <w:hyperlink r:id="rId9" w:history="1">
        <w:r w:rsidRPr="00717B72">
          <w:rPr>
            <w:rStyle w:val="af2"/>
            <w:rFonts w:ascii="Times New Roman" w:hAnsi="Times New Roman" w:cs="Times New Roman"/>
            <w:noProof/>
          </w:rPr>
          <w:t>https://doi.org/10.1016/j.asieco.2022.101571</w:t>
        </w:r>
      </w:hyperlink>
      <w:r w:rsidRPr="00717B72">
        <w:rPr>
          <w:rFonts w:ascii="Times New Roman" w:hAnsi="Times New Roman" w:cs="Times New Roman"/>
          <w:noProof/>
        </w:rPr>
        <w:t xml:space="preserve"> </w:t>
      </w:r>
    </w:p>
    <w:p w:rsidR="00717B72" w:rsidRPr="00717B72" w:rsidRDefault="00717B72" w:rsidP="00717B72">
      <w:pPr>
        <w:pStyle w:val="EndNoteBibliography"/>
        <w:spacing w:after="0"/>
        <w:ind w:left="720" w:hanging="720"/>
        <w:rPr>
          <w:rFonts w:ascii="Times New Roman" w:hAnsi="Times New Roman" w:cs="Times New Roman"/>
          <w:noProof/>
        </w:rPr>
      </w:pPr>
      <w:r w:rsidRPr="00717B72">
        <w:rPr>
          <w:rFonts w:ascii="Times New Roman" w:hAnsi="Times New Roman" w:cs="Times New Roman"/>
          <w:noProof/>
        </w:rPr>
        <w:t xml:space="preserve">Diebold, F. X., &amp; Lopez, J. A. (1996). 8 Forecast evaluation and combination. In </w:t>
      </w:r>
      <w:r w:rsidRPr="00717B72">
        <w:rPr>
          <w:rFonts w:ascii="Times New Roman" w:hAnsi="Times New Roman" w:cs="Times New Roman"/>
          <w:i/>
          <w:noProof/>
        </w:rPr>
        <w:t>Handbook of Statistics</w:t>
      </w:r>
      <w:r w:rsidRPr="00717B72">
        <w:rPr>
          <w:rFonts w:ascii="Times New Roman" w:hAnsi="Times New Roman" w:cs="Times New Roman"/>
          <w:noProof/>
        </w:rPr>
        <w:t xml:space="preserve"> (Vol. 14, pp. 241–268). Elsevier. </w:t>
      </w:r>
      <w:hyperlink r:id="rId10" w:history="1">
        <w:r w:rsidRPr="00717B72">
          <w:rPr>
            <w:rStyle w:val="af2"/>
            <w:rFonts w:ascii="Times New Roman" w:hAnsi="Times New Roman" w:cs="Times New Roman"/>
            <w:noProof/>
          </w:rPr>
          <w:t>https://doi.org/https://doi.org/10.1016/S0169-7161(96)14010-4</w:t>
        </w:r>
      </w:hyperlink>
      <w:r w:rsidRPr="00717B72">
        <w:rPr>
          <w:rFonts w:ascii="Times New Roman" w:hAnsi="Times New Roman" w:cs="Times New Roman"/>
          <w:noProof/>
        </w:rPr>
        <w:t xml:space="preserve"> </w:t>
      </w:r>
    </w:p>
    <w:p w:rsidR="00717B72" w:rsidRPr="00717B72" w:rsidRDefault="00717B72" w:rsidP="00717B72">
      <w:pPr>
        <w:pStyle w:val="EndNoteBibliography"/>
        <w:spacing w:after="0"/>
        <w:ind w:left="720" w:hanging="720"/>
        <w:rPr>
          <w:rFonts w:ascii="Times New Roman" w:hAnsi="Times New Roman" w:cs="Times New Roman"/>
          <w:noProof/>
        </w:rPr>
      </w:pPr>
      <w:r w:rsidRPr="00717B72">
        <w:rPr>
          <w:rFonts w:ascii="Times New Roman" w:hAnsi="Times New Roman" w:cs="Times New Roman"/>
          <w:noProof/>
        </w:rPr>
        <w:t xml:space="preserve">Diebold, F. X., &amp; Mariano, R. S. (2002). Comparing Predictive Accuracy. </w:t>
      </w:r>
      <w:r w:rsidRPr="00717B72">
        <w:rPr>
          <w:rFonts w:ascii="Times New Roman" w:hAnsi="Times New Roman" w:cs="Times New Roman"/>
          <w:i/>
          <w:noProof/>
        </w:rPr>
        <w:t>Journal of Business &amp; Economic Statistics</w:t>
      </w:r>
      <w:r w:rsidRPr="00717B72">
        <w:rPr>
          <w:rFonts w:ascii="Times New Roman" w:hAnsi="Times New Roman" w:cs="Times New Roman"/>
          <w:noProof/>
        </w:rPr>
        <w:t>,</w:t>
      </w:r>
      <w:r w:rsidRPr="00717B72">
        <w:rPr>
          <w:rFonts w:ascii="Times New Roman" w:hAnsi="Times New Roman" w:cs="Times New Roman"/>
          <w:i/>
          <w:noProof/>
        </w:rPr>
        <w:t xml:space="preserve"> 20</w:t>
      </w:r>
      <w:r w:rsidRPr="00717B72">
        <w:rPr>
          <w:rFonts w:ascii="Times New Roman" w:hAnsi="Times New Roman" w:cs="Times New Roman"/>
          <w:noProof/>
        </w:rPr>
        <w:t xml:space="preserve">(1), 134–144. </w:t>
      </w:r>
      <w:hyperlink r:id="rId11" w:history="1">
        <w:r w:rsidRPr="00717B72">
          <w:rPr>
            <w:rStyle w:val="af2"/>
            <w:rFonts w:ascii="Times New Roman" w:hAnsi="Times New Roman" w:cs="Times New Roman"/>
            <w:noProof/>
          </w:rPr>
          <w:t>https://doi.org/10.1198/073500102753410444</w:t>
        </w:r>
      </w:hyperlink>
      <w:r w:rsidRPr="00717B72">
        <w:rPr>
          <w:rFonts w:ascii="Times New Roman" w:hAnsi="Times New Roman" w:cs="Times New Roman"/>
          <w:noProof/>
        </w:rPr>
        <w:t xml:space="preserve"> </w:t>
      </w:r>
    </w:p>
    <w:p w:rsidR="00717B72" w:rsidRPr="00717B72" w:rsidRDefault="00717B72" w:rsidP="00717B72">
      <w:pPr>
        <w:pStyle w:val="EndNoteBibliography"/>
        <w:spacing w:after="0"/>
        <w:ind w:left="720" w:hanging="720"/>
        <w:rPr>
          <w:rFonts w:ascii="Times New Roman" w:hAnsi="Times New Roman" w:cs="Times New Roman"/>
          <w:noProof/>
        </w:rPr>
      </w:pPr>
      <w:r w:rsidRPr="00717B72">
        <w:rPr>
          <w:rFonts w:ascii="Times New Roman" w:hAnsi="Times New Roman" w:cs="Times New Roman"/>
          <w:noProof/>
        </w:rPr>
        <w:t xml:space="preserve">Hansen, P. R., Lunde, A., &amp; Nason, J. M. (2011). The Model Confidence Set. </w:t>
      </w:r>
      <w:r w:rsidRPr="00717B72">
        <w:rPr>
          <w:rFonts w:ascii="Times New Roman" w:hAnsi="Times New Roman" w:cs="Times New Roman"/>
          <w:i/>
          <w:noProof/>
        </w:rPr>
        <w:t>Econometrica</w:t>
      </w:r>
      <w:r w:rsidRPr="00717B72">
        <w:rPr>
          <w:rFonts w:ascii="Times New Roman" w:hAnsi="Times New Roman" w:cs="Times New Roman"/>
          <w:noProof/>
        </w:rPr>
        <w:t>,</w:t>
      </w:r>
      <w:r w:rsidRPr="00717B72">
        <w:rPr>
          <w:rFonts w:ascii="Times New Roman" w:hAnsi="Times New Roman" w:cs="Times New Roman"/>
          <w:i/>
          <w:noProof/>
        </w:rPr>
        <w:t xml:space="preserve"> 79</w:t>
      </w:r>
      <w:r w:rsidRPr="00717B72">
        <w:rPr>
          <w:rFonts w:ascii="Times New Roman" w:hAnsi="Times New Roman" w:cs="Times New Roman"/>
          <w:noProof/>
        </w:rPr>
        <w:t xml:space="preserve">(2), 453–497. </w:t>
      </w:r>
      <w:hyperlink r:id="rId12" w:history="1">
        <w:r w:rsidRPr="00717B72">
          <w:rPr>
            <w:rStyle w:val="af2"/>
            <w:rFonts w:ascii="Times New Roman" w:hAnsi="Times New Roman" w:cs="Times New Roman"/>
            <w:noProof/>
          </w:rPr>
          <w:t>https://doi.org/10.3982/ECTA5771</w:t>
        </w:r>
      </w:hyperlink>
      <w:r w:rsidRPr="00717B72">
        <w:rPr>
          <w:rFonts w:ascii="Times New Roman" w:hAnsi="Times New Roman" w:cs="Times New Roman"/>
          <w:noProof/>
        </w:rPr>
        <w:t xml:space="preserve"> </w:t>
      </w:r>
    </w:p>
    <w:p w:rsidR="00717B72" w:rsidRPr="00717B72" w:rsidRDefault="00717B72" w:rsidP="00717B72">
      <w:pPr>
        <w:pStyle w:val="EndNoteBibliography"/>
        <w:spacing w:after="0"/>
        <w:ind w:left="720" w:hanging="720"/>
        <w:rPr>
          <w:rFonts w:ascii="Times New Roman" w:hAnsi="Times New Roman" w:cs="Times New Roman"/>
          <w:noProof/>
        </w:rPr>
      </w:pPr>
      <w:r w:rsidRPr="00717B72">
        <w:rPr>
          <w:rFonts w:ascii="Times New Roman" w:hAnsi="Times New Roman" w:cs="Times New Roman"/>
          <w:noProof/>
        </w:rPr>
        <w:t xml:space="preserve">Kim, K., &amp; Byun, J. (2010). Effect of Investor Sentiment on Market Response to Stock Split Announcement. </w:t>
      </w:r>
      <w:r w:rsidRPr="00717B72">
        <w:rPr>
          <w:rFonts w:ascii="Times New Roman" w:hAnsi="Times New Roman" w:cs="Times New Roman"/>
          <w:i/>
          <w:noProof/>
        </w:rPr>
        <w:t>Asia-Pacific Journal of Financial Studies</w:t>
      </w:r>
      <w:r w:rsidRPr="00717B72">
        <w:rPr>
          <w:rFonts w:ascii="Times New Roman" w:hAnsi="Times New Roman" w:cs="Times New Roman"/>
          <w:noProof/>
        </w:rPr>
        <w:t>,</w:t>
      </w:r>
      <w:r w:rsidRPr="00717B72">
        <w:rPr>
          <w:rFonts w:ascii="Times New Roman" w:hAnsi="Times New Roman" w:cs="Times New Roman"/>
          <w:i/>
          <w:noProof/>
        </w:rPr>
        <w:t xml:space="preserve"> 39</w:t>
      </w:r>
      <w:r w:rsidRPr="00717B72">
        <w:rPr>
          <w:rFonts w:ascii="Times New Roman" w:hAnsi="Times New Roman" w:cs="Times New Roman"/>
          <w:noProof/>
        </w:rPr>
        <w:t xml:space="preserve">(6), 687–719. </w:t>
      </w:r>
      <w:hyperlink r:id="rId13" w:history="1">
        <w:r w:rsidRPr="00717B72">
          <w:rPr>
            <w:rStyle w:val="af2"/>
            <w:rFonts w:ascii="Times New Roman" w:hAnsi="Times New Roman" w:cs="Times New Roman"/>
            <w:noProof/>
          </w:rPr>
          <w:t>https://doi.org/10.1111/j.2041-6156.2010.01029.x</w:t>
        </w:r>
      </w:hyperlink>
      <w:r w:rsidRPr="00717B72">
        <w:rPr>
          <w:rFonts w:ascii="Times New Roman" w:hAnsi="Times New Roman" w:cs="Times New Roman"/>
          <w:noProof/>
        </w:rPr>
        <w:t xml:space="preserve"> </w:t>
      </w:r>
    </w:p>
    <w:p w:rsidR="00717B72" w:rsidRPr="00717B72" w:rsidRDefault="00717B72" w:rsidP="00717B72">
      <w:pPr>
        <w:pStyle w:val="EndNoteBibliography"/>
        <w:spacing w:after="0"/>
        <w:ind w:left="720" w:hanging="720"/>
        <w:rPr>
          <w:rFonts w:ascii="Times New Roman" w:hAnsi="Times New Roman" w:cs="Times New Roman"/>
          <w:noProof/>
        </w:rPr>
      </w:pPr>
      <w:r w:rsidRPr="00717B72">
        <w:rPr>
          <w:rFonts w:ascii="Times New Roman" w:hAnsi="Times New Roman" w:cs="Times New Roman"/>
          <w:noProof/>
        </w:rPr>
        <w:t xml:space="preserve">Kumar, A., &amp; Lee, C. M. C. (2006). Retail Investor Sentiment and Return Comovements. </w:t>
      </w:r>
      <w:r w:rsidRPr="00717B72">
        <w:rPr>
          <w:rFonts w:ascii="Times New Roman" w:hAnsi="Times New Roman" w:cs="Times New Roman"/>
          <w:i/>
          <w:noProof/>
        </w:rPr>
        <w:t>The Journal of Finance</w:t>
      </w:r>
      <w:r w:rsidRPr="00717B72">
        <w:rPr>
          <w:rFonts w:ascii="Times New Roman" w:hAnsi="Times New Roman" w:cs="Times New Roman"/>
          <w:noProof/>
        </w:rPr>
        <w:t>,</w:t>
      </w:r>
      <w:r w:rsidRPr="00717B72">
        <w:rPr>
          <w:rFonts w:ascii="Times New Roman" w:hAnsi="Times New Roman" w:cs="Times New Roman"/>
          <w:i/>
          <w:noProof/>
        </w:rPr>
        <w:t xml:space="preserve"> 61</w:t>
      </w:r>
      <w:r w:rsidRPr="00717B72">
        <w:rPr>
          <w:rFonts w:ascii="Times New Roman" w:hAnsi="Times New Roman" w:cs="Times New Roman"/>
          <w:noProof/>
        </w:rPr>
        <w:t xml:space="preserve">(5), 2451–2486. </w:t>
      </w:r>
      <w:hyperlink r:id="rId14" w:history="1">
        <w:r w:rsidRPr="00717B72">
          <w:rPr>
            <w:rStyle w:val="af2"/>
            <w:rFonts w:ascii="Times New Roman" w:hAnsi="Times New Roman" w:cs="Times New Roman"/>
            <w:noProof/>
          </w:rPr>
          <w:t>https://doi.org/10.1111/j.1540-6261.2006.01063.x</w:t>
        </w:r>
      </w:hyperlink>
      <w:r w:rsidRPr="00717B72">
        <w:rPr>
          <w:rFonts w:ascii="Times New Roman" w:hAnsi="Times New Roman" w:cs="Times New Roman"/>
          <w:noProof/>
        </w:rPr>
        <w:t xml:space="preserve"> </w:t>
      </w:r>
    </w:p>
    <w:p w:rsidR="00717B72" w:rsidRPr="00717B72" w:rsidRDefault="00717B72" w:rsidP="00717B72">
      <w:pPr>
        <w:pStyle w:val="EndNoteBibliography"/>
        <w:spacing w:after="0"/>
        <w:ind w:left="720" w:hanging="720"/>
        <w:rPr>
          <w:rFonts w:ascii="Times New Roman" w:hAnsi="Times New Roman" w:cs="Times New Roman"/>
          <w:noProof/>
        </w:rPr>
      </w:pPr>
      <w:r w:rsidRPr="00717B72">
        <w:rPr>
          <w:rFonts w:ascii="Times New Roman" w:hAnsi="Times New Roman" w:cs="Times New Roman"/>
          <w:noProof/>
        </w:rPr>
        <w:t xml:space="preserve">Lee, M.-h., &amp; Yoon, S.-j. (2018). An Informative Independence of Investor Sentiment Indices in the KOSPI 200 Options Market. </w:t>
      </w:r>
      <w:r w:rsidRPr="00717B72">
        <w:rPr>
          <w:rFonts w:ascii="Times New Roman" w:hAnsi="Times New Roman" w:cs="Times New Roman"/>
          <w:i/>
          <w:noProof/>
        </w:rPr>
        <w:t>Journal of Money and Finance</w:t>
      </w:r>
      <w:r w:rsidRPr="00717B72">
        <w:rPr>
          <w:rFonts w:ascii="Times New Roman" w:hAnsi="Times New Roman" w:cs="Times New Roman"/>
          <w:noProof/>
        </w:rPr>
        <w:t>,</w:t>
      </w:r>
      <w:r w:rsidRPr="00717B72">
        <w:rPr>
          <w:rFonts w:ascii="Times New Roman" w:hAnsi="Times New Roman" w:cs="Times New Roman"/>
          <w:i/>
          <w:noProof/>
        </w:rPr>
        <w:t xml:space="preserve"> 32</w:t>
      </w:r>
      <w:r w:rsidRPr="00717B72">
        <w:rPr>
          <w:rFonts w:ascii="Times New Roman" w:hAnsi="Times New Roman" w:cs="Times New Roman"/>
          <w:noProof/>
        </w:rPr>
        <w:t xml:space="preserve">(1), 1–44. </w:t>
      </w:r>
      <w:hyperlink r:id="rId15" w:history="1">
        <w:r w:rsidRPr="00717B72">
          <w:rPr>
            <w:rStyle w:val="af2"/>
            <w:rFonts w:ascii="Times New Roman" w:hAnsi="Times New Roman" w:cs="Times New Roman"/>
            <w:noProof/>
          </w:rPr>
          <w:t>https://doi.org/10.21023/JMF.32.1.1</w:t>
        </w:r>
      </w:hyperlink>
      <w:r w:rsidRPr="00717B72">
        <w:rPr>
          <w:rFonts w:ascii="Times New Roman" w:hAnsi="Times New Roman" w:cs="Times New Roman"/>
          <w:noProof/>
        </w:rPr>
        <w:t xml:space="preserve"> </w:t>
      </w:r>
    </w:p>
    <w:p w:rsidR="00717B72" w:rsidRPr="00717B72" w:rsidRDefault="00717B72" w:rsidP="00717B72">
      <w:pPr>
        <w:pStyle w:val="EndNoteBibliography"/>
        <w:spacing w:after="0"/>
        <w:ind w:left="720" w:hanging="720"/>
        <w:rPr>
          <w:rFonts w:ascii="Times New Roman" w:hAnsi="Times New Roman" w:cs="Times New Roman"/>
          <w:noProof/>
        </w:rPr>
      </w:pPr>
      <w:r w:rsidRPr="00717B72">
        <w:rPr>
          <w:rFonts w:ascii="Times New Roman" w:hAnsi="Times New Roman" w:cs="Times New Roman"/>
          <w:noProof/>
        </w:rPr>
        <w:t xml:space="preserve">Liu, J., Ma, F., Yang, K., &amp; Zhang, Y. (2018). Forecasting the oil futures price volatility: Large jumps and small jumps. </w:t>
      </w:r>
      <w:r w:rsidRPr="00717B72">
        <w:rPr>
          <w:rFonts w:ascii="Times New Roman" w:hAnsi="Times New Roman" w:cs="Times New Roman"/>
          <w:i/>
          <w:noProof/>
        </w:rPr>
        <w:t>Energy Economics</w:t>
      </w:r>
      <w:r w:rsidRPr="00717B72">
        <w:rPr>
          <w:rFonts w:ascii="Times New Roman" w:hAnsi="Times New Roman" w:cs="Times New Roman"/>
          <w:noProof/>
        </w:rPr>
        <w:t>,</w:t>
      </w:r>
      <w:r w:rsidRPr="00717B72">
        <w:rPr>
          <w:rFonts w:ascii="Times New Roman" w:hAnsi="Times New Roman" w:cs="Times New Roman"/>
          <w:i/>
          <w:noProof/>
        </w:rPr>
        <w:t xml:space="preserve"> 72</w:t>
      </w:r>
      <w:r w:rsidRPr="00717B72">
        <w:rPr>
          <w:rFonts w:ascii="Times New Roman" w:hAnsi="Times New Roman" w:cs="Times New Roman"/>
          <w:noProof/>
        </w:rPr>
        <w:t xml:space="preserve">, 321–330. </w:t>
      </w:r>
      <w:hyperlink r:id="rId16" w:history="1">
        <w:r w:rsidRPr="00717B72">
          <w:rPr>
            <w:rStyle w:val="af2"/>
            <w:rFonts w:ascii="Times New Roman" w:hAnsi="Times New Roman" w:cs="Times New Roman"/>
            <w:noProof/>
          </w:rPr>
          <w:t>https://doi.org/10.1016/j.eneco.2018.04.023</w:t>
        </w:r>
      </w:hyperlink>
      <w:r w:rsidRPr="00717B72">
        <w:rPr>
          <w:rFonts w:ascii="Times New Roman" w:hAnsi="Times New Roman" w:cs="Times New Roman"/>
          <w:noProof/>
        </w:rPr>
        <w:t xml:space="preserve"> </w:t>
      </w:r>
    </w:p>
    <w:p w:rsidR="00717B72" w:rsidRPr="00717B72" w:rsidRDefault="00717B72" w:rsidP="00717B72">
      <w:pPr>
        <w:pStyle w:val="EndNoteBibliography"/>
        <w:ind w:left="720" w:hanging="720"/>
        <w:rPr>
          <w:noProof/>
        </w:rPr>
      </w:pPr>
      <w:r w:rsidRPr="00717B72">
        <w:rPr>
          <w:rFonts w:ascii="Times New Roman" w:hAnsi="Times New Roman" w:cs="Times New Roman"/>
          <w:noProof/>
        </w:rPr>
        <w:t xml:space="preserve">Wang, L., Ma, F., Liu, J., &amp; Yang, L. (2020). Forecasting stock price volatility: New evidence from the GARCH-MIDAS model. </w:t>
      </w:r>
      <w:r w:rsidRPr="00717B72">
        <w:rPr>
          <w:rFonts w:ascii="Times New Roman" w:hAnsi="Times New Roman" w:cs="Times New Roman"/>
          <w:i/>
          <w:noProof/>
        </w:rPr>
        <w:t>International Journal of Forecasting</w:t>
      </w:r>
      <w:r w:rsidRPr="00717B72">
        <w:rPr>
          <w:rFonts w:ascii="Times New Roman" w:hAnsi="Times New Roman" w:cs="Times New Roman"/>
          <w:noProof/>
        </w:rPr>
        <w:t>,</w:t>
      </w:r>
      <w:r w:rsidRPr="00717B72">
        <w:rPr>
          <w:rFonts w:ascii="Times New Roman" w:hAnsi="Times New Roman" w:cs="Times New Roman"/>
          <w:i/>
          <w:noProof/>
        </w:rPr>
        <w:t xml:space="preserve"> 36</w:t>
      </w:r>
      <w:r w:rsidRPr="00717B72">
        <w:rPr>
          <w:rFonts w:ascii="Times New Roman" w:hAnsi="Times New Roman" w:cs="Times New Roman"/>
          <w:noProof/>
        </w:rPr>
        <w:t xml:space="preserve">(2), </w:t>
      </w:r>
      <w:r w:rsidRPr="00717B72">
        <w:rPr>
          <w:noProof/>
        </w:rPr>
        <w:t xml:space="preserve">684–694. </w:t>
      </w:r>
      <w:hyperlink r:id="rId17" w:history="1">
        <w:r w:rsidRPr="00717B72">
          <w:rPr>
            <w:rStyle w:val="af2"/>
            <w:noProof/>
          </w:rPr>
          <w:t>https://doi.org/10.1016/j.ijforecast.2019.08.005</w:t>
        </w:r>
      </w:hyperlink>
      <w:r w:rsidRPr="00717B72">
        <w:rPr>
          <w:noProof/>
        </w:rPr>
        <w:t xml:space="preserve"> </w:t>
      </w:r>
    </w:p>
    <w:p w:rsidR="006D48C6" w:rsidRDefault="00DA2D05" w:rsidP="00613A33">
      <w:pPr>
        <w:jc w:val="left"/>
        <w:rPr>
          <w:lang w:eastAsia="zh-CN"/>
        </w:rPr>
        <w:sectPr w:rsidR="006D48C6">
          <w:pgSz w:w="11906" w:h="16838"/>
          <w:pgMar w:top="1440" w:right="1800" w:bottom="1440" w:left="1800" w:header="851" w:footer="992" w:gutter="0"/>
          <w:cols w:space="425"/>
          <w:docGrid w:type="lines" w:linePitch="312"/>
        </w:sectPr>
      </w:pPr>
      <w:r w:rsidRPr="00613A33">
        <w:rPr>
          <w:rFonts w:ascii="Times New Roman" w:hAnsi="Times New Roman" w:cs="Times New Roman"/>
          <w:lang w:eastAsia="zh-CN"/>
        </w:rPr>
        <w:fldChar w:fldCharType="end"/>
      </w:r>
    </w:p>
    <w:p w:rsidR="006D48C6" w:rsidRPr="00F04EC5" w:rsidRDefault="009970BA" w:rsidP="009970BA">
      <w:pPr>
        <w:pStyle w:val="af4"/>
        <w:rPr>
          <w:b w:val="0"/>
          <w:sz w:val="22"/>
          <w:szCs w:val="22"/>
        </w:rPr>
      </w:pPr>
      <w:bookmarkStart w:id="2" w:name="_Ref205802347"/>
      <w:r w:rsidRPr="009970BA">
        <w:rPr>
          <w:sz w:val="22"/>
          <w:szCs w:val="22"/>
        </w:rPr>
        <w:lastRenderedPageBreak/>
        <w:t xml:space="preserve">Figure </w:t>
      </w:r>
      <w:r w:rsidRPr="009970BA">
        <w:rPr>
          <w:sz w:val="22"/>
          <w:szCs w:val="22"/>
        </w:rPr>
        <w:fldChar w:fldCharType="begin"/>
      </w:r>
      <w:r w:rsidRPr="009970BA">
        <w:rPr>
          <w:sz w:val="22"/>
          <w:szCs w:val="22"/>
        </w:rPr>
        <w:instrText xml:space="preserve"> SEQ Figure \* ARABIC </w:instrText>
      </w:r>
      <w:r w:rsidRPr="009970BA">
        <w:rPr>
          <w:sz w:val="22"/>
          <w:szCs w:val="22"/>
        </w:rPr>
        <w:fldChar w:fldCharType="separate"/>
      </w:r>
      <w:r>
        <w:rPr>
          <w:noProof/>
          <w:sz w:val="22"/>
          <w:szCs w:val="22"/>
        </w:rPr>
        <w:t>1</w:t>
      </w:r>
      <w:r w:rsidRPr="009970BA">
        <w:rPr>
          <w:sz w:val="22"/>
          <w:szCs w:val="22"/>
        </w:rPr>
        <w:fldChar w:fldCharType="end"/>
      </w:r>
      <w:bookmarkEnd w:id="2"/>
      <w:r w:rsidRPr="009970BA">
        <w:rPr>
          <w:sz w:val="22"/>
          <w:szCs w:val="22"/>
        </w:rPr>
        <w:t>.</w:t>
      </w:r>
      <w:r w:rsidR="006D48C6" w:rsidRPr="009970BA">
        <w:rPr>
          <w:sz w:val="22"/>
          <w:szCs w:val="22"/>
        </w:rPr>
        <w:t xml:space="preserve"> Th</w:t>
      </w:r>
      <w:r w:rsidR="006D48C6" w:rsidRPr="00F04EC5">
        <w:rPr>
          <w:sz w:val="22"/>
          <w:szCs w:val="22"/>
        </w:rPr>
        <w:t>e stock market return and monthly realized volatility</w:t>
      </w:r>
    </w:p>
    <w:p w:rsidR="006D48C6" w:rsidRPr="009970BA" w:rsidRDefault="006D48C6" w:rsidP="009970BA">
      <w:pPr>
        <w:wordWrap w:val="0"/>
        <w:autoSpaceDE w:val="0"/>
        <w:autoSpaceDN w:val="0"/>
        <w:spacing w:before="0" w:after="0" w:line="240" w:lineRule="auto"/>
        <w:contextualSpacing w:val="0"/>
        <w:rPr>
          <w:rFonts w:ascii="Times New Roman" w:eastAsia="Malgun Gothic" w:hAnsi="Times New Roman" w:cs="Times New Roman"/>
          <w:sz w:val="20"/>
        </w:rPr>
      </w:pPr>
      <w:r w:rsidRPr="00CB3B13">
        <w:rPr>
          <w:rFonts w:ascii="Times New Roman" w:eastAsia="Malgun Gothic" w:hAnsi="Times New Roman" w:cs="Times New Roman"/>
          <w:sz w:val="20"/>
        </w:rPr>
        <w:t>On the left side, it shows the log-differenced daily returns of the KOSPI index from January 2, 2006, to December 29, 2022, and on the right side, it presents the monthly realized volatility from January 2006 to December 2022.</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8"/>
        <w:gridCol w:w="4148"/>
      </w:tblGrid>
      <w:tr w:rsidR="006D48C6" w:rsidTr="00C819A8">
        <w:trPr>
          <w:trHeight w:val="3511"/>
        </w:trPr>
        <w:tc>
          <w:tcPr>
            <w:tcW w:w="4148" w:type="dxa"/>
          </w:tcPr>
          <w:p w:rsidR="006D48C6" w:rsidRDefault="006D48C6" w:rsidP="00C819A8">
            <w:pPr>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38F5D168" wp14:editId="496F57F9">
                  <wp:extent cx="2531550" cy="1974801"/>
                  <wp:effectExtent l="0" t="0" r="0" b="0"/>
                  <wp:docPr id="394894737"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94737" name="图片 1" descr="图表, 直方图&#10;&#10;描述已自动生成"/>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14390" cy="2039422"/>
                          </a:xfrm>
                          <a:prstGeom prst="rect">
                            <a:avLst/>
                          </a:prstGeom>
                        </pic:spPr>
                      </pic:pic>
                    </a:graphicData>
                  </a:graphic>
                </wp:inline>
              </w:drawing>
            </w:r>
          </w:p>
        </w:tc>
        <w:tc>
          <w:tcPr>
            <w:tcW w:w="4148" w:type="dxa"/>
          </w:tcPr>
          <w:p w:rsidR="006D48C6" w:rsidRDefault="006D48C6" w:rsidP="00C819A8">
            <w:pPr>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4F8ED973" wp14:editId="3639037E">
                  <wp:extent cx="2608580" cy="1981835"/>
                  <wp:effectExtent l="0" t="0" r="0" b="0"/>
                  <wp:docPr id="1193765066" name="图片 2"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65066" name="图片 2" descr="图表, 直方图&#10;&#10;描述已自动生成"/>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30394" cy="1998408"/>
                          </a:xfrm>
                          <a:prstGeom prst="rect">
                            <a:avLst/>
                          </a:prstGeom>
                        </pic:spPr>
                      </pic:pic>
                    </a:graphicData>
                  </a:graphic>
                </wp:inline>
              </w:drawing>
            </w:r>
          </w:p>
        </w:tc>
      </w:tr>
      <w:tr w:rsidR="006D48C6" w:rsidTr="00C819A8">
        <w:trPr>
          <w:trHeight w:val="129"/>
        </w:trPr>
        <w:tc>
          <w:tcPr>
            <w:tcW w:w="4148" w:type="dxa"/>
          </w:tcPr>
          <w:p w:rsidR="006D48C6" w:rsidRDefault="006D48C6" w:rsidP="00C819A8">
            <w:pPr>
              <w:spacing w:line="240" w:lineRule="auto"/>
              <w:jc w:val="center"/>
              <w:rPr>
                <w:rFonts w:ascii="Times New Roman" w:hAnsi="Times New Roman" w:cs="Times New Roman"/>
                <w:sz w:val="18"/>
                <w:szCs w:val="18"/>
              </w:rPr>
            </w:pPr>
            <w:r>
              <w:rPr>
                <w:rFonts w:ascii="Times New Roman" w:hAnsi="Times New Roman" w:cs="Times New Roman"/>
                <w:sz w:val="18"/>
                <w:szCs w:val="18"/>
              </w:rPr>
              <w:t>Return</w:t>
            </w:r>
          </w:p>
        </w:tc>
        <w:tc>
          <w:tcPr>
            <w:tcW w:w="4148" w:type="dxa"/>
          </w:tcPr>
          <w:p w:rsidR="006D48C6" w:rsidRDefault="006D48C6" w:rsidP="00C819A8">
            <w:pPr>
              <w:spacing w:line="240" w:lineRule="auto"/>
              <w:jc w:val="center"/>
              <w:rPr>
                <w:rFonts w:ascii="Times New Roman" w:hAnsi="Times New Roman" w:cs="Times New Roman"/>
                <w:sz w:val="18"/>
                <w:szCs w:val="18"/>
              </w:rPr>
            </w:pPr>
            <w:r>
              <w:rPr>
                <w:rFonts w:ascii="Times New Roman" w:hAnsi="Times New Roman" w:cs="Times New Roman" w:hint="eastAsia"/>
                <w:sz w:val="18"/>
                <w:szCs w:val="18"/>
              </w:rPr>
              <w:t>V</w:t>
            </w:r>
            <w:r>
              <w:rPr>
                <w:rFonts w:ascii="Times New Roman" w:hAnsi="Times New Roman" w:cs="Times New Roman"/>
                <w:sz w:val="18"/>
                <w:szCs w:val="18"/>
              </w:rPr>
              <w:t>olatility</w:t>
            </w:r>
          </w:p>
        </w:tc>
      </w:tr>
    </w:tbl>
    <w:p w:rsidR="006D48C6" w:rsidRPr="00CB3B13" w:rsidRDefault="006D48C6" w:rsidP="006D48C6"/>
    <w:p w:rsidR="006D48C6" w:rsidRPr="00F04EC5" w:rsidRDefault="009970BA" w:rsidP="009970BA">
      <w:pPr>
        <w:pStyle w:val="af4"/>
        <w:rPr>
          <w:b w:val="0"/>
          <w:sz w:val="22"/>
          <w:szCs w:val="22"/>
        </w:rPr>
      </w:pPr>
      <w:bookmarkStart w:id="3" w:name="_Ref205802384"/>
      <w:r w:rsidRPr="009970BA">
        <w:rPr>
          <w:sz w:val="22"/>
          <w:szCs w:val="22"/>
        </w:rPr>
        <w:t xml:space="preserve">Figure </w:t>
      </w:r>
      <w:r w:rsidRPr="009970BA">
        <w:rPr>
          <w:sz w:val="22"/>
          <w:szCs w:val="22"/>
        </w:rPr>
        <w:fldChar w:fldCharType="begin"/>
      </w:r>
      <w:r w:rsidRPr="009970BA">
        <w:rPr>
          <w:sz w:val="22"/>
          <w:szCs w:val="22"/>
        </w:rPr>
        <w:instrText xml:space="preserve"> SEQ Figure \* ARABIC </w:instrText>
      </w:r>
      <w:r w:rsidRPr="009970BA">
        <w:rPr>
          <w:sz w:val="22"/>
          <w:szCs w:val="22"/>
        </w:rPr>
        <w:fldChar w:fldCharType="separate"/>
      </w:r>
      <w:r w:rsidRPr="009970BA">
        <w:rPr>
          <w:noProof/>
          <w:sz w:val="22"/>
          <w:szCs w:val="22"/>
        </w:rPr>
        <w:t>2</w:t>
      </w:r>
      <w:r w:rsidRPr="009970BA">
        <w:rPr>
          <w:sz w:val="22"/>
          <w:szCs w:val="22"/>
        </w:rPr>
        <w:fldChar w:fldCharType="end"/>
      </w:r>
      <w:bookmarkEnd w:id="3"/>
      <w:r w:rsidRPr="009970BA">
        <w:rPr>
          <w:sz w:val="22"/>
          <w:szCs w:val="22"/>
        </w:rPr>
        <w:t>.</w:t>
      </w:r>
      <w:r w:rsidR="006D48C6" w:rsidRPr="009970BA">
        <w:rPr>
          <w:sz w:val="22"/>
          <w:szCs w:val="22"/>
        </w:rPr>
        <w:t xml:space="preserve"> Time</w:t>
      </w:r>
      <w:r w:rsidR="006D48C6" w:rsidRPr="00F04EC5">
        <w:rPr>
          <w:sz w:val="22"/>
          <w:szCs w:val="22"/>
        </w:rPr>
        <w:t xml:space="preserve">-series of the sentiment index </w:t>
      </w:r>
    </w:p>
    <w:p w:rsidR="006D48C6" w:rsidRPr="000959E2" w:rsidRDefault="006D48C6" w:rsidP="006D48C6">
      <w:pPr>
        <w:wordWrap w:val="0"/>
        <w:autoSpaceDE w:val="0"/>
        <w:autoSpaceDN w:val="0"/>
        <w:spacing w:before="0" w:after="0" w:line="240" w:lineRule="auto"/>
        <w:contextualSpacing w:val="0"/>
        <w:rPr>
          <w:rFonts w:ascii="Times New Roman" w:eastAsia="Malgun Gothic" w:hAnsi="Times New Roman" w:cs="Times New Roman"/>
          <w:sz w:val="20"/>
        </w:rPr>
      </w:pPr>
      <w:r w:rsidRPr="000959E2">
        <w:rPr>
          <w:rFonts w:ascii="Times New Roman" w:eastAsia="Malgun Gothic" w:hAnsi="Times New Roman" w:cs="Times New Roman"/>
          <w:sz w:val="20"/>
        </w:rPr>
        <w:t>This figure presents the sentiment index and its changes. The changes are multiplied by 100.</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8"/>
        <w:gridCol w:w="4148"/>
      </w:tblGrid>
      <w:tr w:rsidR="006D48C6" w:rsidTr="00C819A8">
        <w:trPr>
          <w:trHeight w:val="3008"/>
        </w:trPr>
        <w:tc>
          <w:tcPr>
            <w:tcW w:w="4148" w:type="dxa"/>
          </w:tcPr>
          <w:p w:rsidR="006D48C6" w:rsidRPr="00580304" w:rsidRDefault="006D48C6" w:rsidP="00C819A8">
            <w:pPr>
              <w:keepNext/>
              <w:spacing w:line="240" w:lineRule="auto"/>
              <w:jc w:val="center"/>
            </w:pPr>
            <w:r>
              <w:rPr>
                <w:noProof/>
              </w:rPr>
              <w:drawing>
                <wp:inline distT="0" distB="0" distL="0" distR="0" wp14:anchorId="4447D622" wp14:editId="12EEBCA2">
                  <wp:extent cx="2499233" cy="2052125"/>
                  <wp:effectExtent l="0" t="0" r="3175" b="5715"/>
                  <wp:docPr id="949183994" name="图片 949183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83994" name="图片 9491839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22364" cy="2071118"/>
                          </a:xfrm>
                          <a:prstGeom prst="rect">
                            <a:avLst/>
                          </a:prstGeom>
                        </pic:spPr>
                      </pic:pic>
                    </a:graphicData>
                  </a:graphic>
                </wp:inline>
              </w:drawing>
            </w:r>
          </w:p>
        </w:tc>
        <w:tc>
          <w:tcPr>
            <w:tcW w:w="4148" w:type="dxa"/>
          </w:tcPr>
          <w:p w:rsidR="006D48C6" w:rsidRDefault="006D48C6" w:rsidP="00C819A8">
            <w:pPr>
              <w:keepNext/>
              <w:spacing w:line="240" w:lineRule="auto"/>
              <w:jc w:val="center"/>
            </w:pPr>
            <w:r>
              <w:rPr>
                <w:noProof/>
              </w:rPr>
              <w:drawing>
                <wp:inline distT="0" distB="0" distL="0" distR="0" wp14:anchorId="6BC74401" wp14:editId="5688BA32">
                  <wp:extent cx="2496820" cy="2023989"/>
                  <wp:effectExtent l="0" t="0" r="5080" b="0"/>
                  <wp:docPr id="907061742" name="图片 90706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61742" name="图片 9070617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2389" cy="2028504"/>
                          </a:xfrm>
                          <a:prstGeom prst="rect">
                            <a:avLst/>
                          </a:prstGeom>
                        </pic:spPr>
                      </pic:pic>
                    </a:graphicData>
                  </a:graphic>
                </wp:inline>
              </w:drawing>
            </w:r>
          </w:p>
        </w:tc>
      </w:tr>
      <w:tr w:rsidR="006D48C6" w:rsidTr="00C819A8">
        <w:tc>
          <w:tcPr>
            <w:tcW w:w="4148" w:type="dxa"/>
          </w:tcPr>
          <w:p w:rsidR="006D48C6" w:rsidRPr="00917813" w:rsidRDefault="006D48C6" w:rsidP="00C819A8">
            <w:pPr>
              <w:keepNext/>
              <w:spacing w:line="240" w:lineRule="auto"/>
              <w:jc w:val="center"/>
              <w:rPr>
                <w:rFonts w:ascii="Times New Roman" w:hAnsi="Times New Roman" w:cs="Times New Roman"/>
                <w:sz w:val="18"/>
                <w:szCs w:val="18"/>
              </w:rPr>
            </w:pPr>
            <w:r>
              <w:rPr>
                <w:rFonts w:ascii="Times New Roman" w:hAnsi="Times New Roman" w:cs="Times New Roman"/>
                <w:sz w:val="18"/>
                <w:szCs w:val="18"/>
              </w:rPr>
              <w:t>SENT</w:t>
            </w:r>
          </w:p>
        </w:tc>
        <w:tc>
          <w:tcPr>
            <w:tcW w:w="4148" w:type="dxa"/>
          </w:tcPr>
          <w:p w:rsidR="006D48C6" w:rsidRPr="00917813" w:rsidRDefault="006D48C6" w:rsidP="00C819A8">
            <w:pPr>
              <w:keepNext/>
              <w:spacing w:line="240" w:lineRule="auto"/>
              <w:jc w:val="center"/>
              <w:rPr>
                <w:rFonts w:ascii="Times New Roman" w:hAnsi="Times New Roman" w:cs="Times New Roman"/>
                <w:sz w:val="18"/>
                <w:szCs w:val="18"/>
              </w:rPr>
            </w:pPr>
            <m:oMathPara>
              <m:oMath>
                <m:r>
                  <m:rPr>
                    <m:sty m:val="p"/>
                  </m:rPr>
                  <w:rPr>
                    <w:rFonts w:ascii="Cambria Math" w:hAnsi="Cambria Math" w:cs="Times New Roman"/>
                    <w:sz w:val="18"/>
                    <w:szCs w:val="18"/>
                  </w:rPr>
                  <m:t>ΔSENT</m:t>
                </m:r>
              </m:oMath>
            </m:oMathPara>
          </w:p>
        </w:tc>
      </w:tr>
    </w:tbl>
    <w:p w:rsidR="00DA2D05" w:rsidRPr="0018478D" w:rsidRDefault="00DA2D05" w:rsidP="00DA2D05">
      <w:pPr>
        <w:rPr>
          <w:lang w:eastAsia="zh-CN"/>
        </w:rPr>
      </w:pPr>
    </w:p>
    <w:sectPr w:rsidR="00DA2D05" w:rsidRPr="001847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3109" w:rsidRDefault="00EA3109" w:rsidP="0018478D">
      <w:pPr>
        <w:spacing w:before="0" w:after="0" w:line="240" w:lineRule="auto"/>
      </w:pPr>
      <w:r>
        <w:separator/>
      </w:r>
    </w:p>
  </w:endnote>
  <w:endnote w:type="continuationSeparator" w:id="0">
    <w:p w:rsidR="00EA3109" w:rsidRDefault="00EA3109" w:rsidP="001847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3109" w:rsidRDefault="00EA3109" w:rsidP="0018478D">
      <w:pPr>
        <w:spacing w:before="0" w:after="0" w:line="240" w:lineRule="auto"/>
      </w:pPr>
      <w:r>
        <w:separator/>
      </w:r>
    </w:p>
  </w:footnote>
  <w:footnote w:type="continuationSeparator" w:id="0">
    <w:p w:rsidR="00EA3109" w:rsidRDefault="00EA3109" w:rsidP="0018478D">
      <w:pPr>
        <w:spacing w:before="0" w:after="0" w:line="240" w:lineRule="auto"/>
      </w:pPr>
      <w:r>
        <w:continuationSeparator/>
      </w:r>
    </w:p>
  </w:footnote>
  <w:footnote w:id="1">
    <w:p w:rsidR="0018478D" w:rsidRPr="00A858DA" w:rsidRDefault="0018478D" w:rsidP="0018478D">
      <w:pPr>
        <w:pStyle w:val="af"/>
      </w:pPr>
      <w:r w:rsidRPr="00A858DA">
        <w:rPr>
          <w:rStyle w:val="ae"/>
        </w:rPr>
        <w:footnoteRef/>
      </w:r>
      <w:r w:rsidRPr="00A858DA">
        <w:rPr>
          <w:rStyle w:val="ae"/>
        </w:rPr>
        <w:t xml:space="preserve"> tradingeconomics.com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Batang&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ex0vav2wexe8etpdrxdfw4rpzw909d0sft&quot;&gt;senti&lt;record-ids&gt;&lt;item&gt;4&lt;/item&gt;&lt;item&gt;6&lt;/item&gt;&lt;item&gt;11&lt;/item&gt;&lt;item&gt;16&lt;/item&gt;&lt;item&gt;17&lt;/item&gt;&lt;item&gt;27&lt;/item&gt;&lt;item&gt;31&lt;/item&gt;&lt;item&gt;32&lt;/item&gt;&lt;item&gt;36&lt;/item&gt;&lt;item&gt;55&lt;/item&gt;&lt;item&gt;56&lt;/item&gt;&lt;/record-ids&gt;&lt;/item&gt;&lt;/Libraries&gt;"/>
  </w:docVars>
  <w:rsids>
    <w:rsidRoot w:val="0018478D"/>
    <w:rsid w:val="00015E75"/>
    <w:rsid w:val="00033CD4"/>
    <w:rsid w:val="000466BC"/>
    <w:rsid w:val="00057A71"/>
    <w:rsid w:val="000637F4"/>
    <w:rsid w:val="000A0228"/>
    <w:rsid w:val="000B3E80"/>
    <w:rsid w:val="000C62A2"/>
    <w:rsid w:val="00143588"/>
    <w:rsid w:val="00181FEA"/>
    <w:rsid w:val="0018478D"/>
    <w:rsid w:val="00194CE3"/>
    <w:rsid w:val="001A7374"/>
    <w:rsid w:val="001E4210"/>
    <w:rsid w:val="002A6BCB"/>
    <w:rsid w:val="002E2F0B"/>
    <w:rsid w:val="002E3401"/>
    <w:rsid w:val="002F289E"/>
    <w:rsid w:val="0032094B"/>
    <w:rsid w:val="00350127"/>
    <w:rsid w:val="00351C72"/>
    <w:rsid w:val="00372E5A"/>
    <w:rsid w:val="003979B2"/>
    <w:rsid w:val="003D76B3"/>
    <w:rsid w:val="004509DE"/>
    <w:rsid w:val="004A4C3E"/>
    <w:rsid w:val="004E71FA"/>
    <w:rsid w:val="005071E0"/>
    <w:rsid w:val="005540DF"/>
    <w:rsid w:val="00586083"/>
    <w:rsid w:val="005B20DE"/>
    <w:rsid w:val="005B5CCE"/>
    <w:rsid w:val="005F10B3"/>
    <w:rsid w:val="00613A33"/>
    <w:rsid w:val="006218CB"/>
    <w:rsid w:val="00627D19"/>
    <w:rsid w:val="00687A79"/>
    <w:rsid w:val="006A7603"/>
    <w:rsid w:val="006D48C6"/>
    <w:rsid w:val="0070654B"/>
    <w:rsid w:val="00717B72"/>
    <w:rsid w:val="00720851"/>
    <w:rsid w:val="00730591"/>
    <w:rsid w:val="00780C41"/>
    <w:rsid w:val="00790F8D"/>
    <w:rsid w:val="007E033A"/>
    <w:rsid w:val="00824A3D"/>
    <w:rsid w:val="008453B3"/>
    <w:rsid w:val="00860E72"/>
    <w:rsid w:val="00872EA1"/>
    <w:rsid w:val="0092014F"/>
    <w:rsid w:val="009444C4"/>
    <w:rsid w:val="00946B49"/>
    <w:rsid w:val="00953CF5"/>
    <w:rsid w:val="009847B3"/>
    <w:rsid w:val="009970BA"/>
    <w:rsid w:val="009A73E6"/>
    <w:rsid w:val="009F78A9"/>
    <w:rsid w:val="00A24EDA"/>
    <w:rsid w:val="00A5076D"/>
    <w:rsid w:val="00A84053"/>
    <w:rsid w:val="00AB3CC7"/>
    <w:rsid w:val="00B0291E"/>
    <w:rsid w:val="00B14BC6"/>
    <w:rsid w:val="00B15B02"/>
    <w:rsid w:val="00B3118E"/>
    <w:rsid w:val="00B423AC"/>
    <w:rsid w:val="00B71D83"/>
    <w:rsid w:val="00B82EDF"/>
    <w:rsid w:val="00B85E02"/>
    <w:rsid w:val="00BC47E5"/>
    <w:rsid w:val="00BE265B"/>
    <w:rsid w:val="00BF449B"/>
    <w:rsid w:val="00C151B4"/>
    <w:rsid w:val="00C34713"/>
    <w:rsid w:val="00CB1AB1"/>
    <w:rsid w:val="00CC314F"/>
    <w:rsid w:val="00CD18BC"/>
    <w:rsid w:val="00CD7F9D"/>
    <w:rsid w:val="00D03DBE"/>
    <w:rsid w:val="00D336B1"/>
    <w:rsid w:val="00D44C72"/>
    <w:rsid w:val="00D529E2"/>
    <w:rsid w:val="00D92D35"/>
    <w:rsid w:val="00DA2D05"/>
    <w:rsid w:val="00DC3B61"/>
    <w:rsid w:val="00DC7C76"/>
    <w:rsid w:val="00E034AC"/>
    <w:rsid w:val="00E17F05"/>
    <w:rsid w:val="00E4338E"/>
    <w:rsid w:val="00E717A0"/>
    <w:rsid w:val="00EA3109"/>
    <w:rsid w:val="00EE4ED1"/>
    <w:rsid w:val="00F95590"/>
    <w:rsid w:val="00FB0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1BBAF"/>
  <w15:chartTrackingRefBased/>
  <w15:docId w15:val="{2DB92BDC-38C3-1146-80A7-457ED55B4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478D"/>
    <w:pPr>
      <w:widowControl w:val="0"/>
      <w:spacing w:before="120" w:after="120" w:line="480" w:lineRule="auto"/>
      <w:contextualSpacing/>
      <w:jc w:val="both"/>
    </w:pPr>
    <w:rPr>
      <w:rFonts w:ascii="Batang" w:eastAsia="Batang" w:hAnsi="Batang" w:cs="Batang"/>
      <w:szCs w:val="22"/>
      <w:lang w:eastAsia="ko-KR"/>
      <w14:ligatures w14:val="none"/>
    </w:rPr>
  </w:style>
  <w:style w:type="paragraph" w:styleId="1">
    <w:name w:val="heading 1"/>
    <w:basedOn w:val="a"/>
    <w:next w:val="a"/>
    <w:link w:val="10"/>
    <w:uiPriority w:val="9"/>
    <w:qFormat/>
    <w:rsid w:val="0018478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8478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8478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18478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8478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8478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847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47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847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478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8478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8478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18478D"/>
    <w:rPr>
      <w:rFonts w:cstheme="majorBidi"/>
      <w:color w:val="2F5496" w:themeColor="accent1" w:themeShade="BF"/>
      <w:sz w:val="28"/>
      <w:szCs w:val="28"/>
    </w:rPr>
  </w:style>
  <w:style w:type="character" w:customStyle="1" w:styleId="50">
    <w:name w:val="标题 5 字符"/>
    <w:basedOn w:val="a0"/>
    <w:link w:val="5"/>
    <w:uiPriority w:val="9"/>
    <w:semiHidden/>
    <w:rsid w:val="0018478D"/>
    <w:rPr>
      <w:rFonts w:cstheme="majorBidi"/>
      <w:color w:val="2F5496" w:themeColor="accent1" w:themeShade="BF"/>
      <w:sz w:val="24"/>
    </w:rPr>
  </w:style>
  <w:style w:type="character" w:customStyle="1" w:styleId="60">
    <w:name w:val="标题 6 字符"/>
    <w:basedOn w:val="a0"/>
    <w:link w:val="6"/>
    <w:uiPriority w:val="9"/>
    <w:semiHidden/>
    <w:rsid w:val="0018478D"/>
    <w:rPr>
      <w:rFonts w:cstheme="majorBidi"/>
      <w:b/>
      <w:bCs/>
      <w:color w:val="2F5496" w:themeColor="accent1" w:themeShade="BF"/>
    </w:rPr>
  </w:style>
  <w:style w:type="character" w:customStyle="1" w:styleId="70">
    <w:name w:val="标题 7 字符"/>
    <w:basedOn w:val="a0"/>
    <w:link w:val="7"/>
    <w:uiPriority w:val="9"/>
    <w:semiHidden/>
    <w:rsid w:val="0018478D"/>
    <w:rPr>
      <w:rFonts w:cstheme="majorBidi"/>
      <w:b/>
      <w:bCs/>
      <w:color w:val="595959" w:themeColor="text1" w:themeTint="A6"/>
    </w:rPr>
  </w:style>
  <w:style w:type="character" w:customStyle="1" w:styleId="80">
    <w:name w:val="标题 8 字符"/>
    <w:basedOn w:val="a0"/>
    <w:link w:val="8"/>
    <w:uiPriority w:val="9"/>
    <w:semiHidden/>
    <w:rsid w:val="0018478D"/>
    <w:rPr>
      <w:rFonts w:cstheme="majorBidi"/>
      <w:color w:val="595959" w:themeColor="text1" w:themeTint="A6"/>
    </w:rPr>
  </w:style>
  <w:style w:type="character" w:customStyle="1" w:styleId="90">
    <w:name w:val="标题 9 字符"/>
    <w:basedOn w:val="a0"/>
    <w:link w:val="9"/>
    <w:uiPriority w:val="9"/>
    <w:semiHidden/>
    <w:rsid w:val="0018478D"/>
    <w:rPr>
      <w:rFonts w:eastAsiaTheme="majorEastAsia" w:cstheme="majorBidi"/>
      <w:color w:val="595959" w:themeColor="text1" w:themeTint="A6"/>
    </w:rPr>
  </w:style>
  <w:style w:type="paragraph" w:styleId="a3">
    <w:name w:val="Title"/>
    <w:basedOn w:val="a"/>
    <w:next w:val="a"/>
    <w:link w:val="a4"/>
    <w:uiPriority w:val="10"/>
    <w:qFormat/>
    <w:rsid w:val="0018478D"/>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47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47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47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478D"/>
    <w:pPr>
      <w:spacing w:before="160"/>
      <w:jc w:val="center"/>
    </w:pPr>
    <w:rPr>
      <w:i/>
      <w:iCs/>
      <w:color w:val="404040" w:themeColor="text1" w:themeTint="BF"/>
    </w:rPr>
  </w:style>
  <w:style w:type="character" w:customStyle="1" w:styleId="a8">
    <w:name w:val="引用 字符"/>
    <w:basedOn w:val="a0"/>
    <w:link w:val="a7"/>
    <w:uiPriority w:val="29"/>
    <w:rsid w:val="0018478D"/>
    <w:rPr>
      <w:i/>
      <w:iCs/>
      <w:color w:val="404040" w:themeColor="text1" w:themeTint="BF"/>
    </w:rPr>
  </w:style>
  <w:style w:type="paragraph" w:styleId="a9">
    <w:name w:val="List Paragraph"/>
    <w:basedOn w:val="a"/>
    <w:uiPriority w:val="34"/>
    <w:qFormat/>
    <w:rsid w:val="0018478D"/>
    <w:pPr>
      <w:ind w:left="720"/>
    </w:pPr>
  </w:style>
  <w:style w:type="character" w:styleId="aa">
    <w:name w:val="Intense Emphasis"/>
    <w:basedOn w:val="a0"/>
    <w:uiPriority w:val="21"/>
    <w:qFormat/>
    <w:rsid w:val="0018478D"/>
    <w:rPr>
      <w:i/>
      <w:iCs/>
      <w:color w:val="2F5496" w:themeColor="accent1" w:themeShade="BF"/>
    </w:rPr>
  </w:style>
  <w:style w:type="paragraph" w:styleId="ab">
    <w:name w:val="Intense Quote"/>
    <w:basedOn w:val="a"/>
    <w:next w:val="a"/>
    <w:link w:val="ac"/>
    <w:uiPriority w:val="30"/>
    <w:qFormat/>
    <w:rsid w:val="00184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8478D"/>
    <w:rPr>
      <w:i/>
      <w:iCs/>
      <w:color w:val="2F5496" w:themeColor="accent1" w:themeShade="BF"/>
    </w:rPr>
  </w:style>
  <w:style w:type="character" w:styleId="ad">
    <w:name w:val="Intense Reference"/>
    <w:basedOn w:val="a0"/>
    <w:uiPriority w:val="32"/>
    <w:qFormat/>
    <w:rsid w:val="0018478D"/>
    <w:rPr>
      <w:b/>
      <w:bCs/>
      <w:smallCaps/>
      <w:color w:val="2F5496" w:themeColor="accent1" w:themeShade="BF"/>
      <w:spacing w:val="5"/>
    </w:rPr>
  </w:style>
  <w:style w:type="character" w:styleId="ae">
    <w:name w:val="footnote reference"/>
    <w:basedOn w:val="a0"/>
    <w:uiPriority w:val="99"/>
    <w:semiHidden/>
    <w:unhideWhenUsed/>
    <w:rsid w:val="0018478D"/>
    <w:rPr>
      <w:vertAlign w:val="superscript"/>
    </w:rPr>
  </w:style>
  <w:style w:type="paragraph" w:customStyle="1" w:styleId="af">
    <w:name w:val="논문 각주"/>
    <w:basedOn w:val="af0"/>
    <w:qFormat/>
    <w:rsid w:val="0018478D"/>
    <w:pPr>
      <w:wordWrap w:val="0"/>
      <w:autoSpaceDE w:val="0"/>
      <w:autoSpaceDN w:val="0"/>
      <w:spacing w:before="0" w:after="0" w:line="240" w:lineRule="auto"/>
      <w:contextualSpacing w:val="0"/>
      <w:jc w:val="both"/>
    </w:pPr>
    <w:rPr>
      <w:rFonts w:ascii="Times New Roman" w:eastAsiaTheme="minorEastAsia" w:hAnsi="Times New Roman" w:cs="Times New Roman"/>
      <w:sz w:val="20"/>
      <w:szCs w:val="20"/>
    </w:rPr>
  </w:style>
  <w:style w:type="paragraph" w:styleId="af0">
    <w:name w:val="footnote text"/>
    <w:basedOn w:val="a"/>
    <w:link w:val="af1"/>
    <w:uiPriority w:val="99"/>
    <w:semiHidden/>
    <w:unhideWhenUsed/>
    <w:rsid w:val="0018478D"/>
    <w:pPr>
      <w:snapToGrid w:val="0"/>
      <w:jc w:val="left"/>
    </w:pPr>
    <w:rPr>
      <w:sz w:val="18"/>
      <w:szCs w:val="18"/>
    </w:rPr>
  </w:style>
  <w:style w:type="character" w:customStyle="1" w:styleId="af1">
    <w:name w:val="脚注文本 字符"/>
    <w:basedOn w:val="a0"/>
    <w:link w:val="af0"/>
    <w:uiPriority w:val="99"/>
    <w:semiHidden/>
    <w:rsid w:val="0018478D"/>
    <w:rPr>
      <w:rFonts w:ascii="Batang" w:eastAsia="Batang" w:hAnsi="Batang" w:cs="Batang"/>
      <w:sz w:val="18"/>
      <w:szCs w:val="18"/>
      <w:lang w:eastAsia="ko-KR"/>
      <w14:ligatures w14:val="none"/>
    </w:rPr>
  </w:style>
  <w:style w:type="paragraph" w:customStyle="1" w:styleId="EndNoteBibliographyTitle">
    <w:name w:val="EndNote Bibliography Title"/>
    <w:basedOn w:val="a"/>
    <w:link w:val="EndNoteBibliographyTitle0"/>
    <w:rsid w:val="00DA2D05"/>
    <w:pPr>
      <w:spacing w:after="0"/>
      <w:jc w:val="center"/>
    </w:pPr>
  </w:style>
  <w:style w:type="character" w:customStyle="1" w:styleId="EndNoteBibliographyTitle0">
    <w:name w:val="EndNote Bibliography Title 字符"/>
    <w:basedOn w:val="a0"/>
    <w:link w:val="EndNoteBibliographyTitle"/>
    <w:rsid w:val="00DA2D05"/>
    <w:rPr>
      <w:rFonts w:ascii="Batang" w:eastAsia="Batang" w:hAnsi="Batang" w:cs="Batang"/>
      <w:szCs w:val="22"/>
      <w:lang w:eastAsia="ko-KR"/>
      <w14:ligatures w14:val="none"/>
    </w:rPr>
  </w:style>
  <w:style w:type="paragraph" w:customStyle="1" w:styleId="EndNoteBibliography">
    <w:name w:val="EndNote Bibliography"/>
    <w:basedOn w:val="a"/>
    <w:link w:val="EndNoteBibliography0"/>
    <w:rsid w:val="00DA2D05"/>
    <w:pPr>
      <w:spacing w:line="240" w:lineRule="auto"/>
    </w:pPr>
  </w:style>
  <w:style w:type="character" w:customStyle="1" w:styleId="EndNoteBibliography0">
    <w:name w:val="EndNote Bibliography 字符"/>
    <w:basedOn w:val="a0"/>
    <w:link w:val="EndNoteBibliography"/>
    <w:rsid w:val="00DA2D05"/>
    <w:rPr>
      <w:rFonts w:ascii="Batang" w:eastAsia="Batang" w:hAnsi="Batang" w:cs="Batang"/>
      <w:szCs w:val="22"/>
      <w:lang w:eastAsia="ko-KR"/>
      <w14:ligatures w14:val="none"/>
    </w:rPr>
  </w:style>
  <w:style w:type="character" w:styleId="af2">
    <w:name w:val="Hyperlink"/>
    <w:basedOn w:val="a0"/>
    <w:uiPriority w:val="99"/>
    <w:unhideWhenUsed/>
    <w:rsid w:val="00DA2D05"/>
    <w:rPr>
      <w:color w:val="0563C1" w:themeColor="hyperlink"/>
      <w:u w:val="single"/>
    </w:rPr>
  </w:style>
  <w:style w:type="character" w:customStyle="1" w:styleId="11">
    <w:name w:val="未处理的提及1"/>
    <w:basedOn w:val="a0"/>
    <w:uiPriority w:val="99"/>
    <w:semiHidden/>
    <w:unhideWhenUsed/>
    <w:rsid w:val="00DA2D05"/>
    <w:rPr>
      <w:color w:val="605E5C"/>
      <w:shd w:val="clear" w:color="auto" w:fill="E1DFDD"/>
    </w:rPr>
  </w:style>
  <w:style w:type="paragraph" w:customStyle="1" w:styleId="MDPI22heading2">
    <w:name w:val="MDPI_2.2_heading2"/>
    <w:qFormat/>
    <w:rsid w:val="0092014F"/>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kern w:val="0"/>
      <w:sz w:val="20"/>
      <w:szCs w:val="22"/>
      <w:lang w:eastAsia="de-DE" w:bidi="en-US"/>
      <w14:ligatures w14:val="none"/>
    </w:rPr>
  </w:style>
  <w:style w:type="paragraph" w:styleId="af3">
    <w:name w:val="No Spacing"/>
    <w:aliases w:val="图"/>
    <w:autoRedefine/>
    <w:uiPriority w:val="1"/>
    <w:qFormat/>
    <w:rsid w:val="006D48C6"/>
    <w:pPr>
      <w:keepNext/>
      <w:widowControl w:val="0"/>
      <w:spacing w:after="0" w:line="240" w:lineRule="auto"/>
      <w:contextualSpacing/>
      <w:jc w:val="center"/>
    </w:pPr>
    <w:rPr>
      <w:rFonts w:ascii="Times New Roman" w:eastAsia="Times New Roman" w:hAnsi="Times New Roman" w:cs="Times New Roman"/>
      <w:b/>
      <w:sz w:val="24"/>
      <w:szCs w:val="18"/>
      <w14:ligatures w14:val="none"/>
    </w:rPr>
  </w:style>
  <w:style w:type="paragraph" w:styleId="af4">
    <w:name w:val="caption"/>
    <w:aliases w:val="题注，表格头"/>
    <w:next w:val="a"/>
    <w:autoRedefine/>
    <w:uiPriority w:val="35"/>
    <w:unhideWhenUsed/>
    <w:qFormat/>
    <w:rsid w:val="006D48C6"/>
    <w:pPr>
      <w:keepNext/>
      <w:spacing w:after="0" w:line="240" w:lineRule="auto"/>
      <w:jc w:val="both"/>
    </w:pPr>
    <w:rPr>
      <w:rFonts w:ascii="Times New Roman" w:eastAsia="Times New Roman" w:hAnsi="Times New Roman" w:cs="Times New Roman"/>
      <w:b/>
      <w:bCs/>
      <w:color w:val="000000" w:themeColor="text1"/>
      <w:sz w:val="18"/>
      <w:szCs w:val="18"/>
      <w:lang w:eastAsia="ko-KR"/>
      <w14:ligatures w14:val="none"/>
    </w:rPr>
  </w:style>
  <w:style w:type="table" w:styleId="af5">
    <w:name w:val="Table Grid"/>
    <w:basedOn w:val="a1"/>
    <w:uiPriority w:val="39"/>
    <w:rsid w:val="006D48C6"/>
    <w:pPr>
      <w:spacing w:after="0" w:line="240" w:lineRule="auto"/>
    </w:pPr>
    <w:rPr>
      <w:sz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header"/>
    <w:basedOn w:val="a"/>
    <w:link w:val="af7"/>
    <w:uiPriority w:val="99"/>
    <w:unhideWhenUsed/>
    <w:rsid w:val="003D76B3"/>
    <w:pPr>
      <w:tabs>
        <w:tab w:val="center" w:pos="4513"/>
        <w:tab w:val="right" w:pos="9026"/>
      </w:tabs>
      <w:snapToGrid w:val="0"/>
    </w:pPr>
  </w:style>
  <w:style w:type="character" w:customStyle="1" w:styleId="af7">
    <w:name w:val="页眉 字符"/>
    <w:basedOn w:val="a0"/>
    <w:link w:val="af6"/>
    <w:uiPriority w:val="99"/>
    <w:rsid w:val="003D76B3"/>
    <w:rPr>
      <w:rFonts w:ascii="Batang" w:eastAsia="Batang" w:hAnsi="Batang" w:cs="Batang"/>
      <w:szCs w:val="22"/>
      <w:lang w:eastAsia="ko-KR"/>
      <w14:ligatures w14:val="none"/>
    </w:rPr>
  </w:style>
  <w:style w:type="paragraph" w:styleId="af8">
    <w:name w:val="footer"/>
    <w:basedOn w:val="a"/>
    <w:link w:val="af9"/>
    <w:uiPriority w:val="99"/>
    <w:unhideWhenUsed/>
    <w:rsid w:val="003D76B3"/>
    <w:pPr>
      <w:tabs>
        <w:tab w:val="center" w:pos="4513"/>
        <w:tab w:val="right" w:pos="9026"/>
      </w:tabs>
      <w:snapToGrid w:val="0"/>
    </w:pPr>
  </w:style>
  <w:style w:type="character" w:customStyle="1" w:styleId="af9">
    <w:name w:val="页脚 字符"/>
    <w:basedOn w:val="a0"/>
    <w:link w:val="af8"/>
    <w:uiPriority w:val="99"/>
    <w:rsid w:val="003D76B3"/>
    <w:rPr>
      <w:rFonts w:ascii="Batang" w:eastAsia="Batang" w:hAnsi="Batang" w:cs="Batang"/>
      <w:szCs w:val="22"/>
      <w:lang w:eastAsia="ko-KR"/>
      <w14:ligatures w14:val="none"/>
    </w:rPr>
  </w:style>
  <w:style w:type="character" w:styleId="afa">
    <w:name w:val="Unresolved Mention"/>
    <w:basedOn w:val="a0"/>
    <w:uiPriority w:val="99"/>
    <w:semiHidden/>
    <w:unhideWhenUsed/>
    <w:rsid w:val="00717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qje/qjw024" TargetMode="External"/><Relationship Id="rId13" Type="http://schemas.openxmlformats.org/officeDocument/2006/relationships/hyperlink" Target="https://doi.org/10.1111/j.2041-6156.2010.01029.x"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doi.org/10.1257/jep.21.2.129" TargetMode="External"/><Relationship Id="rId12" Type="http://schemas.openxmlformats.org/officeDocument/2006/relationships/hyperlink" Target="https://doi.org/10.3982/ECTA5771" TargetMode="External"/><Relationship Id="rId17" Type="http://schemas.openxmlformats.org/officeDocument/2006/relationships/hyperlink" Target="https://doi.org/10.1016/j.ijforecast.2019.08.005" TargetMode="External"/><Relationship Id="rId2" Type="http://schemas.openxmlformats.org/officeDocument/2006/relationships/styles" Target="styles.xml"/><Relationship Id="rId16" Type="http://schemas.openxmlformats.org/officeDocument/2006/relationships/hyperlink" Target="https://doi.org/10.1016/j.eneco.2018.04.023"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198/073500102753410444" TargetMode="External"/><Relationship Id="rId5" Type="http://schemas.openxmlformats.org/officeDocument/2006/relationships/footnotes" Target="footnotes.xml"/><Relationship Id="rId15" Type="http://schemas.openxmlformats.org/officeDocument/2006/relationships/hyperlink" Target="https://doi.org/10.21023/JMF.32.1.1" TargetMode="External"/><Relationship Id="rId23" Type="http://schemas.openxmlformats.org/officeDocument/2006/relationships/theme" Target="theme/theme1.xml"/><Relationship Id="rId10" Type="http://schemas.openxmlformats.org/officeDocument/2006/relationships/hyperlink" Target="https://doi.org/https://doi.org/10.1016/S0169-7161(96)14010-4"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oi.org/10.1016/j.asieco.2022.101571" TargetMode="External"/><Relationship Id="rId14" Type="http://schemas.openxmlformats.org/officeDocument/2006/relationships/hyperlink" Target="https://doi.org/10.1111/j.1540-6261.2006.01063.x"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30A26-D6F2-4D80-815B-BADC03D10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3787</Words>
  <Characters>21592</Characters>
  <Application>Microsoft Office Word</Application>
  <DocSecurity>0</DocSecurity>
  <Lines>179</Lines>
  <Paragraphs>50</Paragraphs>
  <ScaleCrop>false</ScaleCrop>
  <Company/>
  <LinksUpToDate>false</LinksUpToDate>
  <CharactersWithSpaces>25329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久顺 李</dc:creator>
  <cp:keywords/>
  <dc:description/>
  <cp:lastModifiedBy>Shun Li</cp:lastModifiedBy>
  <cp:revision>16</cp:revision>
  <dcterms:created xsi:type="dcterms:W3CDTF">2025-08-10T02:48:00Z</dcterms:created>
  <dcterms:modified xsi:type="dcterms:W3CDTF">2025-09-22T01:39:00Z</dcterms:modified>
</cp:coreProperties>
</file>