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06 / 09 ]</w:t>
      </w:r>
    </w:p>
    <w:p>
      <w:pPr>
        <w:jc w:val="center"/>
      </w:pPr>
      <w:r>
        <w:rPr>
          <w:sz w:val="64"/>
          <w:b/>
          <w:color w:val="0F2C72"/>
        </w:rPr>
        <w:t xml:space="preserve">유즈케이스 다이어그램·명세서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유즈케이스-다이어그램-명세서"/>
    <w:p>
      <w:pPr>
        <w:pStyle w:val="Heading1"/>
      </w:pPr>
      <w:r>
        <w:t xml:space="preserve">유즈케이스 다이어그램 + 명세서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ICAS-CEMS |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 |</w:t>
      </w:r>
      <w:r>
        <w:t xml:space="preserve"> </w:t>
      </w:r>
      <w:r>
        <w:rPr>
          <w:b/>
          <w:bCs/>
        </w:rPr>
        <w:t xml:space="preserve">Actor 수</w:t>
      </w:r>
      <w:r>
        <w:t xml:space="preserve">: 4 + 시스템</w:t>
      </w:r>
    </w:p>
    <w:bookmarkStart w:id="9" w:name="액터-actor"/>
    <w:p>
      <w:pPr>
        <w:pStyle w:val="Heading2"/>
      </w:pPr>
      <w:r>
        <w:t xml:space="preserve">1. 액터 (Actor)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시스템 ID 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MOLIT 관리자</w:t>
            </w:r>
          </w:p>
        </w:tc>
        <w:tc>
          <w:tcPr/>
          <w:p>
            <w:pPr>
              <w:pStyle w:val="Compact"/>
            </w:pPr>
            <w:r>
              <w:t xml:space="preserve">국토부 — 최종 승인·운영 관리</w:t>
            </w:r>
          </w:p>
        </w:tc>
        <w:tc>
          <w:tcPr/>
          <w:p>
            <w:pPr>
              <w:pStyle w:val="Compact"/>
            </w:pPr>
            <w:r>
              <w:t xml:space="preserve">admin01, molit_admin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KOTSA 검토자</w:t>
            </w:r>
          </w:p>
        </w:tc>
        <w:tc>
          <w:tcPr/>
          <w:p>
            <w:pPr>
              <w:pStyle w:val="Compact"/>
            </w:pPr>
            <w:r>
              <w:t xml:space="preserve">한국교통안전공단 — 검토·권고·OoM 18종</w:t>
            </w:r>
          </w:p>
        </w:tc>
        <w:tc>
          <w:tcPr/>
          <w:p>
            <w:pPr>
              <w:pStyle w:val="Compact"/>
            </w:pPr>
            <w:r>
              <w:t xml:space="preserve">kotsa01, kotsa_rvwr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항공사 담당자</w:t>
            </w:r>
          </w:p>
        </w:tc>
        <w:tc>
          <w:tcPr/>
          <w:p>
            <w:pPr>
              <w:pStyle w:val="Compact"/>
            </w:pPr>
            <w:r>
              <w:t xml:space="preserve">12 운영사 — EMP·ER·CEF·EUCR·SAF 작성</w:t>
            </w:r>
          </w:p>
        </w:tc>
        <w:tc>
          <w:tcPr/>
          <w:p>
            <w:pPr>
              <w:pStyle w:val="Compact"/>
            </w:pPr>
            <w:r>
              <w:t xml:space="preserve">kal_user, aar_user, jna_mgr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검증기관 팀장·팀원</w:t>
            </w:r>
          </w:p>
        </w:tc>
        <w:tc>
          <w:tcPr/>
          <w:p>
            <w:pPr>
              <w:pStyle w:val="Compact"/>
            </w:pPr>
            <w:r>
              <w:t xml:space="preserve">3 기관 — VR 검증보고서 작성</w:t>
            </w:r>
          </w:p>
        </w:tc>
        <w:tc>
          <w:tcPr/>
          <w:p>
            <w:pPr>
              <w:pStyle w:val="Compact"/>
            </w:pPr>
            <w:r>
              <w:t xml:space="preserve">vrf_lead, vrf_member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(System)</w:t>
            </w:r>
          </w:p>
        </w:tc>
        <w:tc>
          <w:tcPr/>
          <w:p>
            <w:pPr>
              <w:pStyle w:val="Compact"/>
            </w:pPr>
            <w:r>
              <w:t xml:space="preserve">자동 배치·외부 연계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유즈케이스-다이어그램-rfp-11박스-기준"/>
    <w:p>
      <w:pPr>
        <w:pStyle w:val="Heading2"/>
      </w:pPr>
      <w:r>
        <w:t xml:space="preserve">2. 유즈케이스 다이어그램 (RFP 11박스 기준)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EMP["① EMP 박스"]</w:t>
      </w:r>
      <w:r>
        <w:br/>
      </w:r>
      <w:r>
        <w:rPr>
          <w:rStyle w:val="VerbatimChar"/>
        </w:rPr>
        <w:t xml:space="preserve">        UC01[UC-01 EMP 신규 작성]</w:t>
      </w:r>
      <w:r>
        <w:br/>
      </w:r>
      <w:r>
        <w:rPr>
          <w:rStyle w:val="VerbatimChar"/>
        </w:rPr>
        <w:t xml:space="preserve">        UC02[UC-02 EMP 새 버전 생성]</w:t>
      </w:r>
      <w:r>
        <w:br/>
      </w:r>
      <w:r>
        <w:rPr>
          <w:rStyle w:val="VerbatimChar"/>
        </w:rPr>
        <w:t xml:space="preserve">        UC03[UC-03 EMP 검토·권고]</w:t>
      </w:r>
      <w:r>
        <w:br/>
      </w:r>
      <w:r>
        <w:rPr>
          <w:rStyle w:val="VerbatimChar"/>
        </w:rPr>
        <w:t xml:space="preserve">        UC04[UC-04 EMP 승인]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ER["② ER 박스"]</w:t>
      </w:r>
      <w:r>
        <w:br/>
      </w:r>
      <w:r>
        <w:rPr>
          <w:rStyle w:val="VerbatimChar"/>
        </w:rPr>
        <w:t xml:space="preserve">        UC05[UC-05 ER 본 보고 작성]</w:t>
      </w:r>
      <w:r>
        <w:br/>
      </w:r>
      <w:r>
        <w:rPr>
          <w:rStyle w:val="VerbatimChar"/>
        </w:rPr>
        <w:t xml:space="preserve">        UC06[UC-06 ER 자식 입력]</w:t>
      </w:r>
      <w:r>
        <w:br/>
      </w:r>
      <w:r>
        <w:rPr>
          <w:rStyle w:val="VerbatimChar"/>
        </w:rPr>
        <w:t xml:space="preserve">        UC07[UC-07 ER 검토·권고·승인]</w:t>
      </w:r>
      <w:r>
        <w:br/>
      </w:r>
      <w:r>
        <w:rPr>
          <w:rStyle w:val="VerbatimChar"/>
        </w:rPr>
        <w:t xml:space="preserve">        UC08[UC-08 법정 서식 출력]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CEF["③ CEF 박스"]</w:t>
      </w:r>
      <w:r>
        <w:br/>
      </w:r>
      <w:r>
        <w:rPr>
          <w:rStyle w:val="VerbatimChar"/>
        </w:rPr>
        <w:t xml:space="preserve">        UC09[UC-09 CEF 청구 등록]</w:t>
      </w:r>
      <w:r>
        <w:br/>
      </w:r>
      <w:r>
        <w:rPr>
          <w:rStyle w:val="VerbatimChar"/>
        </w:rPr>
        <w:t xml:space="preserve">        UC10[UC-10 CEF 이중청구 검증]</w:t>
      </w:r>
      <w:r>
        <w:br/>
      </w:r>
      <w:r>
        <w:rPr>
          <w:rStyle w:val="VerbatimChar"/>
        </w:rPr>
        <w:t xml:space="preserve">        UC11[UC-11 CEF 승인 + ER 차감]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VR["④ VR 박스"]</w:t>
      </w:r>
      <w:r>
        <w:br/>
      </w:r>
      <w:r>
        <w:rPr>
          <w:rStyle w:val="VerbatimChar"/>
        </w:rPr>
        <w:t xml:space="preserve">        UC12[UC-12 VR 신규 작성]</w:t>
      </w:r>
      <w:r>
        <w:br/>
      </w:r>
      <w:r>
        <w:rPr>
          <w:rStyle w:val="VerbatimChar"/>
        </w:rPr>
        <w:t xml:space="preserve">        UC13[UC-13 VR 부적합 등록]</w:t>
      </w:r>
      <w:r>
        <w:br/>
      </w:r>
      <w:r>
        <w:rPr>
          <w:rStyle w:val="VerbatimChar"/>
        </w:rPr>
        <w:t xml:space="preserve">        UC14[UC-14 VR 결론·의견]</w:t>
      </w:r>
      <w:r>
        <w:br/>
      </w:r>
      <w:r>
        <w:rPr>
          <w:rStyle w:val="VerbatimChar"/>
        </w:rPr>
        <w:t xml:space="preserve">        UC15[UC-15 VR 권고·승인]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EUCR["⑤ EUCR 박스"]</w:t>
      </w:r>
      <w:r>
        <w:br/>
      </w:r>
      <w:r>
        <w:rPr>
          <w:rStyle w:val="VerbatimChar"/>
        </w:rPr>
        <w:t xml:space="preserve">        UC16[UC-16 일련번호 이중사용 검증]</w:t>
      </w:r>
      <w:r>
        <w:br/>
      </w:r>
      <w:r>
        <w:rPr>
          <w:rStyle w:val="VerbatimChar"/>
        </w:rPr>
        <w:t xml:space="preserve">        UC17[UC-17 EUCR 배치 등록]</w:t>
      </w:r>
      <w:r>
        <w:br/>
      </w:r>
      <w:r>
        <w:rPr>
          <w:rStyle w:val="VerbatimChar"/>
        </w:rPr>
        <w:t xml:space="preserve">        UC18[UC-18 EUCR 취소 확정]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OOM["⑥⑦ OoM + CORSIA 박스"]</w:t>
      </w:r>
      <w:r>
        <w:br/>
      </w:r>
      <w:r>
        <w:rPr>
          <w:rStyle w:val="VerbatimChar"/>
        </w:rPr>
        <w:t xml:space="preserve">        UC19[UC-19 OoM 신규 작성]</w:t>
      </w:r>
      <w:r>
        <w:br/>
      </w:r>
      <w:r>
        <w:rPr>
          <w:rStyle w:val="VerbatimChar"/>
        </w:rPr>
        <w:t xml:space="preserve">        UC20[UC-20 Rule 18종 자동 검증]</w:t>
      </w:r>
      <w:r>
        <w:br/>
      </w:r>
      <w:r>
        <w:rPr>
          <w:rStyle w:val="VerbatimChar"/>
        </w:rPr>
        <w:t xml:space="preserve">        UC21[UC-21 OoM 추가 요청·평가]</w:t>
      </w:r>
      <w:r>
        <w:br/>
      </w:r>
      <w:r>
        <w:rPr>
          <w:rStyle w:val="VerbatimChar"/>
        </w:rPr>
        <w:t xml:space="preserve">        UC22[UC-22 OoM finalize PASS/FAIL]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SAF["⑧ SAF 박스"]</w:t>
      </w:r>
      <w:r>
        <w:br/>
      </w:r>
      <w:r>
        <w:rPr>
          <w:rStyle w:val="VerbatimChar"/>
        </w:rPr>
        <w:t xml:space="preserve">        UC23[UC-23 SAF 인증서 등록·회수]</w:t>
      </w:r>
      <w:r>
        <w:br/>
      </w:r>
      <w:r>
        <w:rPr>
          <w:rStyle w:val="VerbatimChar"/>
        </w:rPr>
        <w:t xml:space="preserve">        UC24[UC-24 SAF 배치 + 5 자식]</w:t>
      </w:r>
      <w:r>
        <w:br/>
      </w:r>
      <w:r>
        <w:rPr>
          <w:rStyle w:val="VerbatimChar"/>
        </w:rPr>
        <w:t xml:space="preserve">        UC25[UC-25 공항별 급유·구매]</w:t>
      </w:r>
      <w:r>
        <w:br/>
      </w:r>
      <w:r>
        <w:rPr>
          <w:rStyle w:val="VerbatimChar"/>
        </w:rPr>
        <w:t xml:space="preserve">        UC26[UC-26 혼합비율 자동 산출]</w:t>
      </w:r>
      <w:r>
        <w:br/>
      </w:r>
      <w:r>
        <w:rPr>
          <w:rStyle w:val="VerbatimChar"/>
        </w:rPr>
        <w:t xml:space="preserve">        UC27[UC-27 의무 충족·미달 판정]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PTL["⑨ 포털 박스"]</w:t>
      </w:r>
      <w:r>
        <w:br/>
      </w:r>
      <w:r>
        <w:rPr>
          <w:rStyle w:val="VerbatimChar"/>
        </w:rPr>
        <w:t xml:space="preserve">        UC28[UC-28 통합 워크플로우 매트릭스]</w:t>
      </w:r>
      <w:r>
        <w:br/>
      </w:r>
      <w:r>
        <w:rPr>
          <w:rStyle w:val="VerbatimChar"/>
        </w:rPr>
        <w:t xml:space="preserve">        UC29[UC-29 통계·시뮬]</w:t>
      </w:r>
      <w:r>
        <w:br/>
      </w:r>
      <w:r>
        <w:rPr>
          <w:rStyle w:val="VerbatimChar"/>
        </w:rPr>
        <w:t xml:space="preserve">        UC30[UC-30 CCR 추출]</w:t>
      </w:r>
      <w:r>
        <w:br/>
      </w:r>
      <w:r>
        <w:rPr>
          <w:rStyle w:val="VerbatimChar"/>
        </w:rPr>
        <w:t xml:space="preserve">        UC31[UC-31 운영 일정 캘린더]</w:t>
      </w:r>
      <w:r>
        <w:br/>
      </w:r>
      <w:r>
        <w:rPr>
          <w:rStyle w:val="VerbatimChar"/>
        </w:rPr>
        <w:t xml:space="preserve">        UC32[UC-32 감사로그 조회]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AIR((항공사)) --&gt; UC01 &amp; UC02 &amp; UC05 &amp; UC06 &amp; UC08 &amp; UC09 &amp; UC16 &amp; UC17 &amp; UC18 &amp; UC23 &amp; UC24 &amp; UC25</w:t>
      </w:r>
      <w:r>
        <w:br/>
      </w:r>
      <w:r>
        <w:rPr>
          <w:rStyle w:val="VerbatimChar"/>
        </w:rPr>
        <w:t xml:space="preserve">    KOTSA((KOTSA)) --&gt; UC03 &amp; UC07 &amp; UC11 &amp; UC15 &amp; UC19 &amp; UC20 &amp; UC21 &amp; UC22 &amp; UC26 &amp; UC27</w:t>
      </w:r>
      <w:r>
        <w:br/>
      </w:r>
      <w:r>
        <w:rPr>
          <w:rStyle w:val="VerbatimChar"/>
        </w:rPr>
        <w:t xml:space="preserve">    MOLIT((MOLIT)) --&gt; UC04 &amp; UC07 &amp; UC11 &amp; UC15 &amp; UC18 &amp; UC22 &amp; UC28 &amp; UC29 &amp; UC30 &amp; UC31 &amp; UC32</w:t>
      </w:r>
      <w:r>
        <w:br/>
      </w:r>
      <w:r>
        <w:rPr>
          <w:rStyle w:val="VerbatimChar"/>
        </w:rPr>
        <w:t xml:space="preserve">    VRF((검증기관)) --&gt; UC12 &amp; UC13 &amp; UC14</w:t>
      </w:r>
    </w:p>
    <w:p>
      <w:r>
        <w:pict>
          <v:rect style="width:0;height:1.5pt" o:hralign="center" o:hrstd="t" o:hr="t"/>
        </w:pict>
      </w:r>
    </w:p>
    <w:bookmarkEnd w:id="10"/>
    <w:bookmarkStart w:id="19" w:name="유즈케이스-명세서-대표-8건-시나리오-기반"/>
    <w:p>
      <w:pPr>
        <w:pStyle w:val="Heading2"/>
      </w:pPr>
      <w:r>
        <w:t xml:space="preserve">3. 유즈케이스 명세서 (대표 8건 — 시나리오 기반)</w:t>
      </w:r>
    </w:p>
    <w:bookmarkStart w:id="11" w:name="uc-01-emp-신규-작성"/>
    <w:p>
      <w:pPr>
        <w:pStyle w:val="Heading3"/>
      </w:pPr>
      <w:r>
        <w:t xml:space="preserve">UC-01: EMP 신규 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EMP (모니터링 계획) 신규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항공사 담당자 (AIRLINE_MANAGER)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운영사가 보고연도의 모니터링 계획을 작성한다.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운영사 등록 완료, 보고연도 -1 의 EMP 승인 (재계획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사후조건</w:t>
            </w:r>
          </w:p>
        </w:tc>
        <w:tc>
          <w:tcPr/>
          <w:p>
            <w:pPr>
              <w:pStyle w:val="Compact"/>
            </w:pPr>
            <w:r>
              <w:t xml:space="preserve">tn_emp_plan 상태 DRAFT, 7 자식 도메인 입력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사이드바 &gt; EMP 클릭</w:t>
            </w:r>
            <w:r>
              <w:t xml:space="preserve">2.</w:t>
            </w:r>
            <w:r>
              <w:t xml:space="preserve"> </w:t>
            </w:r>
            <w:r>
              <w:t xml:space="preserve">“신규 작성”</w:t>
            </w:r>
            <w:r>
              <w:t xml:space="preserve"> </w:t>
            </w:r>
            <w:r>
              <w:t xml:space="preserve">버튼 → 모달</w:t>
            </w:r>
            <w:r>
              <w:t xml:space="preserve">3. 보고연도·운영사·시작일 입력</w:t>
            </w:r>
            <w:r>
              <w:t xml:space="preserve">4. 저장 → POST /api/emp/plan</w:t>
            </w:r>
            <w:r>
              <w:t xml:space="preserve">5. 상세 화면으로 이동, 7탭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대안흐름</w:t>
            </w:r>
          </w:p>
        </w:tc>
        <w:tc>
          <w:tcPr/>
          <w:p>
            <w:pPr>
              <w:pStyle w:val="Compact"/>
            </w:pPr>
            <w:r>
              <w:t xml:space="preserve">3-1. 이전 버전 있음 →</w:t>
            </w:r>
            <w:r>
              <w:t xml:space="preserve"> </w:t>
            </w:r>
            <w:r>
              <w:t xml:space="preserve">“새 버전 생성”</w:t>
            </w:r>
            <w:r>
              <w:t xml:space="preserve"> </w:t>
            </w:r>
            <w:r>
              <w:t xml:space="preserve">선택 (POST /api/emp/plan/{id}/new-version)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예외흐름</w:t>
            </w:r>
          </w:p>
        </w:tc>
        <w:tc>
          <w:tcPr/>
          <w:p>
            <w:pPr>
              <w:pStyle w:val="Compact"/>
            </w:pPr>
            <w:r>
              <w:t xml:space="preserve">권한 없음 → 403, 동일 보고연도 중복 → 비즈 예외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/api/emp/plan, POST /api/emp/plan/{id}/new-version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/emp/plan (목록), /emp/plan/{id} (상세 7탭)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INSERT tn_emp_plan</w:t>
            </w:r>
          </w:p>
        </w:tc>
      </w:tr>
    </w:tbl>
    <w:bookmarkEnd w:id="11"/>
    <w:bookmarkStart w:id="12" w:name="uc-05-er-본-보고-작성"/>
    <w:p>
      <w:pPr>
        <w:pStyle w:val="Heading3"/>
      </w:pPr>
      <w:r>
        <w:t xml:space="preserve">UC-05: ER 본 보고 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항공사 담당자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보고연도의 배출량 본 보고서를 작성한다.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해당 운영사의 EMP가 APRVD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사후조건</w:t>
            </w:r>
          </w:p>
        </w:tc>
        <w:tc>
          <w:tcPr/>
          <w:p>
            <w:pPr>
              <w:pStyle w:val="Compact"/>
            </w:pPr>
            <w:r>
              <w:t xml:space="preserve">tn_er + 7 자식 입력 완료, DRAFT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ER 목록 &gt; 신규 등록</w:t>
            </w:r>
            <w:r>
              <w:t xml:space="preserve">2. 운영사·보고연도 → POST /api/er/rprt</w:t>
            </w:r>
            <w:r>
              <w:t xml:space="preserve">3. 8개 자식 탭 입력 (acft-fuel, cntry-pair, aerdrm-pair, fuel-smry, data-gap, afbr, vrfr-info)</w:t>
            </w:r>
            <w:r>
              <w:t xml:space="preserve">4.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/api/er/rprt, POST /api/er/rprt/{id}/{child}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INSERT tn_er + 7 자식 테이블</w:t>
            </w:r>
          </w:p>
        </w:tc>
      </w:tr>
    </w:tbl>
    <w:bookmarkEnd w:id="12"/>
    <w:bookmarkStart w:id="13" w:name="uc-12-vr-신규-작성"/>
    <w:p>
      <w:pPr>
        <w:pStyle w:val="Heading3"/>
      </w:pPr>
      <w:r>
        <w:t xml:space="preserve">UC-12: VR 신규 작성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검증기관 팀장 (VERIFIER_LEAD)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운영사 ER에 대해 검증보고서 신규 작성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검증배정(tn_vrfcn_assgn)에 본 기관 + 운영사 + 보고연도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VR 목록 &gt; 신규 등록 (검증기관)</w:t>
            </w:r>
            <w:r>
              <w:t xml:space="preserve">2. 검증대상 운영사·보고연도·검증유형·대상 ER ID → POST /api/vr</w:t>
            </w:r>
            <w:r>
              <w:t xml:space="preserve">3. 7 자식 탭 입력 (범위/팀/시간/입력정보/절차/부적합/결론)</w:t>
            </w:r>
            <w:r>
              <w:t xml:space="preserve">4. 제출 → KOTSA 권고 → MOLIT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예외흐름</w:t>
            </w:r>
          </w:p>
        </w:tc>
        <w:tc>
          <w:tcPr/>
          <w:p>
            <w:pPr>
              <w:pStyle w:val="Compact"/>
            </w:pPr>
            <w:r>
              <w:t xml:space="preserve">결론이 REASONABLE인데 미해결 부적합 존재 → SFR-027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/api/vr, POST /api/vr/{id}/submit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tn_vr + tn_vr_scope/team/time/input_info/prcdr/ncnfrm/cncls</w:t>
            </w:r>
          </w:p>
        </w:tc>
      </w:tr>
    </w:tbl>
    <w:bookmarkEnd w:id="13"/>
    <w:bookmarkStart w:id="14" w:name="uc-16-eucr-일련번호-이중사용-검증"/>
    <w:p>
      <w:pPr>
        <w:pStyle w:val="Heading3"/>
      </w:pPr>
      <w:r>
        <w:t xml:space="preserve">UC-16: EUCR 일련번호 이중사용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항공사 담당자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EUCR 등록 전 일련번호 충돌 사전 검증 (SFR-031)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적격 배출권 일련번호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EUCR 상세 &gt;</w:t>
            </w:r>
            <w:r>
              <w:t xml:space="preserve"> </w:t>
            </w:r>
            <w:r>
              <w:t xml:space="preserve">“일련번호 이중사용 사전 검증”</w:t>
            </w:r>
            <w:r>
              <w:t xml:space="preserve"> </w:t>
            </w:r>
            <w:r>
              <w:t xml:space="preserve">패널</w:t>
            </w:r>
            <w:r>
              <w:t xml:space="preserve">2. 줄단위 입력 (예: VCS-2024-001)</w:t>
            </w:r>
            <w:r>
              <w:t xml:space="preserve">3. 검증 실행 → POST /api/er/eucr/validate-double-using</w:t>
            </w:r>
            <w:r>
              <w:t xml:space="preserve">4. 충돌 없음 → 초록 패널 / 충돌 있음 → 빨강 + 충돌 행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/api/er/eucr/validate-double-using</w:t>
            </w:r>
            <w:r>
              <w:t xml:space="preserve">요청: { crdtNos: [], excludeEucrId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SELECT tn_eucr_crdt_dtl WHERE crdt_no IN (…) AND eucr_id &lt;&gt; excludeEucrId</w:t>
            </w:r>
          </w:p>
        </w:tc>
      </w:tr>
    </w:tbl>
    <w:bookmarkEnd w:id="14"/>
    <w:bookmarkStart w:id="15" w:name="uc-20-corsia-rule-18종-자동-검증"/>
    <w:p>
      <w:pPr>
        <w:pStyle w:val="Heading3"/>
      </w:pPr>
      <w:r>
        <w:t xml:space="preserve">UC-20: CORSIA Rule 18종 자동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KOTSA 검토자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OoM 적정성 검토 시 정량 18종 룰을 자동 실행 (SFR-034)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OoM 신규 작성, 연계 ER 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OoM 상세 &gt;</w:t>
            </w:r>
            <w:r>
              <w:t xml:space="preserve"> </w:t>
            </w:r>
            <w:r>
              <w:t xml:space="preserve">“Rule 18종 실행”</w:t>
            </w:r>
            <w:r>
              <w:t xml:space="preserve"> </w:t>
            </w:r>
            <w:r>
              <w:t xml:space="preserve">버튼</w:t>
            </w:r>
            <w:r>
              <w:t xml:space="preserve">2. POST /api/er/oom/{id}/run-quant</w:t>
            </w:r>
            <w:r>
              <w:t xml:space="preserve">3. 18종(R001~R018) 자동 평가 → tn_oom_check_item INSERT</w:t>
            </w:r>
            <w:r>
              <w:t xml:space="preserve">4. 결과 화면: PASS/WARN/FAIL 카운트 + 항목별 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예시</w:t>
            </w:r>
          </w:p>
        </w:tc>
        <w:tc>
          <w:tcPr/>
          <w:p>
            <w:pPr>
              <w:pStyle w:val="Compact"/>
            </w:pPr>
            <w:r>
              <w:t xml:space="preserve">R001 ICAO 지정어, R005 보고의무(1만톤), R013 CERT 편차, R014 데이터 갭 초과, R018 전년대비 이상치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/api/er/oom/{id}/run-quant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INSERT tn_oom_check_item (18행)</w:t>
            </w:r>
          </w:p>
        </w:tc>
      </w:tr>
    </w:tbl>
    <w:bookmarkEnd w:id="15"/>
    <w:bookmarkStart w:id="16" w:name="uc-26-saf-혼합비율-자동-산출"/>
    <w:p>
      <w:pPr>
        <w:pStyle w:val="Heading3"/>
      </w:pPr>
      <w:r>
        <w:t xml:space="preserve">UC-26: SAF 혼합비율 자동 산출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KOTSA 검토자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운영사별 SAF 혼합비율 자동 산출 + 의무 이행 판정 (SFR-054)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사전조건</w:t>
            </w:r>
          </w:p>
        </w:tc>
        <w:tc>
          <w:tcPr/>
          <w:p>
            <w:pPr>
              <w:pStyle w:val="Compact"/>
            </w:pPr>
            <w:r>
              <w:t xml:space="preserve">공항별 급유 실적(tn_saf_airprt_fuel) + SAF 구매(tn_saf_airprt_purch) 적재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SAF 혼합비율 모니터링 &gt;</w:t>
            </w:r>
            <w:r>
              <w:t xml:space="preserve"> </w:t>
            </w:r>
            <w:r>
              <w:t xml:space="preserve">“운영사별 산출”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“전체 일괄”</w:t>
            </w:r>
            <w:r>
              <w:t xml:space="preserve">2. POST /api/saf/mntr/blnd/calc</w:t>
            </w:r>
            <w:r>
              <w:t xml:space="preserve">3. SAF 구매량 ÷ 총 급유량 × 100 = 혼합비율 %</w:t>
            </w:r>
            <w:r>
              <w:t xml:space="preserve">4. 의무비율(1%) 이상 → 이행 / 미만 → 미이행</w:t>
            </w:r>
            <w:r>
              <w:t xml:space="preserve">5. tn_saf_blnd_mntr UPSERT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/api/saf/mntr/blnd/calc { oprtrId, rprtYr }</w:t>
            </w:r>
          </w:p>
        </w:tc>
      </w:tr>
    </w:tbl>
    <w:bookmarkEnd w:id="16"/>
    <w:bookmarkStart w:id="17" w:name="uc-29-상쇄비용-시뮬레이션"/>
    <w:p>
      <w:pPr>
        <w:pStyle w:val="Heading3"/>
      </w:pPr>
      <w:r>
        <w:t xml:space="preserve">UC-29: 상쇄비용 시뮬레이션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MOLIT 관리자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탄소가격·SAF비율·연간성장률 시나리오 시뮬레이션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상쇄비용 시뮬 화면</w:t>
            </w:r>
            <w:r>
              <w:t xml:space="preserve">2. 시뮬레이션명·기준연도·예측 시작/종료·탄소가격·연간성장률·SAF비율 입력</w:t>
            </w:r>
            <w:r>
              <w:t xml:space="preserve">3. POST /api/ptl/sim → 백엔드 계산 (calculateSimulation)</w:t>
            </w:r>
            <w:r>
              <w:t xml:space="preserve">4. 결과: 연도별 상쇄비용 추이 (라인 차트) + 배출량 (막대 차트)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POST /api/ptl/sim, POST /api/ptl/sim/{id}/run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INSERT/UPDATE tn_ptl_sim (input_json, rslt_json)</w:t>
            </w:r>
          </w:p>
        </w:tc>
      </w:tr>
    </w:tbl>
    <w:bookmarkEnd w:id="17"/>
    <w:bookmarkStart w:id="18" w:name="uc-32-감사로그-조회"/>
    <w:p>
      <w:pPr>
        <w:pStyle w:val="Heading3"/>
      </w:pPr>
      <w:r>
        <w:t xml:space="preserve">UC-32: 감사로그 조회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MOLIT 관리자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사용자·도메인·기간·액션유형으로 감사로그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기본흐름</w:t>
            </w:r>
          </w:p>
        </w:tc>
        <w:tc>
          <w:tcPr/>
          <w:p>
            <w:pPr>
              <w:pStyle w:val="Compact"/>
            </w:pPr>
            <w:r>
              <w:t xml:space="preserve">1. 감사로그 화면</w:t>
            </w:r>
            <w:r>
              <w:t xml:space="preserve">2. 기간·사용자ID·액션유형·도메인테이블·처리결과 필터</w:t>
            </w:r>
            <w:r>
              <w:t xml:space="preserve">3. 조회 → GET /api/ptl/actn</w:t>
            </w:r>
            <w:r>
              <w:t xml:space="preserve">4. 5W1H 로그 그리드 + 엑셀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트리거 API</w:t>
            </w:r>
          </w:p>
        </w:tc>
        <w:tc>
          <w:tcPr/>
          <w:p>
            <w:pPr>
              <w:pStyle w:val="Compact"/>
            </w:pPr>
            <w:r>
              <w:t xml:space="preserve">GET /api/ptl/actn?startDt=&amp;endDt=&amp;userId=&amp;actnCd=&amp;dmnTbl=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SELECT ptl.th_user_actn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유즈케이스-합계-통계"/>
    <w:p>
      <w:pPr>
        <w:pStyle w:val="Heading2"/>
      </w:pPr>
      <w:r>
        <w:t xml:space="preserve">4. 유즈케이스 합계 통계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32 유즈케이스</w:t>
      </w:r>
    </w:p>
    <w:p>
      <w:pPr>
        <w:pStyle w:val="Compact"/>
        <w:numPr>
          <w:ilvl w:val="0"/>
          <w:numId w:val="1001"/>
        </w:numPr>
      </w:pPr>
      <w:r>
        <w:t xml:space="preserve">Actor별: MOLIT 11, KOTSA 10, 항공사 13, 검증기관 3</w:t>
      </w:r>
    </w:p>
    <w:p>
      <w:pPr>
        <w:pStyle w:val="Compact"/>
        <w:numPr>
          <w:ilvl w:val="0"/>
          <w:numId w:val="1001"/>
        </w:numPr>
      </w:pPr>
      <w:r>
        <w:t xml:space="preserve">박스별 분포: EMP 4 / ER 4 / CEF 3 / VR 4 / EUCR 3 / OoM 4 / SAF 5 / 포털 5</w:t>
      </w:r>
    </w:p>
    <w:p>
      <w:pPr>
        <w:pStyle w:val="Compact"/>
        <w:numPr>
          <w:ilvl w:val="0"/>
          <w:numId w:val="1001"/>
        </w:numPr>
      </w:pPr>
      <w:r>
        <w:t xml:space="preserve">라이프사이클 통합 패턴: 6 박스 공통 (DRAFT→SBMTD→RVWNG→RCMDD→APRVD)</w:t>
      </w:r>
    </w:p>
    <w:bookmarkEnd w:id="20"/>
    <w:bookmarkEnd w:id="21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2026-05-24T03:26:43Z</dcterms:created>
  <dcterms:modified xsi:type="dcterms:W3CDTF">2026-05-24T03:26:43Z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