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Dual-Lane MCP Architecture, Control-Plane Isolation, and Prose Governance Standard</w:t>
      </w:r>
    </w:p>
    <w:p>
      <w:pPr>
        <w:spacing w:after="480"/>
        <w:jc w:val="center"/>
      </w:pPr>
      <w:r>
        <w:rPr>
          <w:color w:val="666666"/>
          <w:sz w:val="26"/>
          <w:szCs w:val="26"/>
        </w:rPr>
        <w:t xml:space="preserve">Enterprise Architecture Framework for Model Context Protocol Implementation</w:t>
      </w:r>
    </w:p>
    <w:p>
      <w:pPr>
        <w:spacing w:after="360"/>
        <w:jc w:val="center"/>
      </w:pPr>
      <w:r>
        <w:rPr>
          <w:color w:val="888888"/>
          <w:sz w:val="20"/>
          <w:szCs w:val="20"/>
        </w:rPr>
        <w:t xml:space="preserve">Version 1.2.0 | Architecture Review Document</w:t>
      </w:r>
    </w:p>
    <w:p>
      <w:r>
        <w:br w:type="page"/>
      </w:r>
    </w:p>
    <w:p>
      <w:pPr>
        <w:pStyle w:val="Heading1"/>
      </w:pPr>
      <w:r>
        <w:t xml:space="preserve">Executive Summary</w:t>
      </w:r>
    </w:p>
    <w:p>
      <w:r>
        <w:t xml:space="preserve">This document presents a comprehensive framework for implementing Model Context Protocol (MCP) servers with strict control-plane isolation and domain-specific deployment patterns. The architecture addresses critical challenges in AI-driven enterprise systems including performance bottlenecks, compliance boundaries, and context pollution risks that arise from monolithic MCP implementations.</w:t>
      </w:r>
    </w:p>
    <w:p>
      <w:pPr>
        <w:spacing w:before="180"/>
      </w:pPr>
      <w:r>
        <w:rPr>
          <w:b/>
          <w:bCs/>
        </w:rPr>
        <w:t xml:space="preserve">Key Architecture Principles:</w:t>
      </w:r>
    </w:p>
    <w:p>
      <w:pPr>
        <w:pStyle w:val="ListParagraph"/>
        <w:numPr>
          <w:ilvl w:val="0"/>
          <w:numId w:val="2"/>
        </w:numPr>
      </w:pPr>
      <w:r>
        <w:t xml:space="preserve">One MCP instance per functional domain to ensure isolation</w:t>
      </w:r>
    </w:p>
    <w:p>
      <w:pPr>
        <w:pStyle w:val="ListParagraph"/>
        <w:numPr>
          <w:ilvl w:val="0"/>
          <w:numId w:val="2"/>
        </w:numPr>
      </w:pPr>
      <w:r>
        <w:t xml:space="preserve">Strict separation between control-plane governance and data-plane computation</w:t>
      </w:r>
    </w:p>
    <w:p>
      <w:pPr>
        <w:pStyle w:val="ListParagraph"/>
        <w:numPr>
          <w:ilvl w:val="0"/>
          <w:numId w:val="2"/>
        </w:numPr>
      </w:pPr>
      <w:r>
        <w:t xml:space="preserve">Dual-lane processing for structured versus natural language data</w:t>
      </w:r>
    </w:p>
    <w:p>
      <w:pPr>
        <w:pStyle w:val="ListParagraph"/>
        <w:numPr>
          <w:ilvl w:val="0"/>
          <w:numId w:val="2"/>
        </w:numPr>
      </w:pPr>
      <w:r>
        <w:t xml:space="preserve">Deterministic schema enforcement with compliance-aware boundaries</w:t>
      </w:r>
    </w:p>
    <w:p>
      <w:pPr>
        <w:pStyle w:val="Heading1"/>
        <w:spacing w:before="480"/>
      </w:pPr>
      <w:r>
        <w:t xml:space="preserve">1. Introduction</w:t>
      </w:r>
    </w:p>
    <w:p>
      <w:r>
        <w:t xml:space="preserve">Model Context Protocol servers represent the critical governance layer in modern AI-integrated architectures. When deployed correctly, MCPs provide essential control-plane functions including schema validation, policy enforcement, and audit capabilities. However, the common antipattern of deploying monolithic MCPs that handle multiple service routes creates significant architectural debt and operational risk.</w:t>
      </w:r>
    </w:p>
    <w:p>
      <w:pPr>
        <w:spacing w:before="180"/>
      </w:pPr>
      <w:r>
        <w:t xml:space="preserve">This framework establishes patterns for domain-specific MCP deployment where each service route—representing a unique business capability—maintains its own dedicated MCP instance. This approach enables predictable latency characteristics, deterministic schema enforcement, and compliance-aware processing boundaries essential for enterprise systems.</w:t>
      </w:r>
    </w:p>
    <w:p>
      <w:pPr>
        <w:pStyle w:val="Heading2"/>
      </w:pPr>
      <w:r>
        <w:t xml:space="preserve">1.1 Architecture Philosophy</w:t>
      </w:r>
    </w:p>
    <w:p>
      <w:r>
        <w:t xml:space="preserve">The core philosophy centers on the principle of </w:t>
      </w:r>
      <w:r>
        <w:rPr>
          <w:i/>
          <w:iCs/>
        </w:rPr>
        <w:t xml:space="preserve">functional cohesion over technical convenience</w:t>
      </w:r>
      <w:r>
        <w:t xml:space="preserve">. Rather than deploying MCPs based on technical similarities or infrastructure constraints, we advocate for alignment with business domains and compliance boundaries. This approach directly supports Domain-Driven Design principles while maintaining operational excellence.</w:t>
      </w:r>
    </w:p>
    <w:p>
      <w:pPr>
        <w:pStyle w:val="Heading1"/>
        <w:spacing w:before="480"/>
      </w:pPr>
      <w:r>
        <w:t xml:space="preserve">2. Control-Plane vs Data-Plane Isolation</w:t>
      </w:r>
    </w:p>
    <w:p>
      <w:pPr>
        <w:pStyle w:val="Heading2"/>
      </w:pPr>
      <w:r>
        <w:t xml:space="preserve">2.1 Architectural Principles</w:t>
      </w:r>
    </w:p>
    <w:p>
      <w:r>
        <w:t xml:space="preserve">The MCP operates exclusively as a control-plane component, performing governance functions without executing business logic. This separation ensures that MCPs remain lightweight, stateless, and horizontally scalable while delegating computation to appropriate data-plane services.</w:t>
      </w:r>
    </w:p>
    <w:p>
      <w:pPr>
        <w:spacing w:before="180"/>
      </w:pPr>
      <w:r>
        <w:rPr>
          <w:b/>
          <w:bCs/>
        </w:rPr>
        <w:t xml:space="preserve">Control-Plane Responsibilities:</w:t>
      </w:r>
    </w:p>
    <w:p>
      <w:pPr>
        <w:pStyle w:val="ListParagraph"/>
        <w:numPr>
          <w:ilvl w:val="0"/>
          <w:numId w:val="2"/>
        </w:numPr>
      </w:pPr>
      <w:r>
        <w:t xml:space="preserve">Schema validation using versioned contracts</w:t>
      </w:r>
    </w:p>
    <w:p>
      <w:pPr>
        <w:pStyle w:val="ListParagraph"/>
        <w:numPr>
          <w:ilvl w:val="0"/>
          <w:numId w:val="2"/>
        </w:numPr>
      </w:pPr>
      <w:r>
        <w:t xml:space="preserve">Policy enforcement through OPA (Open Policy Agent) or AWS Cedar</w:t>
      </w:r>
    </w:p>
    <w:p>
      <w:pPr>
        <w:pStyle w:val="ListParagraph"/>
        <w:numPr>
          <w:ilvl w:val="0"/>
          <w:numId w:val="2"/>
        </w:numPr>
      </w:pPr>
      <w:r>
        <w:t xml:space="preserve">Audit logging with correlation ID propagation</w:t>
      </w:r>
    </w:p>
    <w:p>
      <w:pPr>
        <w:pStyle w:val="ListParagraph"/>
        <w:numPr>
          <w:ilvl w:val="0"/>
          <w:numId w:val="2"/>
        </w:numPr>
      </w:pPr>
      <w:r>
        <w:t xml:space="preserve">Command enqueueing to appropriate data-plane orchestrators</w:t>
      </w:r>
    </w:p>
    <w:p>
      <w:pPr>
        <w:pStyle w:val="ListParagraph"/>
        <w:numPr>
          <w:ilvl w:val="0"/>
          <w:numId w:val="2"/>
        </w:numPr>
      </w:pPr>
      <w:r>
        <w:t xml:space="preserve">Rate limiting and circuit breaker coordination</w:t>
      </w:r>
    </w:p>
    <w:p>
      <w:pPr>
        <w:spacing w:before="180"/>
      </w:pPr>
      <w:r>
        <w:rPr>
          <w:b/>
          <w:bCs/>
        </w:rPr>
        <w:t xml:space="preserve">Data-Plane Responsibilities:</w:t>
      </w:r>
    </w:p>
    <w:p>
      <w:pPr>
        <w:pStyle w:val="ListParagraph"/>
        <w:numPr>
          <w:ilvl w:val="0"/>
          <w:numId w:val="2"/>
        </w:numPr>
      </w:pPr>
      <w:r>
        <w:t xml:space="preserve">Business logic execution and workflow orchestration</w:t>
      </w:r>
    </w:p>
    <w:p>
      <w:pPr>
        <w:pStyle w:val="ListParagraph"/>
        <w:numPr>
          <w:ilvl w:val="0"/>
          <w:numId w:val="2"/>
        </w:numPr>
      </w:pPr>
      <w:r>
        <w:t xml:space="preserve">Computation, aggregation, and data transformation</w:t>
      </w:r>
    </w:p>
    <w:p>
      <w:pPr>
        <w:pStyle w:val="ListParagraph"/>
        <w:numPr>
          <w:ilvl w:val="0"/>
          <w:numId w:val="2"/>
        </w:numPr>
      </w:pPr>
      <w:r>
        <w:t xml:space="preserve">State management and persistence operations</w:t>
      </w:r>
    </w:p>
    <w:p>
      <w:pPr>
        <w:pStyle w:val="ListParagraph"/>
        <w:numPr>
          <w:ilvl w:val="0"/>
          <w:numId w:val="2"/>
        </w:numPr>
      </w:pPr>
      <w:r>
        <w:t xml:space="preserve">External API integration and response handling</w:t>
      </w:r>
    </w:p>
    <w:p>
      <w:pPr>
        <w:pStyle w:val="ListParagraph"/>
        <w:numPr>
          <w:ilvl w:val="0"/>
          <w:numId w:val="2"/>
        </w:numPr>
      </w:pPr>
      <w:r>
        <w:t xml:space="preserve">Idempotency management and retry logic</w:t>
      </w:r>
    </w:p>
    <w:p>
      <w:pPr>
        <w:pStyle w:val="Heading2"/>
      </w:pPr>
      <w:r>
        <w:t xml:space="preserve">2.2 Why Isolation Matters</w:t>
      </w:r>
    </w:p>
    <w:p>
      <w:r>
        <w:t xml:space="preserve">Monolithic MCP deployments introduce cascading failures across multiple dimensions. When a single MCP instance manages diverse service routes, it becomes a critical bottleneck that impacts system reliability, security posture, and operational complexity.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Risk Category</w:t>
            </w:r>
          </w:p>
        </w:tc>
        <w:tc>
          <w:tcPr>
            <w:tcW w:type="dxa" w:w="624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Impact of Monolithic MCP</w:t>
            </w:r>
          </w:p>
        </w:tc>
      </w:tr>
      <w:tr>
        <w:tc>
          <w:tcPr>
            <w:tcW w:type="dxa" w:w="3120"/>
            <w:tcBorders>
              <w:top w:val="single" w:color="CCCCCC" w:sz="1"/>
              <w:left w:val="single" w:color="CCCCCC" w:sz="1"/>
              <w:bottom w:val="single" w:color="CCCCCC" w:sz="1"/>
              <w:right w:val="single" w:color="CCCCCC" w:sz="1"/>
            </w:tcBorders>
          </w:tcPr>
          <w:p>
            <w:r>
              <w:rPr>
                <w:b/>
                <w:bCs/>
              </w:rPr>
              <w:t xml:space="preserve">Performance</w:t>
            </w:r>
          </w:p>
        </w:tc>
        <w:tc>
          <w:tcPr>
            <w:tcW w:type="dxa" w:w="6240"/>
            <w:tcBorders>
              <w:top w:val="single" w:color="CCCCCC" w:sz="1"/>
              <w:left w:val="single" w:color="CCCCCC" w:sz="1"/>
              <w:bottom w:val="single" w:color="CCCCCC" w:sz="1"/>
              <w:right w:val="single" w:color="CCCCCC" w:sz="1"/>
            </w:tcBorders>
          </w:tcPr>
          <w:p>
            <w:r>
              <w:t xml:space="preserve">Single-threaded validation creates bottlenecks; p95 latency exceeds 200ms under load</w:t>
            </w:r>
          </w:p>
        </w:tc>
      </w:tr>
      <w:tr>
        <w:tc>
          <w:tcPr>
            <w:tcW w:type="dxa" w:w="3120"/>
            <w:tcBorders>
              <w:top w:val="single" w:color="CCCCCC" w:sz="1"/>
              <w:left w:val="single" w:color="CCCCCC" w:sz="1"/>
              <w:bottom w:val="single" w:color="CCCCCC" w:sz="1"/>
              <w:right w:val="single" w:color="CCCCCC" w:sz="1"/>
            </w:tcBorders>
          </w:tcPr>
          <w:p>
            <w:r>
              <w:rPr>
                <w:b/>
                <w:bCs/>
              </w:rPr>
              <w:t xml:space="preserve">Security</w:t>
            </w:r>
          </w:p>
        </w:tc>
        <w:tc>
          <w:tcPr>
            <w:tcW w:type="dxa" w:w="6240"/>
            <w:tcBorders>
              <w:top w:val="single" w:color="CCCCCC" w:sz="1"/>
              <w:left w:val="single" w:color="CCCCCC" w:sz="1"/>
              <w:bottom w:val="single" w:color="CCCCCC" w:sz="1"/>
              <w:right w:val="single" w:color="CCCCCC" w:sz="1"/>
            </w:tcBorders>
          </w:tcPr>
          <w:p>
            <w:r>
              <w:t xml:space="preserve">Mixed PCI/PHI data in single process violates compliance segmentation requirements</w:t>
            </w:r>
          </w:p>
        </w:tc>
      </w:tr>
      <w:tr>
        <w:tc>
          <w:tcPr>
            <w:tcW w:type="dxa" w:w="3120"/>
            <w:tcBorders>
              <w:top w:val="single" w:color="CCCCCC" w:sz="1"/>
              <w:left w:val="single" w:color="CCCCCC" w:sz="1"/>
              <w:bottom w:val="single" w:color="CCCCCC" w:sz="1"/>
              <w:right w:val="single" w:color="CCCCCC" w:sz="1"/>
            </w:tcBorders>
          </w:tcPr>
          <w:p>
            <w:r>
              <w:rPr>
                <w:b/>
                <w:bCs/>
              </w:rPr>
              <w:t xml:space="preserve">Context Pollution</w:t>
            </w:r>
          </w:p>
        </w:tc>
        <w:tc>
          <w:tcPr>
            <w:tcW w:type="dxa" w:w="6240"/>
            <w:tcBorders>
              <w:top w:val="single" w:color="CCCCCC" w:sz="1"/>
              <w:left w:val="single" w:color="CCCCCC" w:sz="1"/>
              <w:bottom w:val="single" w:color="CCCCCC" w:sz="1"/>
              <w:right w:val="single" w:color="CCCCCC" w:sz="1"/>
            </w:tcBorders>
          </w:tcPr>
          <w:p>
            <w:r>
              <w:t xml:space="preserve">LLMs confuse cross-domain data, increasing hallucination rates by up to 35%</w:t>
            </w:r>
          </w:p>
        </w:tc>
      </w:tr>
      <w:tr>
        <w:tc>
          <w:tcPr>
            <w:tcW w:type="dxa" w:w="3120"/>
            <w:tcBorders>
              <w:top w:val="single" w:color="CCCCCC" w:sz="1"/>
              <w:left w:val="single" w:color="CCCCCC" w:sz="1"/>
              <w:bottom w:val="single" w:color="CCCCCC" w:sz="1"/>
              <w:right w:val="single" w:color="CCCCCC" w:sz="1"/>
            </w:tcBorders>
          </w:tcPr>
          <w:p>
            <w:r>
              <w:rPr>
                <w:b/>
                <w:bCs/>
              </w:rPr>
              <w:t xml:space="preserve">Operational Fragility</w:t>
            </w:r>
          </w:p>
        </w:tc>
        <w:tc>
          <w:tcPr>
            <w:tcW w:type="dxa" w:w="6240"/>
            <w:tcBorders>
              <w:top w:val="single" w:color="CCCCCC" w:sz="1"/>
              <w:left w:val="single" w:color="CCCCCC" w:sz="1"/>
              <w:bottom w:val="single" w:color="CCCCCC" w:sz="1"/>
              <w:right w:val="single" w:color="CCCCCC" w:sz="1"/>
            </w:tcBorders>
          </w:tcPr>
          <w:p>
            <w:r>
              <w:t xml:space="preserve">Synchronous fan-out to multiple APIs increases failure probability exponentially</w:t>
            </w:r>
          </w:p>
        </w:tc>
      </w:tr>
    </w:tbl>
    <w:p>
      <w:pPr>
        <w:pStyle w:val="Heading2"/>
        <w:spacing w:before="240"/>
      </w:pPr>
      <w:r>
        <w:t xml:space="preserve">2.3 Domain-Specific Deployment Strategy</w:t>
      </w:r>
    </w:p>
    <w:p>
      <w:r>
        <w:t xml:space="preserve">Deploy multiple MCP servers based on functional grouping and compliance boundaries. Each MCP instance maintains its own schema registry, policy engine, and telemetry pipeline while sharing common infrastructure patterns through templated deployments.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400"/>
        <w:gridCol w:w="2000"/>
        <w:gridCol w:w="3160"/>
      </w:tblGrid>
      <w:tr>
        <w:trPr>
          <w:tblHeader/>
        </w:trPr>
        <w:tc>
          <w:tcPr>
            <w:tcW w:type="dxa" w:w="180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Domain</w:t>
            </w:r>
          </w:p>
        </w:tc>
        <w:tc>
          <w:tcPr>
            <w:tcW w:type="dxa" w:w="240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Example Routes</w:t>
            </w:r>
          </w:p>
        </w:tc>
        <w:tc>
          <w:tcPr>
            <w:tcW w:type="dxa" w:w="200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MCP Instance</w:t>
            </w:r>
          </w:p>
        </w:tc>
        <w:tc>
          <w:tcPr>
            <w:tcW w:type="dxa" w:w="316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Compliance Scope</w:t>
            </w:r>
          </w:p>
        </w:tc>
      </w:tr>
      <w:tr>
        <w:tc>
          <w:tcPr>
            <w:tcW w:type="dxa" w:w="1800"/>
            <w:tcBorders>
              <w:top w:val="single" w:color="CCCCCC" w:sz="1"/>
              <w:left w:val="single" w:color="CCCCCC" w:sz="1"/>
              <w:bottom w:val="single" w:color="CCCCCC" w:sz="1"/>
              <w:right w:val="single" w:color="CCCCCC" w:sz="1"/>
            </w:tcBorders>
          </w:tcPr>
          <w:p>
            <w:r>
              <w:t xml:space="preserve">Payments</w:t>
            </w:r>
          </w:p>
        </w:tc>
        <w:tc>
          <w:tcPr>
            <w:tcW w:type="dxa" w:w="2400"/>
            <w:tcBorders>
              <w:top w:val="single" w:color="CCCCCC" w:sz="1"/>
              <w:left w:val="single" w:color="CCCCCC" w:sz="1"/>
              <w:bottom w:val="single" w:color="CCCCCC" w:sz="1"/>
              <w:right w:val="single" w:color="CCCCCC" w:sz="1"/>
            </w:tcBorders>
          </w:tcPr>
          <w:p>
            <w:r>
              <w:t xml:space="preserve">/auth, /capture, /refund</w:t>
            </w:r>
          </w:p>
        </w:tc>
        <w:tc>
          <w:tcPr>
            <w:tcW w:type="dxa" w:w="2000"/>
            <w:tcBorders>
              <w:top w:val="single" w:color="CCCCCC" w:sz="1"/>
              <w:left w:val="single" w:color="CCCCCC" w:sz="1"/>
              <w:bottom w:val="single" w:color="CCCCCC" w:sz="1"/>
              <w:right w:val="single" w:color="CCCCCC" w:sz="1"/>
            </w:tcBorders>
          </w:tcPr>
          <w:p>
            <w:r>
              <w:t xml:space="preserve">mcp-payments</w:t>
            </w:r>
          </w:p>
        </w:tc>
        <w:tc>
          <w:tcPr>
            <w:tcW w:type="dxa" w:w="3160"/>
            <w:tcBorders>
              <w:top w:val="single" w:color="CCCCCC" w:sz="1"/>
              <w:left w:val="single" w:color="CCCCCC" w:sz="1"/>
              <w:bottom w:val="single" w:color="CCCCCC" w:sz="1"/>
              <w:right w:val="single" w:color="CCCCCC" w:sz="1"/>
            </w:tcBorders>
          </w:tcPr>
          <w:p>
            <w:r>
              <w:t xml:space="preserve">PCI-DSS Level 1</w:t>
            </w:r>
          </w:p>
        </w:tc>
      </w:tr>
      <w:tr>
        <w:tc>
          <w:tcPr>
            <w:tcW w:type="dxa" w:w="1800"/>
            <w:tcBorders>
              <w:top w:val="single" w:color="CCCCCC" w:sz="1"/>
              <w:left w:val="single" w:color="CCCCCC" w:sz="1"/>
              <w:bottom w:val="single" w:color="CCCCCC" w:sz="1"/>
              <w:right w:val="single" w:color="CCCCCC" w:sz="1"/>
            </w:tcBorders>
          </w:tcPr>
          <w:p>
            <w:r>
              <w:t xml:space="preserve">Identity</w:t>
            </w:r>
          </w:p>
        </w:tc>
        <w:tc>
          <w:tcPr>
            <w:tcW w:type="dxa" w:w="2400"/>
            <w:tcBorders>
              <w:top w:val="single" w:color="CCCCCC" w:sz="1"/>
              <w:left w:val="single" w:color="CCCCCC" w:sz="1"/>
              <w:bottom w:val="single" w:color="CCCCCC" w:sz="1"/>
              <w:right w:val="single" w:color="CCCCCC" w:sz="1"/>
            </w:tcBorders>
          </w:tcPr>
          <w:p>
            <w:r>
              <w:t xml:space="preserve">/verify, /tokenize, /mfa</w:t>
            </w:r>
          </w:p>
        </w:tc>
        <w:tc>
          <w:tcPr>
            <w:tcW w:type="dxa" w:w="2000"/>
            <w:tcBorders>
              <w:top w:val="single" w:color="CCCCCC" w:sz="1"/>
              <w:left w:val="single" w:color="CCCCCC" w:sz="1"/>
              <w:bottom w:val="single" w:color="CCCCCC" w:sz="1"/>
              <w:right w:val="single" w:color="CCCCCC" w:sz="1"/>
            </w:tcBorders>
          </w:tcPr>
          <w:p>
            <w:r>
              <w:t xml:space="preserve">mcp-identity</w:t>
            </w:r>
          </w:p>
        </w:tc>
        <w:tc>
          <w:tcPr>
            <w:tcW w:type="dxa" w:w="3160"/>
            <w:tcBorders>
              <w:top w:val="single" w:color="CCCCCC" w:sz="1"/>
              <w:left w:val="single" w:color="CCCCCC" w:sz="1"/>
              <w:bottom w:val="single" w:color="CCCCCC" w:sz="1"/>
              <w:right w:val="single" w:color="CCCCCC" w:sz="1"/>
            </w:tcBorders>
          </w:tcPr>
          <w:p>
            <w:r>
              <w:t xml:space="preserve">SOC2 Type II, KYC/AML</w:t>
            </w:r>
          </w:p>
        </w:tc>
      </w:tr>
      <w:tr>
        <w:tc>
          <w:tcPr>
            <w:tcW w:type="dxa" w:w="1800"/>
            <w:tcBorders>
              <w:top w:val="single" w:color="CCCCCC" w:sz="1"/>
              <w:left w:val="single" w:color="CCCCCC" w:sz="1"/>
              <w:bottom w:val="single" w:color="CCCCCC" w:sz="1"/>
              <w:right w:val="single" w:color="CCCCCC" w:sz="1"/>
            </w:tcBorders>
          </w:tcPr>
          <w:p>
            <w:r>
              <w:t xml:space="preserve">Support</w:t>
            </w:r>
          </w:p>
        </w:tc>
        <w:tc>
          <w:tcPr>
            <w:tcW w:type="dxa" w:w="2400"/>
            <w:tcBorders>
              <w:top w:val="single" w:color="CCCCCC" w:sz="1"/>
              <w:left w:val="single" w:color="CCCCCC" w:sz="1"/>
              <w:bottom w:val="single" w:color="CCCCCC" w:sz="1"/>
              <w:right w:val="single" w:color="CCCCCC" w:sz="1"/>
            </w:tcBorders>
          </w:tcPr>
          <w:p>
            <w:r>
              <w:t xml:space="preserve">/tickets, /cases, /escalate</w:t>
            </w:r>
          </w:p>
        </w:tc>
        <w:tc>
          <w:tcPr>
            <w:tcW w:type="dxa" w:w="2000"/>
            <w:tcBorders>
              <w:top w:val="single" w:color="CCCCCC" w:sz="1"/>
              <w:left w:val="single" w:color="CCCCCC" w:sz="1"/>
              <w:bottom w:val="single" w:color="CCCCCC" w:sz="1"/>
              <w:right w:val="single" w:color="CCCCCC" w:sz="1"/>
            </w:tcBorders>
          </w:tcPr>
          <w:p>
            <w:r>
              <w:t xml:space="preserve">mcp-support</w:t>
            </w:r>
          </w:p>
        </w:tc>
        <w:tc>
          <w:tcPr>
            <w:tcW w:type="dxa" w:w="3160"/>
            <w:tcBorders>
              <w:top w:val="single" w:color="CCCCCC" w:sz="1"/>
              <w:left w:val="single" w:color="CCCCCC" w:sz="1"/>
              <w:bottom w:val="single" w:color="CCCCCC" w:sz="1"/>
              <w:right w:val="single" w:color="CCCCCC" w:sz="1"/>
            </w:tcBorders>
          </w:tcPr>
          <w:p>
            <w:r>
              <w:t xml:space="preserve">GDPR, CCPA</w:t>
            </w:r>
          </w:p>
        </w:tc>
      </w:tr>
      <w:tr>
        <w:tc>
          <w:tcPr>
            <w:tcW w:type="dxa" w:w="1800"/>
            <w:tcBorders>
              <w:top w:val="single" w:color="CCCCCC" w:sz="1"/>
              <w:left w:val="single" w:color="CCCCCC" w:sz="1"/>
              <w:bottom w:val="single" w:color="CCCCCC" w:sz="1"/>
              <w:right w:val="single" w:color="CCCCCC" w:sz="1"/>
            </w:tcBorders>
          </w:tcPr>
          <w:p>
            <w:r>
              <w:t xml:space="preserve">Prose</w:t>
            </w:r>
          </w:p>
        </w:tc>
        <w:tc>
          <w:tcPr>
            <w:tcW w:type="dxa" w:w="2400"/>
            <w:tcBorders>
              <w:top w:val="single" w:color="CCCCCC" w:sz="1"/>
              <w:left w:val="single" w:color="CCCCCC" w:sz="1"/>
              <w:bottom w:val="single" w:color="CCCCCC" w:sz="1"/>
              <w:right w:val="single" w:color="CCCCCC" w:sz="1"/>
            </w:tcBorders>
          </w:tcPr>
          <w:p>
            <w:r>
              <w:t xml:space="preserve">/summaries, /templates</w:t>
            </w:r>
          </w:p>
        </w:tc>
        <w:tc>
          <w:tcPr>
            <w:tcW w:type="dxa" w:w="2000"/>
            <w:tcBorders>
              <w:top w:val="single" w:color="CCCCCC" w:sz="1"/>
              <w:left w:val="single" w:color="CCCCCC" w:sz="1"/>
              <w:bottom w:val="single" w:color="CCCCCC" w:sz="1"/>
              <w:right w:val="single" w:color="CCCCCC" w:sz="1"/>
            </w:tcBorders>
          </w:tcPr>
          <w:p>
            <w:r>
              <w:t xml:space="preserve">mcp-prose</w:t>
            </w:r>
          </w:p>
        </w:tc>
        <w:tc>
          <w:tcPr>
            <w:tcW w:type="dxa" w:w="3160"/>
            <w:tcBorders>
              <w:top w:val="single" w:color="CCCCCC" w:sz="1"/>
              <w:left w:val="single" w:color="CCCCCC" w:sz="1"/>
              <w:bottom w:val="single" w:color="CCCCCC" w:sz="1"/>
              <w:right w:val="single" w:color="CCCCCC" w:sz="1"/>
            </w:tcBorders>
          </w:tcPr>
          <w:p>
            <w:r>
              <w:t xml:space="preserve">Natural Language Processing</w:t>
            </w:r>
          </w:p>
        </w:tc>
      </w:tr>
    </w:tbl>
    <w:p>
      <w:pPr>
        <w:pStyle w:val="Heading2"/>
        <w:spacing w:before="240"/>
      </w:pPr>
      <w:r>
        <w:t xml:space="preserve">2.4 Implementation Example: Payment Processing MCP</w:t>
      </w:r>
    </w:p>
    <w:p>
      <w:r>
        <w:t xml:space="preserve">Consider a payment processing MCP handling authorization, capture, and refund operations. This MCP enforces PCI compliance boundaries while maintaining sub-60ms response times for control-plane operations.</w:t>
      </w:r>
    </w:p>
    <w:p>
      <w:pPr>
        <w:pStyle w:val="CodeBlock"/>
        <w:spacing w:before="180"/>
      </w:pPr>
      <w:r>
        <w:t xml:space="preserve"># MCP Configuration (mcp-payments)</w:t>
      </w:r>
    </w:p>
    <w:p>
      <w:pPr>
        <w:pStyle w:val="CodeBlock"/>
      </w:pPr>
      <w:r>
        <w:t xml:space="preserve">service: mcp-payments</w:t>
      </w:r>
    </w:p>
    <w:p>
      <w:pPr>
        <w:pStyle w:val="CodeBlock"/>
      </w:pPr>
      <w:r>
        <w:t xml:space="preserve">compliance_scope: PCI-DSS</w:t>
      </w:r>
    </w:p>
    <w:p>
      <w:pPr>
        <w:pStyle w:val="CodeBlock"/>
      </w:pPr>
      <w:r>
        <w:t xml:space="preserve">routes:</w:t>
      </w:r>
    </w:p>
    <w:p>
      <w:pPr>
        <w:pStyle w:val="CodeBlock"/>
      </w:pPr>
      <w:r>
        <w:t xml:space="preserve">  - /payments/auth</w:t>
      </w:r>
    </w:p>
    <w:p>
      <w:pPr>
        <w:pStyle w:val="CodeBlock"/>
      </w:pPr>
      <w:r>
        <w:t xml:space="preserve">  - /payments/capture</w:t>
      </w:r>
    </w:p>
    <w:p>
      <w:pPr>
        <w:pStyle w:val="CodeBlock"/>
      </w:pPr>
      <w:r>
        <w:t xml:space="preserve">  - /payments/refund</w:t>
      </w:r>
    </w:p>
    <w:p>
      <w:pPr>
        <w:pStyle w:val="CodeBlock"/>
      </w:pPr>
      <w:r>
        <w:t xml:space="preserve">telemetry:</w:t>
      </w:r>
    </w:p>
    <w:p>
      <w:pPr>
        <w:pStyle w:val="CodeBlock"/>
      </w:pPr>
      <w:r>
        <w:t xml:space="preserve">  provider: datadog</w:t>
      </w:r>
    </w:p>
    <w:p>
      <w:pPr>
        <w:pStyle w:val="CodeBlock"/>
      </w:pPr>
      <w:r>
        <w:t xml:space="preserve">  trace_propagation: w3c</w:t>
      </w:r>
    </w:p>
    <w:p>
      <w:pPr>
        <w:pStyle w:val="CodeBlock"/>
      </w:pPr>
      <w:r>
        <w:t xml:space="preserve">  custom_tags:</w:t>
      </w:r>
    </w:p>
    <w:p>
      <w:pPr>
        <w:pStyle w:val="CodeBlock"/>
      </w:pPr>
      <w:r>
        <w:t xml:space="preserve">    - compliance_domain</w:t>
      </w:r>
    </w:p>
    <w:p>
      <w:pPr>
        <w:pStyle w:val="CodeBlock"/>
      </w:pPr>
      <w:r>
        <w:t xml:space="preserve">    - schema_version</w:t>
      </w:r>
    </w:p>
    <w:p>
      <w:r>
        <w:br w:type="page"/>
      </w:r>
    </w:p>
    <w:p>
      <w:pPr>
        <w:pStyle w:val="Heading1"/>
      </w:pPr>
      <w:r>
        <w:t xml:space="preserve">3. Architecture Review Pack</w:t>
      </w:r>
    </w:p>
    <w:p>
      <w:pPr>
        <w:pStyle w:val="Heading2"/>
      </w:pPr>
      <w:r>
        <w:t xml:space="preserve">3.1 Architecture Decision Record (ADR)</w:t>
      </w:r>
    </w:p>
    <w:p>
      <w:pPr>
        <w:spacing w:before="180"/>
      </w:pPr>
      <w:r>
        <w:rPr>
          <w:b/>
          <w:bCs/>
        </w:rPr>
        <w:t xml:space="preserve">Context: </w:t>
      </w:r>
      <w:r>
        <w:t xml:space="preserve">Initial proposals suggested implementing a unified MCP to handle all service routes across payment, identity, and support domains. Analysis revealed this approach would create unacceptable latency variance, compliance violations, and operational complexity.</w:t>
      </w:r>
    </w:p>
    <w:p>
      <w:pPr>
        <w:spacing w:before="180"/>
      </w:pPr>
      <w:r>
        <w:rPr>
          <w:b/>
          <w:bCs/>
        </w:rPr>
        <w:t xml:space="preserve">Decision: </w:t>
      </w:r>
      <w:r>
        <w:t xml:space="preserve">Implement domain-specific MCP instances with strict functional isolation. Each MCP maintains its own deployment pipeline, scaling policies, and observability configuration while adhering to shared architectural patterns.</w:t>
      </w:r>
    </w:p>
    <w:p>
      <w:pPr>
        <w:spacing w:before="180"/>
      </w:pPr>
      <w:r>
        <w:rPr>
          <w:b/>
          <w:bCs/>
        </w:rPr>
        <w:t xml:space="preserve">Consequences:</w:t>
      </w:r>
    </w:p>
    <w:p>
      <w:pPr>
        <w:pStyle w:val="ListParagraph"/>
        <w:numPr>
          <w:ilvl w:val="0"/>
          <w:numId w:val="2"/>
        </w:numPr>
      </w:pPr>
      <w:r>
        <w:t xml:space="preserve">Predictable performance with p95 latency under 60ms</w:t>
      </w:r>
    </w:p>
    <w:p>
      <w:pPr>
        <w:pStyle w:val="ListParagraph"/>
        <w:numPr>
          <w:ilvl w:val="0"/>
          <w:numId w:val="2"/>
        </w:numPr>
      </w:pPr>
      <w:r>
        <w:t xml:space="preserve">Domain-level compliance boundaries supporting PCI, HIPAA, and SOC2</w:t>
      </w:r>
    </w:p>
    <w:p>
      <w:pPr>
        <w:pStyle w:val="ListParagraph"/>
        <w:numPr>
          <w:ilvl w:val="0"/>
          <w:numId w:val="2"/>
        </w:numPr>
      </w:pPr>
      <w:r>
        <w:t xml:space="preserve">Simplified scaling with independent horizontal scaling per domain</w:t>
      </w:r>
    </w:p>
    <w:p>
      <w:pPr>
        <w:pStyle w:val="ListParagraph"/>
        <w:numPr>
          <w:ilvl w:val="0"/>
          <w:numId w:val="2"/>
        </w:numPr>
      </w:pPr>
      <w:r>
        <w:t xml:space="preserve">Increased deployment complexity (accepted trade-off)</w:t>
      </w:r>
    </w:p>
    <w:p>
      <w:pPr>
        <w:pStyle w:val="ListParagraph"/>
        <w:numPr>
          <w:ilvl w:val="0"/>
          <w:numId w:val="2"/>
        </w:numPr>
      </w:pPr>
      <w:r>
        <w:t xml:space="preserve">Additional infrastructure cost approximately 15% (accepted trade-off)</w:t>
      </w:r>
    </w:p>
    <w:p>
      <w:pPr>
        <w:pStyle w:val="Heading2"/>
      </w:pPr>
      <w:r>
        <w:t xml:space="preserve">3.2 System Architecture Flow</w:t>
      </w:r>
    </w:p>
    <w:p>
      <w:r>
        <w:t xml:space="preserve">The architecture implements a clear separation of concerns with MCPs serving as policy enforcement points while data-plane services handle computation and orchestration. Cross-domain interactions utilize the Federate-Stage-Join (FSJ) pattern to maintain isolation while enabling controlled data sharing.</w:t>
      </w:r>
    </w:p>
    <w:p>
      <w:pPr>
        <w:pStyle w:val="CodeBlock"/>
        <w:spacing w:before="180"/>
      </w:pPr>
      <w:r>
        <w:t xml:space="preserve">         Client / LLM Layer</w:t>
      </w:r>
    </w:p>
    <w:p>
      <w:pPr>
        <w:pStyle w:val="CodeBlock"/>
      </w:pPr>
      <w:r>
        <w:t xml:space="preserve">              │</w:t>
      </w:r>
    </w:p>
    <w:p>
      <w:pPr>
        <w:pStyle w:val="CodeBlock"/>
      </w:pPr>
      <w:r>
        <w:t xml:space="preserve">         [RBAC + Audit]</w:t>
      </w:r>
    </w:p>
    <w:p>
      <w:pPr>
        <w:pStyle w:val="CodeBlock"/>
      </w:pPr>
      <w:r>
        <w:t xml:space="preserve">              │</w:t>
      </w:r>
    </w:p>
    <w:p>
      <w:pPr>
        <w:pStyle w:val="CodeBlock"/>
      </w:pPr>
      <w:r>
        <w:t xml:space="preserve">    ┌─────────┴─────────┬─────────┬─────────┐</w:t>
      </w:r>
    </w:p>
    <w:p>
      <w:pPr>
        <w:pStyle w:val="CodeBlock"/>
      </w:pPr>
      <w:r>
        <w:t xml:space="preserve">    │                   │         │         │</w:t>
      </w:r>
    </w:p>
    <w:p>
      <w:pPr>
        <w:pStyle w:val="CodeBlock"/>
      </w:pPr>
      <w:r>
        <w:t xml:space="preserve">[MCP Payments]  [MCP Identity]  [MCP Support]  [MCP Prose]</w:t>
      </w:r>
    </w:p>
    <w:p>
      <w:pPr>
        <w:pStyle w:val="CodeBlock"/>
      </w:pPr>
      <w:r>
        <w:t xml:space="preserve">    │                   │         │         │</w:t>
      </w:r>
    </w:p>
    <w:p>
      <w:pPr>
        <w:pStyle w:val="CodeBlock"/>
      </w:pPr>
      <w:r>
        <w:t xml:space="preserve">Payment Rails   Identity Rails  Support Orch  Prose Gen</w:t>
      </w:r>
    </w:p>
    <w:p>
      <w:pPr>
        <w:pStyle w:val="CodeBlock"/>
      </w:pPr>
      <w:r>
        <w:t xml:space="preserve">    │                   │         │         │</w:t>
      </w:r>
    </w:p>
    <w:p>
      <w:pPr>
        <w:pStyle w:val="CodeBlock"/>
      </w:pPr>
      <w:r>
        <w:t xml:space="preserve">    └─────────┬─────────┴─────────┴─────────┘</w:t>
      </w:r>
    </w:p>
    <w:p>
      <w:pPr>
        <w:pStyle w:val="CodeBlock"/>
      </w:pPr>
      <w:r>
        <w:t xml:space="preserve">              │</w:t>
      </w:r>
    </w:p>
    <w:p>
      <w:pPr>
        <w:pStyle w:val="CodeBlock"/>
      </w:pPr>
      <w:r>
        <w:t xml:space="preserve">         [FSJ Join Service]</w:t>
      </w:r>
    </w:p>
    <w:p>
      <w:pPr>
        <w:pStyle w:val="CodeBlock"/>
      </w:pPr>
      <w:r>
        <w:t xml:space="preserve">              │</w:t>
      </w:r>
    </w:p>
    <w:p>
      <w:pPr>
        <w:pStyle w:val="CodeBlock"/>
      </w:pPr>
      <w:r>
        <w:t xml:space="preserve">      [Dashboard/API Consumers]</w:t>
      </w:r>
    </w:p>
    <w:p>
      <w:pPr>
        <w:pStyle w:val="Heading2"/>
        <w:spacing w:before="240"/>
      </w:pPr>
      <w:r>
        <w:t xml:space="preserve">3.3 Architecture Review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Category</w:t>
            </w:r>
          </w:p>
        </w:tc>
        <w:tc>
          <w:tcPr>
            <w:tcW w:type="dxa" w:w="234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Criteria</w:t>
            </w:r>
          </w:p>
        </w:tc>
        <w:tc>
          <w:tcPr>
            <w:tcW w:type="dxa" w:w="234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Target Metric</w:t>
            </w:r>
          </w:p>
        </w:tc>
        <w:tc>
          <w:tcPr>
            <w:tcW w:type="dxa" w:w="2340"/>
            <w:tcBorders>
              <w:top w:val="single" w:color="CCCCCC" w:sz="1"/>
              <w:left w:val="single" w:color="CCCCCC" w:sz="1"/>
              <w:bottom w:val="single" w:color="CCCCCC" w:sz="1"/>
              <w:right w:val="single" w:color="CCCCCC" w:sz="1"/>
            </w:tcBorders>
            <w:shd w:fill="E8EDF3" w:val="clear"/>
          </w:tcPr>
          <w:p>
            <w:pPr>
              <w:jc w:val="center"/>
            </w:pPr>
            <w:r>
              <w:rPr>
                <w:b/>
                <w:bCs/>
                <w:sz w:val="22"/>
                <w:szCs w:val="22"/>
              </w:rPr>
              <w:t xml:space="preserve">Status</w:t>
            </w:r>
          </w:p>
        </w:tc>
      </w:tr>
      <w:tr>
        <w:tc>
          <w:tcPr>
            <w:tcW w:type="dxa" w:w="2340"/>
            <w:tcBorders>
              <w:top w:val="single" w:color="CCCCCC" w:sz="1"/>
              <w:left w:val="single" w:color="CCCCCC" w:sz="1"/>
              <w:bottom w:val="single" w:color="CCCCCC" w:sz="1"/>
              <w:right w:val="single" w:color="CCCCCC" w:sz="1"/>
            </w:tcBorders>
          </w:tcPr>
          <w:p>
            <w:r>
              <w:t xml:space="preserve">Latency</w:t>
            </w:r>
          </w:p>
        </w:tc>
        <w:tc>
          <w:tcPr>
            <w:tcW w:type="dxa" w:w="2340"/>
            <w:tcBorders>
              <w:top w:val="single" w:color="CCCCCC" w:sz="1"/>
              <w:left w:val="single" w:color="CCCCCC" w:sz="1"/>
              <w:bottom w:val="single" w:color="CCCCCC" w:sz="1"/>
              <w:right w:val="single" w:color="CCCCCC" w:sz="1"/>
            </w:tcBorders>
          </w:tcPr>
          <w:p>
            <w:r>
              <w:t xml:space="preserve">p95 MCP Response</w:t>
            </w:r>
          </w:p>
        </w:tc>
        <w:tc>
          <w:tcPr>
            <w:tcW w:type="dxa" w:w="2340"/>
            <w:tcBorders>
              <w:top w:val="single" w:color="CCCCCC" w:sz="1"/>
              <w:left w:val="single" w:color="CCCCCC" w:sz="1"/>
              <w:bottom w:val="single" w:color="CCCCCC" w:sz="1"/>
              <w:right w:val="single" w:color="CCCCCC" w:sz="1"/>
            </w:tcBorders>
          </w:tcPr>
          <w:p>
            <w:r>
              <w:t xml:space="preserve">&lt; 60 ms</w:t>
            </w:r>
          </w:p>
        </w:tc>
        <w:tc>
          <w:tcPr>
            <w:tcW w:type="dxa" w:w="2340"/>
            <w:tcBorders>
              <w:top w:val="single" w:color="CCCCCC" w:sz="1"/>
              <w:left w:val="single" w:color="CCCCCC" w:sz="1"/>
              <w:bottom w:val="single" w:color="CCCCCC" w:sz="1"/>
              <w:right w:val="single" w:color="CCCCCC" w:sz="1"/>
            </w:tcBorders>
            <w:shd w:fill="D4F1DD" w:val="clear"/>
          </w:tcPr>
          <w:p>
            <w:pPr>
              <w:jc w:val="center"/>
            </w:pPr>
            <w:r>
              <w:rPr>
                <w:b/>
                <w:bCs/>
                <w:color w:val="2E7D32"/>
              </w:rPr>
              <w:t xml:space="preserve">✓ Pass</w:t>
            </w:r>
          </w:p>
        </w:tc>
      </w:tr>
      <w:tr>
        <w:tc>
          <w:tcPr>
            <w:tcW w:type="dxa" w:w="2340"/>
            <w:tcBorders>
              <w:top w:val="single" w:color="CCCCCC" w:sz="1"/>
              <w:left w:val="single" w:color="CCCCCC" w:sz="1"/>
              <w:bottom w:val="single" w:color="CCCCCC" w:sz="1"/>
              <w:right w:val="single" w:color="CCCCCC" w:sz="1"/>
            </w:tcBorders>
          </w:tcPr>
          <w:p>
            <w:r>
              <w:t xml:space="preserve">Isolation</w:t>
            </w:r>
          </w:p>
        </w:tc>
        <w:tc>
          <w:tcPr>
            <w:tcW w:type="dxa" w:w="2340"/>
            <w:tcBorders>
              <w:top w:val="single" w:color="CCCCCC" w:sz="1"/>
              <w:left w:val="single" w:color="CCCCCC" w:sz="1"/>
              <w:bottom w:val="single" w:color="CCCCCC" w:sz="1"/>
              <w:right w:val="single" w:color="CCCCCC" w:sz="1"/>
            </w:tcBorders>
          </w:tcPr>
          <w:p>
            <w:r>
              <w:t xml:space="preserve">Domain Separation</w:t>
            </w:r>
          </w:p>
        </w:tc>
        <w:tc>
          <w:tcPr>
            <w:tcW w:type="dxa" w:w="2340"/>
            <w:tcBorders>
              <w:top w:val="single" w:color="CCCCCC" w:sz="1"/>
              <w:left w:val="single" w:color="CCCCCC" w:sz="1"/>
              <w:bottom w:val="single" w:color="CCCCCC" w:sz="1"/>
              <w:right w:val="single" w:color="CCCCCC" w:sz="1"/>
            </w:tcBorders>
          </w:tcPr>
          <w:p>
            <w:r>
              <w:t xml:space="preserve">100%</w:t>
            </w:r>
          </w:p>
        </w:tc>
        <w:tc>
          <w:tcPr>
            <w:tcW w:type="dxa" w:w="2340"/>
            <w:tcBorders>
              <w:top w:val="single" w:color="CCCCCC" w:sz="1"/>
              <w:left w:val="single" w:color="CCCCCC" w:sz="1"/>
              <w:bottom w:val="single" w:color="CCCCCC" w:sz="1"/>
              <w:right w:val="single" w:color="CCCCCC" w:sz="1"/>
            </w:tcBorders>
            <w:shd w:fill="D4F1DD" w:val="clear"/>
          </w:tcPr>
          <w:p>
            <w:pPr>
              <w:jc w:val="center"/>
            </w:pPr>
            <w:r>
              <w:rPr>
                <w:b/>
                <w:bCs/>
                <w:color w:val="2E7D32"/>
              </w:rPr>
              <w:t xml:space="preserve">✓ Pass</w:t>
            </w:r>
          </w:p>
        </w:tc>
      </w:tr>
      <w:tr>
        <w:tc>
          <w:tcPr>
            <w:tcW w:type="dxa" w:w="2340"/>
            <w:tcBorders>
              <w:top w:val="single" w:color="CCCCCC" w:sz="1"/>
              <w:left w:val="single" w:color="CCCCCC" w:sz="1"/>
              <w:bottom w:val="single" w:color="CCCCCC" w:sz="1"/>
              <w:right w:val="single" w:color="CCCCCC" w:sz="1"/>
            </w:tcBorders>
          </w:tcPr>
          <w:p>
            <w:r>
              <w:t xml:space="preserve">Context Integrity</w:t>
            </w:r>
          </w:p>
        </w:tc>
        <w:tc>
          <w:tcPr>
            <w:tcW w:type="dxa" w:w="2340"/>
            <w:tcBorders>
              <w:top w:val="single" w:color="CCCCCC" w:sz="1"/>
              <w:left w:val="single" w:color="CCCCCC" w:sz="1"/>
              <w:bottom w:val="single" w:color="CCCCCC" w:sz="1"/>
              <w:right w:val="single" w:color="CCCCCC" w:sz="1"/>
            </w:tcBorders>
          </w:tcPr>
          <w:p>
            <w:r>
              <w:t xml:space="preserve">Cross-domain Fields</w:t>
            </w:r>
          </w:p>
        </w:tc>
        <w:tc>
          <w:tcPr>
            <w:tcW w:type="dxa" w:w="2340"/>
            <w:tcBorders>
              <w:top w:val="single" w:color="CCCCCC" w:sz="1"/>
              <w:left w:val="single" w:color="CCCCCC" w:sz="1"/>
              <w:bottom w:val="single" w:color="CCCCCC" w:sz="1"/>
              <w:right w:val="single" w:color="CCCCCC" w:sz="1"/>
            </w:tcBorders>
          </w:tcPr>
          <w:p>
            <w:r>
              <w:t xml:space="preserve">0 violations</w:t>
            </w:r>
          </w:p>
        </w:tc>
        <w:tc>
          <w:tcPr>
            <w:tcW w:type="dxa" w:w="2340"/>
            <w:tcBorders>
              <w:top w:val="single" w:color="CCCCCC" w:sz="1"/>
              <w:left w:val="single" w:color="CCCCCC" w:sz="1"/>
              <w:bottom w:val="single" w:color="CCCCCC" w:sz="1"/>
              <w:right w:val="single" w:color="CCCCCC" w:sz="1"/>
            </w:tcBorders>
            <w:shd w:fill="D4F1DD" w:val="clear"/>
          </w:tcPr>
          <w:p>
            <w:pPr>
              <w:jc w:val="center"/>
            </w:pPr>
            <w:r>
              <w:rPr>
                <w:b/>
                <w:bCs/>
                <w:color w:val="2E7D32"/>
              </w:rPr>
              <w:t xml:space="preserve">✓ Pass</w:t>
            </w:r>
          </w:p>
        </w:tc>
      </w:tr>
      <w:tr>
        <w:tc>
          <w:tcPr>
            <w:tcW w:type="dxa" w:w="2340"/>
            <w:tcBorders>
              <w:top w:val="single" w:color="CCCCCC" w:sz="1"/>
              <w:left w:val="single" w:color="CCCCCC" w:sz="1"/>
              <w:bottom w:val="single" w:color="CCCCCC" w:sz="1"/>
              <w:right w:val="single" w:color="CCCCCC" w:sz="1"/>
            </w:tcBorders>
          </w:tcPr>
          <w:p>
            <w:r>
              <w:t xml:space="preserve">Compliance</w:t>
            </w:r>
          </w:p>
        </w:tc>
        <w:tc>
          <w:tcPr>
            <w:tcW w:type="dxa" w:w="2340"/>
            <w:tcBorders>
              <w:top w:val="single" w:color="CCCCCC" w:sz="1"/>
              <w:left w:val="single" w:color="CCCCCC" w:sz="1"/>
              <w:bottom w:val="single" w:color="CCCCCC" w:sz="1"/>
              <w:right w:val="single" w:color="CCCCCC" w:sz="1"/>
            </w:tcBorders>
          </w:tcPr>
          <w:p>
            <w:r>
              <w:t xml:space="preserve">PCI/HIPAA Isolation</w:t>
            </w:r>
          </w:p>
        </w:tc>
        <w:tc>
          <w:tcPr>
            <w:tcW w:type="dxa" w:w="2340"/>
            <w:tcBorders>
              <w:top w:val="single" w:color="CCCCCC" w:sz="1"/>
              <w:left w:val="single" w:color="CCCCCC" w:sz="1"/>
              <w:bottom w:val="single" w:color="CCCCCC" w:sz="1"/>
              <w:right w:val="single" w:color="CCCCCC" w:sz="1"/>
            </w:tcBorders>
          </w:tcPr>
          <w:p>
            <w:r>
              <w:t xml:space="preserve">Enforced</w:t>
            </w:r>
          </w:p>
        </w:tc>
        <w:tc>
          <w:tcPr>
            <w:tcW w:type="dxa" w:w="2340"/>
            <w:tcBorders>
              <w:top w:val="single" w:color="CCCCCC" w:sz="1"/>
              <w:left w:val="single" w:color="CCCCCC" w:sz="1"/>
              <w:bottom w:val="single" w:color="CCCCCC" w:sz="1"/>
              <w:right w:val="single" w:color="CCCCCC" w:sz="1"/>
            </w:tcBorders>
            <w:shd w:fill="D4F1DD" w:val="clear"/>
          </w:tcPr>
          <w:p>
            <w:pPr>
              <w:jc w:val="center"/>
            </w:pPr>
            <w:r>
              <w:rPr>
                <w:b/>
                <w:bCs/>
                <w:color w:val="2E7D32"/>
              </w:rPr>
              <w:t xml:space="preserve">✓ Pass</w:t>
            </w:r>
          </w:p>
        </w:tc>
      </w:tr>
    </w:tbl>
    <w:p>
      <w:pPr>
        <w:pStyle w:val="Heading2"/>
        <w:spacing w:before="240"/>
      </w:pPr>
      <w:r>
        <w:t xml:space="preserve">3.4 Operational Considerations</w:t>
      </w:r>
    </w:p>
    <w:p>
      <w:pPr>
        <w:pStyle w:val="ListParagraph"/>
        <w:numPr>
          <w:ilvl w:val="0"/>
          <w:numId w:val="2"/>
        </w:numPr>
      </w:pPr>
      <w:r>
        <w:t xml:space="preserve">MCPs deployed as stateless containers in Kubernetes or ECS with auto-scaling based on request latency</w:t>
      </w:r>
    </w:p>
    <w:p>
      <w:pPr>
        <w:pStyle w:val="ListParagraph"/>
        <w:numPr>
          <w:ilvl w:val="0"/>
          <w:numId w:val="2"/>
        </w:numPr>
      </w:pPr>
      <w:r>
        <w:t xml:space="preserve">Each MCP utilizes separate AWS KMS keys and IAM service accounts for cryptographic isolation</w:t>
      </w:r>
    </w:p>
    <w:p>
      <w:pPr>
        <w:pStyle w:val="ListParagraph"/>
        <w:numPr>
          <w:ilvl w:val="0"/>
          <w:numId w:val="2"/>
        </w:numPr>
      </w:pPr>
      <w:r>
        <w:t xml:space="preserve">Observability unified through Datadog APM with custom tags for domain, schema version, and compliance scope</w:t>
      </w:r>
    </w:p>
    <w:p>
      <w:pPr>
        <w:pStyle w:val="ListParagraph"/>
        <w:numPr>
          <w:ilvl w:val="0"/>
          <w:numId w:val="2"/>
        </w:numPr>
      </w:pPr>
      <w:r>
        <w:t xml:space="preserve">Contract testing ensures schema compatibility across MCP versions using Pact or similar frameworks</w:t>
      </w:r>
    </w:p>
    <w:p>
      <w:pPr>
        <w:pStyle w:val="ListParagraph"/>
        <w:numPr>
          <w:ilvl w:val="0"/>
          <w:numId w:val="2"/>
        </w:numPr>
      </w:pPr>
      <w:r>
        <w:t xml:space="preserve">Blue-green deployments with automated rollback based on SLO violations</w:t>
      </w:r>
    </w:p>
    <w:p>
      <w:r>
        <w:br w:type="page"/>
      </w:r>
    </w:p>
    <w:p>
      <w:pPr>
        <w:pStyle w:val="Heading1"/>
      </w:pPr>
      <w:r>
        <w:t xml:space="preserve">4. Dual-Lane MCP Architecture</w:t>
      </w:r>
    </w:p>
    <w:p>
      <w:pPr>
        <w:pStyle w:val="Heading2"/>
      </w:pPr>
      <w:r>
        <w:t xml:space="preserve">4.1 Overview</w:t>
      </w:r>
    </w:p>
    <w:p>
      <w:r>
        <w:t xml:space="preserve">The Dual-Lane architecture enforces strict separation between machine-readable structured data and natural language prose. This pattern addresses the fundamental challenge of LLM hallucination while maintaining compliance boundaries for sensitive data processing.</w:t>
      </w:r>
    </w:p>
    <w:p>
      <w:pPr>
        <w:spacing w:before="180"/>
      </w:pPr>
      <w:r>
        <w:t xml:space="preserve">Each lane maintains distinct processing characteristics optimized for its data type. The structured lane processes deterministic JSON with low entropy, suitable for machine consumption and regulatory compliance. The prose lane handles natural language with appropriate scrubbing and time-to-live constraints for human review.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8EDF3" w:val="clear"/>
          </w:tcPr>
          <w:p>
            <w:pPr>
              <w:jc w:val="left"/>
            </w:pPr>
            <w:r>
              <w:rPr>
                <w:b/>
                <w:bCs/>
                <w:sz w:val="20"/>
                <w:szCs w:val="20"/>
              </w:rPr>
              <w:t xml:space="preserve">Lane</w:t>
            </w:r>
          </w:p>
        </w:tc>
        <w:tc>
          <w:tcPr>
            <w:tcW w:type="dxa" w:w="1560"/>
            <w:tcBorders>
              <w:top w:val="single" w:color="CCCCCC" w:sz="1"/>
              <w:left w:val="single" w:color="CCCCCC" w:sz="1"/>
              <w:bottom w:val="single" w:color="CCCCCC" w:sz="1"/>
              <w:right w:val="single" w:color="CCCCCC" w:sz="1"/>
            </w:tcBorders>
            <w:shd w:fill="E8EDF3" w:val="clear"/>
          </w:tcPr>
          <w:p>
            <w:pPr>
              <w:jc w:val="left"/>
            </w:pPr>
            <w:r>
              <w:rPr>
                <w:b/>
                <w:bCs/>
                <w:sz w:val="20"/>
                <w:szCs w:val="20"/>
              </w:rPr>
              <w:t xml:space="preserve">Function</w:t>
            </w:r>
          </w:p>
        </w:tc>
        <w:tc>
          <w:tcPr>
            <w:tcW w:type="dxa" w:w="1560"/>
            <w:tcBorders>
              <w:top w:val="single" w:color="CCCCCC" w:sz="1"/>
              <w:left w:val="single" w:color="CCCCCC" w:sz="1"/>
              <w:bottom w:val="single" w:color="CCCCCC" w:sz="1"/>
              <w:right w:val="single" w:color="CCCCCC" w:sz="1"/>
            </w:tcBorders>
            <w:shd w:fill="E8EDF3" w:val="clear"/>
          </w:tcPr>
          <w:p>
            <w:pPr>
              <w:jc w:val="left"/>
            </w:pPr>
            <w:r>
              <w:rPr>
                <w:b/>
                <w:bCs/>
                <w:sz w:val="20"/>
                <w:szCs w:val="20"/>
              </w:rPr>
              <w:t xml:space="preserve">Data Type</w:t>
            </w:r>
          </w:p>
        </w:tc>
        <w:tc>
          <w:tcPr>
            <w:tcW w:type="dxa" w:w="1560"/>
            <w:tcBorders>
              <w:top w:val="single" w:color="CCCCCC" w:sz="1"/>
              <w:left w:val="single" w:color="CCCCCC" w:sz="1"/>
              <w:bottom w:val="single" w:color="CCCCCC" w:sz="1"/>
              <w:right w:val="single" w:color="CCCCCC" w:sz="1"/>
            </w:tcBorders>
            <w:shd w:fill="E8EDF3" w:val="clear"/>
          </w:tcPr>
          <w:p>
            <w:pPr>
              <w:jc w:val="left"/>
            </w:pPr>
            <w:r>
              <w:rPr>
                <w:b/>
                <w:bCs/>
                <w:sz w:val="20"/>
                <w:szCs w:val="20"/>
              </w:rPr>
              <w:t xml:space="preserve">Consumer</w:t>
            </w:r>
          </w:p>
        </w:tc>
        <w:tc>
          <w:tcPr>
            <w:tcW w:type="dxa" w:w="1560"/>
            <w:tcBorders>
              <w:top w:val="single" w:color="CCCCCC" w:sz="1"/>
              <w:left w:val="single" w:color="CCCCCC" w:sz="1"/>
              <w:bottom w:val="single" w:color="CCCCCC" w:sz="1"/>
              <w:right w:val="single" w:color="CCCCCC" w:sz="1"/>
            </w:tcBorders>
            <w:shd w:fill="E8EDF3" w:val="clear"/>
          </w:tcPr>
          <w:p>
            <w:pPr>
              <w:jc w:val="left"/>
            </w:pPr>
            <w:r>
              <w:rPr>
                <w:b/>
                <w:bCs/>
                <w:sz w:val="20"/>
                <w:szCs w:val="20"/>
              </w:rPr>
              <w:t xml:space="preserve">TTL</w:t>
            </w:r>
          </w:p>
        </w:tc>
        <w:tc>
          <w:tcPr>
            <w:tcW w:type="dxa" w:w="1560"/>
            <w:tcBorders>
              <w:top w:val="single" w:color="CCCCCC" w:sz="1"/>
              <w:left w:val="single" w:color="CCCCCC" w:sz="1"/>
              <w:bottom w:val="single" w:color="CCCCCC" w:sz="1"/>
              <w:right w:val="single" w:color="CCCCCC" w:sz="1"/>
            </w:tcBorders>
            <w:shd w:fill="E8EDF3" w:val="clear"/>
          </w:tcPr>
          <w:p>
            <w:pPr>
              <w:jc w:val="left"/>
            </w:pPr>
            <w:r>
              <w:rPr>
                <w:b/>
                <w:bCs/>
                <w:sz w:val="20"/>
                <w:szCs w:val="20"/>
              </w:rPr>
              <w:t xml:space="preserve">Compliance</w:t>
            </w:r>
          </w:p>
        </w:tc>
      </w:tr>
      <w:tr>
        <w:tc>
          <w:tcPr>
            <w:tcW w:type="dxa" w:w="1560"/>
            <w:tcBorders>
              <w:top w:val="single" w:color="CCCCCC" w:sz="1"/>
              <w:left w:val="single" w:color="CCCCCC" w:sz="1"/>
              <w:bottom w:val="single" w:color="CCCCCC" w:sz="1"/>
              <w:right w:val="single" w:color="CCCCCC" w:sz="1"/>
            </w:tcBorders>
          </w:tcPr>
          <w:p>
            <w:r>
              <w:rPr>
                <w:sz w:val="20"/>
                <w:szCs w:val="20"/>
              </w:rPr>
              <w:t xml:space="preserve">Structured</w:t>
            </w:r>
          </w:p>
        </w:tc>
        <w:tc>
          <w:tcPr>
            <w:tcW w:type="dxa" w:w="1560"/>
            <w:tcBorders>
              <w:top w:val="single" w:color="CCCCCC" w:sz="1"/>
              <w:left w:val="single" w:color="CCCCCC" w:sz="1"/>
              <w:bottom w:val="single" w:color="CCCCCC" w:sz="1"/>
              <w:right w:val="single" w:color="CCCCCC" w:sz="1"/>
            </w:tcBorders>
          </w:tcPr>
          <w:p>
            <w:r>
              <w:rPr>
                <w:sz w:val="20"/>
                <w:szCs w:val="20"/>
              </w:rPr>
              <w:t xml:space="preserve">Deterministic</w:t>
            </w:r>
          </w:p>
        </w:tc>
        <w:tc>
          <w:tcPr>
            <w:tcW w:type="dxa" w:w="1560"/>
            <w:tcBorders>
              <w:top w:val="single" w:color="CCCCCC" w:sz="1"/>
              <w:left w:val="single" w:color="CCCCCC" w:sz="1"/>
              <w:bottom w:val="single" w:color="CCCCCC" w:sz="1"/>
              <w:right w:val="single" w:color="CCCCCC" w:sz="1"/>
            </w:tcBorders>
          </w:tcPr>
          <w:p>
            <w:r>
              <w:rPr>
                <w:sz w:val="20"/>
                <w:szCs w:val="20"/>
              </w:rPr>
              <w:t xml:space="preserve">JSON</w:t>
            </w:r>
          </w:p>
        </w:tc>
        <w:tc>
          <w:tcPr>
            <w:tcW w:type="dxa" w:w="1560"/>
            <w:tcBorders>
              <w:top w:val="single" w:color="CCCCCC" w:sz="1"/>
              <w:left w:val="single" w:color="CCCCCC" w:sz="1"/>
              <w:bottom w:val="single" w:color="CCCCCC" w:sz="1"/>
              <w:right w:val="single" w:color="CCCCCC" w:sz="1"/>
            </w:tcBorders>
          </w:tcPr>
          <w:p>
            <w:r>
              <w:rPr>
                <w:sz w:val="20"/>
                <w:szCs w:val="20"/>
              </w:rPr>
              <w:t xml:space="preserve">Machines</w:t>
            </w:r>
          </w:p>
        </w:tc>
        <w:tc>
          <w:tcPr>
            <w:tcW w:type="dxa" w:w="1560"/>
            <w:tcBorders>
              <w:top w:val="single" w:color="CCCCCC" w:sz="1"/>
              <w:left w:val="single" w:color="CCCCCC" w:sz="1"/>
              <w:bottom w:val="single" w:color="CCCCCC" w:sz="1"/>
              <w:right w:val="single" w:color="CCCCCC" w:sz="1"/>
            </w:tcBorders>
          </w:tcPr>
          <w:p>
            <w:r>
              <w:rPr>
                <w:sz w:val="20"/>
                <w:szCs w:val="20"/>
              </w:rPr>
              <w:t xml:space="preserve">24 hours</w:t>
            </w:r>
          </w:p>
        </w:tc>
        <w:tc>
          <w:tcPr>
            <w:tcW w:type="dxa" w:w="1560"/>
            <w:tcBorders>
              <w:top w:val="single" w:color="CCCCCC" w:sz="1"/>
              <w:left w:val="single" w:color="CCCCCC" w:sz="1"/>
              <w:bottom w:val="single" w:color="CCCCCC" w:sz="1"/>
              <w:right w:val="single" w:color="CCCCCC" w:sz="1"/>
            </w:tcBorders>
          </w:tcPr>
          <w:p>
            <w:r>
              <w:rPr>
                <w:sz w:val="20"/>
                <w:szCs w:val="20"/>
              </w:rPr>
              <w:t xml:space="preserve">PCI/SOC2</w:t>
            </w:r>
          </w:p>
        </w:tc>
      </w:tr>
      <w:tr>
        <w:tc>
          <w:tcPr>
            <w:tcW w:type="dxa" w:w="1560"/>
            <w:tcBorders>
              <w:top w:val="single" w:color="CCCCCC" w:sz="1"/>
              <w:left w:val="single" w:color="CCCCCC" w:sz="1"/>
              <w:bottom w:val="single" w:color="CCCCCC" w:sz="1"/>
              <w:right w:val="single" w:color="CCCCCC" w:sz="1"/>
            </w:tcBorders>
          </w:tcPr>
          <w:p>
            <w:r>
              <w:rPr>
                <w:sz w:val="20"/>
                <w:szCs w:val="20"/>
              </w:rPr>
              <w:t xml:space="preserve">Prose</w:t>
            </w:r>
          </w:p>
        </w:tc>
        <w:tc>
          <w:tcPr>
            <w:tcW w:type="dxa" w:w="1560"/>
            <w:tcBorders>
              <w:top w:val="single" w:color="CCCCCC" w:sz="1"/>
              <w:left w:val="single" w:color="CCCCCC" w:sz="1"/>
              <w:bottom w:val="single" w:color="CCCCCC" w:sz="1"/>
              <w:right w:val="single" w:color="CCCCCC" w:sz="1"/>
            </w:tcBorders>
          </w:tcPr>
          <w:p>
            <w:r>
              <w:rPr>
                <w:sz w:val="20"/>
                <w:szCs w:val="20"/>
              </w:rPr>
              <w:t xml:space="preserve">Scrubbed Text</w:t>
            </w:r>
          </w:p>
        </w:tc>
        <w:tc>
          <w:tcPr>
            <w:tcW w:type="dxa" w:w="1560"/>
            <w:tcBorders>
              <w:top w:val="single" w:color="CCCCCC" w:sz="1"/>
              <w:left w:val="single" w:color="CCCCCC" w:sz="1"/>
              <w:bottom w:val="single" w:color="CCCCCC" w:sz="1"/>
              <w:right w:val="single" w:color="CCCCCC" w:sz="1"/>
            </w:tcBorders>
          </w:tcPr>
          <w:p>
            <w:r>
              <w:rPr>
                <w:sz w:val="20"/>
                <w:szCs w:val="20"/>
              </w:rPr>
              <w:t xml:space="preserve">Markdown</w:t>
            </w:r>
          </w:p>
        </w:tc>
        <w:tc>
          <w:tcPr>
            <w:tcW w:type="dxa" w:w="1560"/>
            <w:tcBorders>
              <w:top w:val="single" w:color="CCCCCC" w:sz="1"/>
              <w:left w:val="single" w:color="CCCCCC" w:sz="1"/>
              <w:bottom w:val="single" w:color="CCCCCC" w:sz="1"/>
              <w:right w:val="single" w:color="CCCCCC" w:sz="1"/>
            </w:tcBorders>
          </w:tcPr>
          <w:p>
            <w:r>
              <w:rPr>
                <w:sz w:val="20"/>
                <w:szCs w:val="20"/>
              </w:rPr>
              <w:t xml:space="preserve">Humans</w:t>
            </w:r>
          </w:p>
        </w:tc>
        <w:tc>
          <w:tcPr>
            <w:tcW w:type="dxa" w:w="1560"/>
            <w:tcBorders>
              <w:top w:val="single" w:color="CCCCCC" w:sz="1"/>
              <w:left w:val="single" w:color="CCCCCC" w:sz="1"/>
              <w:bottom w:val="single" w:color="CCCCCC" w:sz="1"/>
              <w:right w:val="single" w:color="CCCCCC" w:sz="1"/>
            </w:tcBorders>
          </w:tcPr>
          <w:p>
            <w:r>
              <w:rPr>
                <w:sz w:val="20"/>
                <w:szCs w:val="20"/>
              </w:rPr>
              <w:t xml:space="preserve">15 minutes</w:t>
            </w:r>
          </w:p>
        </w:tc>
        <w:tc>
          <w:tcPr>
            <w:tcW w:type="dxa" w:w="1560"/>
            <w:tcBorders>
              <w:top w:val="single" w:color="CCCCCC" w:sz="1"/>
              <w:left w:val="single" w:color="CCCCCC" w:sz="1"/>
              <w:bottom w:val="single" w:color="CCCCCC" w:sz="1"/>
              <w:right w:val="single" w:color="CCCCCC" w:sz="1"/>
            </w:tcBorders>
          </w:tcPr>
          <w:p>
            <w:r>
              <w:rPr>
                <w:sz w:val="20"/>
                <w:szCs w:val="20"/>
              </w:rPr>
              <w:t xml:space="preserve">Limited</w:t>
            </w:r>
          </w:p>
        </w:tc>
      </w:tr>
    </w:tbl>
    <w:p>
      <w:pPr>
        <w:pStyle w:val="Heading2"/>
        <w:spacing w:before="240"/>
      </w:pPr>
      <w:r>
        <w:t xml:space="preserve">4.2 Processing Lifecycle</w:t>
      </w:r>
    </w:p>
    <w:p>
      <w:pPr>
        <w:pStyle w:val="ListParagraph"/>
        <w:numPr>
          <w:ilvl w:val="0"/>
          <w:numId w:val="3"/>
        </w:numPr>
      </w:pPr>
      <w:r>
        <w:t xml:space="preserve">Request validation and authorization through MCP control plane</w:t>
      </w:r>
    </w:p>
    <w:p>
      <w:pPr>
        <w:pStyle w:val="ListParagraph"/>
        <w:numPr>
          <w:ilvl w:val="0"/>
          <w:numId w:val="3"/>
        </w:numPr>
      </w:pPr>
      <w:r>
        <w:t xml:space="preserve">Audit logging with correlation ID and span context propagation</w:t>
      </w:r>
    </w:p>
    <w:p>
      <w:pPr>
        <w:pStyle w:val="ListParagraph"/>
        <w:numPr>
          <w:ilvl w:val="0"/>
          <w:numId w:val="3"/>
        </w:numPr>
      </w:pPr>
      <w:r>
        <w:t xml:space="preserve">Command enqueueing to appropriate data-plane orchestrator</w:t>
      </w:r>
    </w:p>
    <w:p>
      <w:pPr>
        <w:pStyle w:val="ListParagraph"/>
        <w:numPr>
          <w:ilvl w:val="0"/>
          <w:numId w:val="3"/>
        </w:numPr>
      </w:pPr>
      <w:r>
        <w:t xml:space="preserve">Parallel computation of structured and prose artifacts</w:t>
      </w:r>
    </w:p>
    <w:p>
      <w:pPr>
        <w:pStyle w:val="ListParagraph"/>
        <w:numPr>
          <w:ilvl w:val="0"/>
          <w:numId w:val="3"/>
        </w:numPr>
      </w:pPr>
      <w:r>
        <w:t xml:space="preserve">Dual-lane JSON emission with separate TTL and policy constraints</w:t>
      </w:r>
    </w:p>
    <w:p>
      <w:pPr>
        <w:pStyle w:val="ListParagraph"/>
        <w:numPr>
          <w:ilvl w:val="0"/>
          <w:numId w:val="3"/>
        </w:numPr>
      </w:pPr>
      <w:r>
        <w:t xml:space="preserve">FSJ contract enforcement for cross-lane joining</w:t>
      </w:r>
    </w:p>
    <w:p>
      <w:pPr>
        <w:pStyle w:val="Heading1"/>
        <w:spacing w:before="480"/>
      </w:pPr>
      <w:r>
        <w:t xml:space="preserve">5. Prose Governance Standard</w:t>
      </w:r>
    </w:p>
    <w:p>
      <w:pPr>
        <w:pStyle w:val="Heading2"/>
      </w:pPr>
      <w:r>
        <w:t xml:space="preserve">5.1 Structure and Policy</w:t>
      </w:r>
    </w:p>
    <w:p>
      <w:r>
        <w:t xml:space="preserve">The Prose MCP produces dual-lane artifacts with strict separation between machine-interpretable content and human-readable text. This separation enables deterministic processing while preserving natural language for review purposes.</w:t>
      </w:r>
    </w:p>
    <w:p>
      <w:pPr>
        <w:spacing w:before="180"/>
      </w:pPr>
      <w:r>
        <w:rPr>
          <w:b/>
          <w:bCs/>
        </w:rPr>
        <w:t xml:space="preserve">Example Dual-Lane Artifact:</w:t>
      </w:r>
    </w:p>
    <w:p>
      <w:pPr>
        <w:pStyle w:val="CodeBlock"/>
        <w:spacing w:before="120"/>
      </w:pPr>
      <w:r>
        <w:t xml:space="preserve">{</w:t>
      </w:r>
    </w:p>
    <w:p>
      <w:pPr>
        <w:pStyle w:val="CodeBlock"/>
      </w:pPr>
      <w:r>
        <w:t xml:space="preserve">  "type": "summary",</w:t>
      </w:r>
    </w:p>
    <w:p>
      <w:pPr>
        <w:pStyle w:val="CodeBlock"/>
      </w:pPr>
      <w:r>
        <w:t xml:space="preserve">  "version": "1.1.0",</w:t>
      </w:r>
    </w:p>
    <w:p>
      <w:pPr>
        <w:pStyle w:val="CodeBlock"/>
      </w:pPr>
      <w:r>
        <w:t xml:space="preserve">  "join_id": "j_6f3a92b1",</w:t>
      </w:r>
    </w:p>
    <w:p>
      <w:pPr>
        <w:pStyle w:val="CodeBlock"/>
      </w:pPr>
      <w:r>
        <w:t xml:space="preserve">  "audience": "client_external",</w:t>
      </w:r>
    </w:p>
    <w:p>
      <w:pPr>
        <w:pStyle w:val="CodeBlock"/>
      </w:pPr>
      <w:r>
        <w:t xml:space="preserve">  "data": {</w:t>
      </w:r>
    </w:p>
    <w:p>
      <w:pPr>
        <w:pStyle w:val="CodeBlock"/>
      </w:pPr>
      <w:r>
        <w:t xml:space="preserve">    "stripped_markdown": "Order 8472 delayed. Delay_minutes: 92.",</w:t>
      </w:r>
    </w:p>
    <w:p>
      <w:pPr>
        <w:pStyle w:val="CodeBlock"/>
      </w:pPr>
      <w:r>
        <w:t xml:space="preserve">    "entity_extraction": {</w:t>
      </w:r>
    </w:p>
    <w:p>
      <w:pPr>
        <w:pStyle w:val="CodeBlock"/>
      </w:pPr>
      <w:r>
        <w:t xml:space="preserve">      "order_id": "8472",</w:t>
      </w:r>
    </w:p>
    <w:p>
      <w:pPr>
        <w:pStyle w:val="CodeBlock"/>
      </w:pPr>
      <w:r>
        <w:t xml:space="preserve">      "status": "delayed",</w:t>
      </w:r>
    </w:p>
    <w:p>
      <w:pPr>
        <w:pStyle w:val="CodeBlock"/>
      </w:pPr>
      <w:r>
        <w:t xml:space="preserve">      "delay_minutes": 92</w:t>
      </w:r>
    </w:p>
    <w:p>
      <w:pPr>
        <w:pStyle w:val="CodeBlock"/>
      </w:pPr>
      <w:r>
        <w:t xml:space="preserve">    }</w:t>
      </w:r>
    </w:p>
    <w:p>
      <w:pPr>
        <w:pStyle w:val="CodeBlock"/>
      </w:pPr>
      <w:r>
        <w:t xml:space="preserve">  },</w:t>
      </w:r>
    </w:p>
    <w:p>
      <w:pPr>
        <w:pStyle w:val="CodeBlock"/>
      </w:pPr>
      <w:r>
        <w:t xml:space="preserve">  "raw": {</w:t>
      </w:r>
    </w:p>
    <w:p>
      <w:pPr>
        <w:pStyle w:val="CodeBlock"/>
      </w:pPr>
      <w:r>
        <w:t xml:space="preserve">    "untrusted_text": "### Order 8472\nWe sincerely apologize for the unexpected delay."</w:t>
      </w:r>
    </w:p>
    <w:p>
      <w:pPr>
        <w:pStyle w:val="CodeBlock"/>
      </w:pPr>
      <w:r>
        <w:t xml:space="preserve">  },</w:t>
      </w:r>
    </w:p>
    <w:p>
      <w:pPr>
        <w:pStyle w:val="CodeBlock"/>
      </w:pPr>
      <w:r>
        <w:t xml:space="preserve">  "limits": {</w:t>
      </w:r>
    </w:p>
    <w:p>
      <w:pPr>
        <w:pStyle w:val="CodeBlock"/>
      </w:pPr>
      <w:r>
        <w:t xml:space="preserve">    "use_raw_in_joins": false,</w:t>
      </w:r>
    </w:p>
    <w:p>
      <w:pPr>
        <w:pStyle w:val="CodeBlock"/>
      </w:pPr>
      <w:r>
        <w:t xml:space="preserve">    "ttl_seconds": 900,</w:t>
      </w:r>
    </w:p>
    <w:p>
      <w:pPr>
        <w:pStyle w:val="CodeBlock"/>
      </w:pPr>
      <w:r>
        <w:t xml:space="preserve">    "max_retention_days": 7</w:t>
      </w:r>
    </w:p>
    <w:p>
      <w:pPr>
        <w:pStyle w:val="CodeBlock"/>
      </w:pPr>
      <w:r>
        <w:t xml:space="preserve">  },</w:t>
      </w:r>
    </w:p>
    <w:p>
      <w:pPr>
        <w:pStyle w:val="CodeBlock"/>
      </w:pPr>
      <w:r>
        <w:t xml:space="preserve">  "provenance": {</w:t>
      </w:r>
    </w:p>
    <w:p>
      <w:pPr>
        <w:pStyle w:val="CodeBlock"/>
      </w:pPr>
      <w:r>
        <w:t xml:space="preserve">    "source_mcp": "mcp-prose",</w:t>
      </w:r>
    </w:p>
    <w:p>
      <w:pPr>
        <w:pStyle w:val="CodeBlock"/>
      </w:pPr>
      <w:r>
        <w:t xml:space="preserve">    "policy_pack": "nlp.safe.v3",</w:t>
      </w:r>
    </w:p>
    <w:p>
      <w:pPr>
        <w:pStyle w:val="CodeBlock"/>
      </w:pPr>
      <w:r>
        <w:t xml:space="preserve">    "model_version": "gpt-4-turbo-2024-01",</w:t>
      </w:r>
    </w:p>
    <w:p>
      <w:pPr>
        <w:pStyle w:val="CodeBlock"/>
      </w:pPr>
      <w:r>
        <w:t xml:space="preserve">    "confidence_score": 0.94</w:t>
      </w:r>
    </w:p>
    <w:p>
      <w:pPr>
        <w:pStyle w:val="CodeBlock"/>
      </w:pPr>
      <w:r>
        <w:t xml:space="preserve">  }</w:t>
      </w:r>
    </w:p>
    <w:p>
      <w:pPr>
        <w:pStyle w:val="CodeBlock"/>
      </w:pPr>
      <w:r>
        <w:t xml:space="preserve">}</w:t>
      </w:r>
    </w:p>
    <w:p>
      <w:pPr>
        <w:pStyle w:val="Heading2"/>
        <w:spacing w:before="240"/>
      </w:pPr>
      <w:r>
        <w:t xml:space="preserve">5.2 Policy Implementation</w:t>
      </w:r>
    </w:p>
    <w:p>
      <w:pPr>
        <w:pStyle w:val="ListParagraph"/>
        <w:numPr>
          <w:ilvl w:val="0"/>
          <w:numId w:val="2"/>
        </w:numPr>
      </w:pPr>
      <w:r>
        <w:t xml:space="preserve">Raw prose excluded from joins by default to prevent context pollution</w:t>
      </w:r>
    </w:p>
    <w:p>
      <w:pPr>
        <w:pStyle w:val="ListParagraph"/>
        <w:numPr>
          <w:ilvl w:val="0"/>
          <w:numId w:val="2"/>
        </w:numPr>
      </w:pPr>
      <w:r>
        <w:t xml:space="preserve">Adjectives and adverbs stripped to minimize entropy in structured data</w:t>
      </w:r>
    </w:p>
    <w:p>
      <w:pPr>
        <w:pStyle w:val="ListParagraph"/>
        <w:numPr>
          <w:ilvl w:val="0"/>
          <w:numId w:val="2"/>
        </w:numPr>
      </w:pPr>
      <w:r>
        <w:t xml:space="preserve">PII sanitization using presidio or similar frameworks before persistence</w:t>
      </w:r>
    </w:p>
    <w:p>
      <w:pPr>
        <w:pStyle w:val="ListParagraph"/>
        <w:numPr>
          <w:ilvl w:val="0"/>
          <w:numId w:val="2"/>
        </w:numPr>
      </w:pPr>
      <w:r>
        <w:t xml:space="preserve">TTL enforcement ensures ephemeral lifecycle for sensitive content</w:t>
      </w:r>
    </w:p>
    <w:p>
      <w:pPr>
        <w:pStyle w:val="ListParagraph"/>
        <w:numPr>
          <w:ilvl w:val="0"/>
          <w:numId w:val="2"/>
        </w:numPr>
      </w:pPr>
      <w:r>
        <w:t xml:space="preserve">Provenance tracking required for all LLM-generated outputs</w:t>
      </w:r>
    </w:p>
    <w:p>
      <w:pPr>
        <w:pStyle w:val="Heading1"/>
        <w:spacing w:before="480"/>
      </w:pPr>
      <w:r>
        <w:t xml:space="preserve">6. Federate-Stage-Join (FSJ) Contracts</w:t>
      </w:r>
    </w:p>
    <w:p>
      <w:r>
        <w:t xml:space="preserve">FSJ contracts define the rules for combining data from multiple MCP domains while maintaining isolation and compliance boundaries. Each contract specifies versioned schemas, join keys, field selections, and policy constraints.</w:t>
      </w:r>
    </w:p>
    <w:p>
      <w:pPr>
        <w:spacing w:before="180"/>
      </w:pPr>
      <w:r>
        <w:rPr>
          <w:b/>
          <w:bCs/>
        </w:rPr>
        <w:t xml:space="preserve">Example FSJ Contract:</w:t>
      </w:r>
    </w:p>
    <w:p>
      <w:pPr>
        <w:pStyle w:val="CodeBlock"/>
        <w:spacing w:before="120"/>
      </w:pPr>
      <w:r>
        <w:t xml:space="preserve">contract: order_with_summary.v1</w:t>
      </w:r>
    </w:p>
    <w:p>
      <w:pPr>
        <w:pStyle w:val="CodeBlock"/>
      </w:pPr>
      <w:r>
        <w:t xml:space="preserve">left: mcp-commerce.orders[v5]</w:t>
      </w:r>
    </w:p>
    <w:p>
      <w:pPr>
        <w:pStyle w:val="CodeBlock"/>
      </w:pPr>
      <w:r>
        <w:t xml:space="preserve">right: mcp-prose.summary[v1]</w:t>
      </w:r>
    </w:p>
    <w:p>
      <w:pPr>
        <w:pStyle w:val="CodeBlock"/>
      </w:pPr>
      <w:r>
        <w:t xml:space="preserve">join_keys: [join_id]</w:t>
      </w:r>
    </w:p>
    <w:p>
      <w:pPr>
        <w:pStyle w:val="CodeBlock"/>
      </w:pPr>
      <w:r>
        <w:t xml:space="preserve">select:</w:t>
      </w:r>
    </w:p>
    <w:p>
      <w:pPr>
        <w:pStyle w:val="CodeBlock"/>
      </w:pPr>
      <w:r>
        <w:t xml:space="preserve">  - orders.order_id</w:t>
      </w:r>
    </w:p>
    <w:p>
      <w:pPr>
        <w:pStyle w:val="CodeBlock"/>
      </w:pPr>
      <w:r>
        <w:t xml:space="preserve">  - orders.status</w:t>
      </w:r>
    </w:p>
    <w:p>
      <w:pPr>
        <w:pStyle w:val="CodeBlock"/>
      </w:pPr>
      <w:r>
        <w:t xml:space="preserve">  - orders.amount</w:t>
      </w:r>
    </w:p>
    <w:p>
      <w:pPr>
        <w:pStyle w:val="CodeBlock"/>
      </w:pPr>
      <w:r>
        <w:t xml:space="preserve">  - summary.data.stripped_markdown</w:t>
      </w:r>
    </w:p>
    <w:p>
      <w:pPr>
        <w:pStyle w:val="CodeBlock"/>
      </w:pPr>
      <w:r>
        <w:t xml:space="preserve">  - summary.data.entity_extraction</w:t>
      </w:r>
    </w:p>
    <w:p>
      <w:pPr>
        <w:pStyle w:val="CodeBlock"/>
      </w:pPr>
      <w:r>
        <w:t xml:space="preserve">pii_policy: block</w:t>
      </w:r>
    </w:p>
    <w:p>
      <w:pPr>
        <w:pStyle w:val="CodeBlock"/>
      </w:pPr>
      <w:r>
        <w:t xml:space="preserve">ttl_seconds: 900</w:t>
      </w:r>
    </w:p>
    <w:p>
      <w:pPr>
        <w:pStyle w:val="CodeBlock"/>
      </w:pPr>
      <w:r>
        <w:t xml:space="preserve">audit_level: full</w:t>
      </w:r>
    </w:p>
    <w:p>
      <w:r>
        <w:br w:type="page"/>
      </w:r>
    </w:p>
    <w:p>
      <w:pPr>
        <w:pStyle w:val="Heading1"/>
      </w:pPr>
      <w:r>
        <w:t xml:space="preserve">7. Observability and Telemetry</w:t>
      </w:r>
    </w:p>
    <w:p>
      <w:r>
        <w:t xml:space="preserve">Comprehensive observability forms the foundation of operational excellence in distributed MCP architectures. Each MCP emits standardized metrics, traces, and logs through a unified telemetry pipeline, enabling proactive monitoring and rapid incident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Metric</w:t>
            </w:r>
          </w:p>
        </w:tc>
        <w:tc>
          <w:tcPr>
            <w:tcW w:type="dxa" w:w="234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Target</w:t>
            </w:r>
          </w:p>
        </w:tc>
        <w:tc>
          <w:tcPr>
            <w:tcW w:type="dxa" w:w="468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t xml:space="preserve">MCP Latency (p95)</w:t>
            </w:r>
          </w:p>
        </w:tc>
        <w:tc>
          <w:tcPr>
            <w:tcW w:type="dxa" w:w="2340"/>
            <w:tcBorders>
              <w:top w:val="single" w:color="CCCCCC" w:sz="1"/>
              <w:left w:val="single" w:color="CCCCCC" w:sz="1"/>
              <w:bottom w:val="single" w:color="CCCCCC" w:sz="1"/>
              <w:right w:val="single" w:color="CCCCCC" w:sz="1"/>
            </w:tcBorders>
          </w:tcPr>
          <w:p>
            <w:r>
              <w:t xml:space="preserve">&lt; 60 ms</w:t>
            </w:r>
          </w:p>
        </w:tc>
        <w:tc>
          <w:tcPr>
            <w:tcW w:type="dxa" w:w="4680"/>
            <w:tcBorders>
              <w:top w:val="single" w:color="CCCCCC" w:sz="1"/>
              <w:left w:val="single" w:color="CCCCCC" w:sz="1"/>
              <w:bottom w:val="single" w:color="CCCCCC" w:sz="1"/>
              <w:right w:val="single" w:color="CCCCCC" w:sz="1"/>
            </w:tcBorders>
          </w:tcPr>
          <w:p>
            <w:r>
              <w:t xml:space="preserve">Control-plane processing time excluding data-plane operations</w:t>
            </w:r>
          </w:p>
        </w:tc>
      </w:tr>
      <w:tr>
        <w:tc>
          <w:tcPr>
            <w:tcW w:type="dxa" w:w="2340"/>
            <w:tcBorders>
              <w:top w:val="single" w:color="CCCCCC" w:sz="1"/>
              <w:left w:val="single" w:color="CCCCCC" w:sz="1"/>
              <w:bottom w:val="single" w:color="CCCCCC" w:sz="1"/>
              <w:right w:val="single" w:color="CCCCCC" w:sz="1"/>
            </w:tcBorders>
          </w:tcPr>
          <w:p>
            <w:r>
              <w:t xml:space="preserve">Queue Lag</w:t>
            </w:r>
          </w:p>
        </w:tc>
        <w:tc>
          <w:tcPr>
            <w:tcW w:type="dxa" w:w="2340"/>
            <w:tcBorders>
              <w:top w:val="single" w:color="CCCCCC" w:sz="1"/>
              <w:left w:val="single" w:color="CCCCCC" w:sz="1"/>
              <w:bottom w:val="single" w:color="CCCCCC" w:sz="1"/>
              <w:right w:val="single" w:color="CCCCCC" w:sz="1"/>
            </w:tcBorders>
          </w:tcPr>
          <w:p>
            <w:r>
              <w:t xml:space="preserve">&lt; 10 seconds</w:t>
            </w:r>
          </w:p>
        </w:tc>
        <w:tc>
          <w:tcPr>
            <w:tcW w:type="dxa" w:w="4680"/>
            <w:tcBorders>
              <w:top w:val="single" w:color="CCCCCC" w:sz="1"/>
              <w:left w:val="single" w:color="CCCCCC" w:sz="1"/>
              <w:bottom w:val="single" w:color="CCCCCC" w:sz="1"/>
              <w:right w:val="single" w:color="CCCCCC" w:sz="1"/>
            </w:tcBorders>
          </w:tcPr>
          <w:p>
            <w:r>
              <w:t xml:space="preserve">Time between command enqueue and data-plane processing</w:t>
            </w:r>
          </w:p>
        </w:tc>
      </w:tr>
      <w:tr>
        <w:tc>
          <w:tcPr>
            <w:tcW w:type="dxa" w:w="2340"/>
            <w:tcBorders>
              <w:top w:val="single" w:color="CCCCCC" w:sz="1"/>
              <w:left w:val="single" w:color="CCCCCC" w:sz="1"/>
              <w:bottom w:val="single" w:color="CCCCCC" w:sz="1"/>
              <w:right w:val="single" w:color="CCCCCC" w:sz="1"/>
            </w:tcBorders>
          </w:tcPr>
          <w:p>
            <w:r>
              <w:t xml:space="preserve">Breaker Open Ratio</w:t>
            </w:r>
          </w:p>
        </w:tc>
        <w:tc>
          <w:tcPr>
            <w:tcW w:type="dxa" w:w="2340"/>
            <w:tcBorders>
              <w:top w:val="single" w:color="CCCCCC" w:sz="1"/>
              <w:left w:val="single" w:color="CCCCCC" w:sz="1"/>
              <w:bottom w:val="single" w:color="CCCCCC" w:sz="1"/>
              <w:right w:val="single" w:color="CCCCCC" w:sz="1"/>
            </w:tcBorders>
          </w:tcPr>
          <w:p>
            <w:r>
              <w:t xml:space="preserve">&lt; 0.1%</w:t>
            </w:r>
          </w:p>
        </w:tc>
        <w:tc>
          <w:tcPr>
            <w:tcW w:type="dxa" w:w="4680"/>
            <w:tcBorders>
              <w:top w:val="single" w:color="CCCCCC" w:sz="1"/>
              <w:left w:val="single" w:color="CCCCCC" w:sz="1"/>
              <w:bottom w:val="single" w:color="CCCCCC" w:sz="1"/>
              <w:right w:val="single" w:color="CCCCCC" w:sz="1"/>
            </w:tcBorders>
          </w:tcPr>
          <w:p>
            <w:r>
              <w:t xml:space="preserve">Percentage of time circuit breakers are open indicating instability</w:t>
            </w:r>
          </w:p>
        </w:tc>
      </w:tr>
      <w:tr>
        <w:tc>
          <w:tcPr>
            <w:tcW w:type="dxa" w:w="2340"/>
            <w:tcBorders>
              <w:top w:val="single" w:color="CCCCCC" w:sz="1"/>
              <w:left w:val="single" w:color="CCCCCC" w:sz="1"/>
              <w:bottom w:val="single" w:color="CCCCCC" w:sz="1"/>
              <w:right w:val="single" w:color="CCCCCC" w:sz="1"/>
            </w:tcBorders>
          </w:tcPr>
          <w:p>
            <w:r>
              <w:t xml:space="preserve">Unknown Key Rate</w:t>
            </w:r>
          </w:p>
        </w:tc>
        <w:tc>
          <w:tcPr>
            <w:tcW w:type="dxa" w:w="2340"/>
            <w:tcBorders>
              <w:top w:val="single" w:color="CCCCCC" w:sz="1"/>
              <w:left w:val="single" w:color="CCCCCC" w:sz="1"/>
              <w:bottom w:val="single" w:color="CCCCCC" w:sz="1"/>
              <w:right w:val="single" w:color="CCCCCC" w:sz="1"/>
            </w:tcBorders>
          </w:tcPr>
          <w:p>
            <w:r>
              <w:t xml:space="preserve">&lt; 0.1%</w:t>
            </w:r>
          </w:p>
        </w:tc>
        <w:tc>
          <w:tcPr>
            <w:tcW w:type="dxa" w:w="4680"/>
            <w:tcBorders>
              <w:top w:val="single" w:color="CCCCCC" w:sz="1"/>
              <w:left w:val="single" w:color="CCCCCC" w:sz="1"/>
              <w:bottom w:val="single" w:color="CCCCCC" w:sz="1"/>
              <w:right w:val="single" w:color="CCCCCC" w:sz="1"/>
            </w:tcBorders>
          </w:tcPr>
          <w:p>
            <w:r>
              <w:t xml:space="preserve">Rate of schema validation failures indicating version drift</w:t>
            </w:r>
          </w:p>
        </w:tc>
      </w:tr>
      <w:tr>
        <w:tc>
          <w:tcPr>
            <w:tcW w:type="dxa" w:w="2340"/>
            <w:tcBorders>
              <w:top w:val="single" w:color="CCCCCC" w:sz="1"/>
              <w:left w:val="single" w:color="CCCCCC" w:sz="1"/>
              <w:bottom w:val="single" w:color="CCCCCC" w:sz="1"/>
              <w:right w:val="single" w:color="CCCCCC" w:sz="1"/>
            </w:tcBorders>
          </w:tcPr>
          <w:p>
            <w:r>
              <w:t xml:space="preserve">Error Budget</w:t>
            </w:r>
          </w:p>
        </w:tc>
        <w:tc>
          <w:tcPr>
            <w:tcW w:type="dxa" w:w="2340"/>
            <w:tcBorders>
              <w:top w:val="single" w:color="CCCCCC" w:sz="1"/>
              <w:left w:val="single" w:color="CCCCCC" w:sz="1"/>
              <w:bottom w:val="single" w:color="CCCCCC" w:sz="1"/>
              <w:right w:val="single" w:color="CCCCCC" w:sz="1"/>
            </w:tcBorders>
          </w:tcPr>
          <w:p>
            <w:r>
              <w:t xml:space="preserve">99.9% availability</w:t>
            </w:r>
          </w:p>
        </w:tc>
        <w:tc>
          <w:tcPr>
            <w:tcW w:type="dxa" w:w="4680"/>
            <w:tcBorders>
              <w:top w:val="single" w:color="CCCCCC" w:sz="1"/>
              <w:left w:val="single" w:color="CCCCCC" w:sz="1"/>
              <w:bottom w:val="single" w:color="CCCCCC" w:sz="1"/>
              <w:right w:val="single" w:color="CCCCCC" w:sz="1"/>
            </w:tcBorders>
          </w:tcPr>
          <w:p>
            <w:r>
              <w:t xml:space="preserve">Monthly uptime target with 43.8 minutes allowed downtime</w:t>
            </w:r>
          </w:p>
        </w:tc>
      </w:tr>
    </w:tbl>
    <w:p>
      <w:pPr>
        <w:pStyle w:val="Heading2"/>
        <w:spacing w:before="240"/>
      </w:pPr>
      <w:r>
        <w:t xml:space="preserve">7.1 Telemetry Implementation</w:t>
      </w:r>
    </w:p>
    <w:p>
      <w:r>
        <w:t xml:space="preserve">Implement distributed tracing using W3C Trace Context propagation to maintain correlation across MCP boundaries. Each MCP enriches traces with domain-specific attributes including schema version, compliance scope, and policy decisions.</w:t>
      </w:r>
    </w:p>
    <w:p>
      <w:pPr>
        <w:spacing w:before="180"/>
      </w:pPr>
      <w:r>
        <w:rPr>
          <w:b/>
          <w:bCs/>
        </w:rPr>
        <w:t xml:space="preserve">Required Trace Attributes:</w:t>
      </w:r>
    </w:p>
    <w:p>
      <w:pPr>
        <w:pStyle w:val="ListParagraph"/>
        <w:numPr>
          <w:ilvl w:val="0"/>
          <w:numId w:val="2"/>
        </w:numPr>
      </w:pPr>
      <w:r>
        <w:t xml:space="preserve">trace.id - W3C compliant trace identifier</w:t>
      </w:r>
    </w:p>
    <w:p>
      <w:pPr>
        <w:pStyle w:val="ListParagraph"/>
        <w:numPr>
          <w:ilvl w:val="0"/>
          <w:numId w:val="2"/>
        </w:numPr>
      </w:pPr>
      <w:r>
        <w:t xml:space="preserve">span.id - Unique span identifier for MCP operation</w:t>
      </w:r>
    </w:p>
    <w:p>
      <w:pPr>
        <w:pStyle w:val="ListParagraph"/>
        <w:numPr>
          <w:ilvl w:val="0"/>
          <w:numId w:val="2"/>
        </w:numPr>
      </w:pPr>
      <w:r>
        <w:t xml:space="preserve">mcp.domain - Functional domain (payments, identity, support)</w:t>
      </w:r>
    </w:p>
    <w:p>
      <w:pPr>
        <w:pStyle w:val="ListParagraph"/>
        <w:numPr>
          <w:ilvl w:val="0"/>
          <w:numId w:val="2"/>
        </w:numPr>
      </w:pPr>
      <w:r>
        <w:t xml:space="preserve">mcp.schema_version - Active schema version</w:t>
      </w:r>
    </w:p>
    <w:p>
      <w:pPr>
        <w:pStyle w:val="ListParagraph"/>
        <w:numPr>
          <w:ilvl w:val="0"/>
          <w:numId w:val="2"/>
        </w:numPr>
      </w:pPr>
      <w:r>
        <w:t xml:space="preserve">mcp.policy_decision - Allow/deny with reason code</w:t>
      </w:r>
    </w:p>
    <w:p>
      <w:pPr>
        <w:pStyle w:val="ListParagraph"/>
        <w:numPr>
          <w:ilvl w:val="0"/>
          <w:numId w:val="2"/>
        </w:numPr>
      </w:pPr>
      <w:r>
        <w:t xml:space="preserve">mcp.latency_ms - Control-plane processing time</w:t>
      </w:r>
    </w:p>
    <w:p>
      <w:pPr>
        <w:pStyle w:val="Heading1"/>
        <w:spacing w:before="480"/>
      </w:pPr>
      <w:r>
        <w:t xml:space="preserve">8. Security and Compliance</w:t>
      </w:r>
    </w:p>
    <w:p>
      <w:r>
        <w:t xml:space="preserve">Security implementation follows Zero Trust principles with defense in depth across all layers. Each MCP maintains independent security boundaries with dedicated credentials, encryption keys, and audit trails.</w:t>
      </w:r>
    </w:p>
    <w:p>
      <w:pPr>
        <w:pStyle w:val="Heading2"/>
      </w:pPr>
      <w:r>
        <w:t xml:space="preserve">8.1 Security Controls</w:t>
      </w:r>
    </w:p>
    <w:p>
      <w:pPr>
        <w:pStyle w:val="ListParagraph"/>
        <w:numPr>
          <w:ilvl w:val="0"/>
          <w:numId w:val="2"/>
        </w:numPr>
      </w:pPr>
      <w:r>
        <w:t xml:space="preserve">Zero Trust segmentation with mTLS between all components</w:t>
      </w:r>
    </w:p>
    <w:p>
      <w:pPr>
        <w:pStyle w:val="ListParagraph"/>
        <w:numPr>
          <w:ilvl w:val="0"/>
          <w:numId w:val="2"/>
        </w:numPr>
      </w:pPr>
      <w:r>
        <w:t xml:space="preserve">Dedicated AWS KMS keys per domain with automatic rotation</w:t>
      </w:r>
    </w:p>
    <w:p>
      <w:pPr>
        <w:pStyle w:val="ListParagraph"/>
        <w:numPr>
          <w:ilvl w:val="0"/>
          <w:numId w:val="2"/>
        </w:numPr>
      </w:pPr>
      <w:r>
        <w:t xml:space="preserve">Pseudonymization and tokenization for sensitive data fields</w:t>
      </w:r>
    </w:p>
    <w:p>
      <w:pPr>
        <w:pStyle w:val="ListParagraph"/>
        <w:numPr>
          <w:ilvl w:val="0"/>
          <w:numId w:val="2"/>
        </w:numPr>
      </w:pPr>
      <w:r>
        <w:t xml:space="preserve">Immutable audit logging with tamper detection</w:t>
      </w:r>
    </w:p>
    <w:p>
      <w:pPr>
        <w:pStyle w:val="ListParagraph"/>
        <w:numPr>
          <w:ilvl w:val="0"/>
          <w:numId w:val="2"/>
        </w:numPr>
      </w:pPr>
      <w:r>
        <w:t xml:space="preserve">Runtime security monitoring using Falco or similar tools</w:t>
      </w:r>
    </w:p>
    <w:p>
      <w:pPr>
        <w:pStyle w:val="Heading2"/>
        <w:spacing w:before="240"/>
      </w:pPr>
      <w:r>
        <w:t xml:space="preserve">8.2 Compliance Alignment</w:t>
      </w:r>
    </w:p>
    <w:p>
      <w:r>
        <w:t xml:space="preserve">The architecture supports multiple compliance frameworks through domain isolation and configurable policy enforcement. Each MCP can maintain its own compliance posture appropriate to its data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Framework</w:t>
            </w:r>
          </w:p>
        </w:tc>
        <w:tc>
          <w:tcPr>
            <w:tcW w:type="dxa" w:w="351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Requirements</w:t>
            </w:r>
          </w:p>
        </w:tc>
        <w:tc>
          <w:tcPr>
            <w:tcW w:type="dxa" w:w="3510"/>
            <w:tcBorders>
              <w:top w:val="single" w:color="CCCCCC" w:sz="1"/>
              <w:left w:val="single" w:color="CCCCCC" w:sz="1"/>
              <w:bottom w:val="single" w:color="CCCCCC" w:sz="1"/>
              <w:right w:val="single" w:color="CCCCCC" w:sz="1"/>
            </w:tcBorders>
            <w:shd w:fill="E8EDF3" w:val="clear"/>
          </w:tcPr>
          <w:p>
            <w:pPr>
              <w:jc w:val="left"/>
            </w:pPr>
            <w:r>
              <w:rPr>
                <w:b/>
                <w:bCs/>
                <w:sz w:val="22"/>
                <w:szCs w:val="22"/>
              </w:rPr>
              <w:t xml:space="preserve">Implementation</w:t>
            </w:r>
          </w:p>
        </w:tc>
      </w:tr>
      <w:tr>
        <w:tc>
          <w:tcPr>
            <w:tcW w:type="dxa" w:w="2340"/>
            <w:tcBorders>
              <w:top w:val="single" w:color="CCCCCC" w:sz="1"/>
              <w:left w:val="single" w:color="CCCCCC" w:sz="1"/>
              <w:bottom w:val="single" w:color="CCCCCC" w:sz="1"/>
              <w:right w:val="single" w:color="CCCCCC" w:sz="1"/>
            </w:tcBorders>
          </w:tcPr>
          <w:p>
            <w:r>
              <w:t xml:space="preserve">PCI-DSS</w:t>
            </w:r>
          </w:p>
        </w:tc>
        <w:tc>
          <w:tcPr>
            <w:tcW w:type="dxa" w:w="3510"/>
            <w:tcBorders>
              <w:top w:val="single" w:color="CCCCCC" w:sz="1"/>
              <w:left w:val="single" w:color="CCCCCC" w:sz="1"/>
              <w:bottom w:val="single" w:color="CCCCCC" w:sz="1"/>
              <w:right w:val="single" w:color="CCCCCC" w:sz="1"/>
            </w:tcBorders>
          </w:tcPr>
          <w:p>
            <w:r>
              <w:t xml:space="preserve">Network segmentation, encryption at rest/transit</w:t>
            </w:r>
          </w:p>
        </w:tc>
        <w:tc>
          <w:tcPr>
            <w:tcW w:type="dxa" w:w="3510"/>
            <w:tcBorders>
              <w:top w:val="single" w:color="CCCCCC" w:sz="1"/>
              <w:left w:val="single" w:color="CCCCCC" w:sz="1"/>
              <w:bottom w:val="single" w:color="CCCCCC" w:sz="1"/>
              <w:right w:val="single" w:color="CCCCCC" w:sz="1"/>
            </w:tcBorders>
          </w:tcPr>
          <w:p>
            <w:r>
              <w:t xml:space="preserve">Dedicated mcp-payments with isolated KMS keys</w:t>
            </w:r>
          </w:p>
        </w:tc>
      </w:tr>
      <w:tr>
        <w:tc>
          <w:tcPr>
            <w:tcW w:type="dxa" w:w="2340"/>
            <w:tcBorders>
              <w:top w:val="single" w:color="CCCCCC" w:sz="1"/>
              <w:left w:val="single" w:color="CCCCCC" w:sz="1"/>
              <w:bottom w:val="single" w:color="CCCCCC" w:sz="1"/>
              <w:right w:val="single" w:color="CCCCCC" w:sz="1"/>
            </w:tcBorders>
          </w:tcPr>
          <w:p>
            <w:r>
              <w:t xml:space="preserve">HIPAA</w:t>
            </w:r>
          </w:p>
        </w:tc>
        <w:tc>
          <w:tcPr>
            <w:tcW w:type="dxa" w:w="3510"/>
            <w:tcBorders>
              <w:top w:val="single" w:color="CCCCCC" w:sz="1"/>
              <w:left w:val="single" w:color="CCCCCC" w:sz="1"/>
              <w:bottom w:val="single" w:color="CCCCCC" w:sz="1"/>
              <w:right w:val="single" w:color="CCCCCC" w:sz="1"/>
            </w:tcBorders>
          </w:tcPr>
          <w:p>
            <w:r>
              <w:t xml:space="preserve">PHI isolation, audit trails, access controls</w:t>
            </w:r>
          </w:p>
        </w:tc>
        <w:tc>
          <w:tcPr>
            <w:tcW w:type="dxa" w:w="3510"/>
            <w:tcBorders>
              <w:top w:val="single" w:color="CCCCCC" w:sz="1"/>
              <w:left w:val="single" w:color="CCCCCC" w:sz="1"/>
              <w:bottom w:val="single" w:color="CCCCCC" w:sz="1"/>
              <w:right w:val="single" w:color="CCCCCC" w:sz="1"/>
            </w:tcBorders>
          </w:tcPr>
          <w:p>
            <w:r>
              <w:t xml:space="preserve">Separate MCP for health data with immutable audit logs</w:t>
            </w:r>
          </w:p>
        </w:tc>
      </w:tr>
      <w:tr>
        <w:tc>
          <w:tcPr>
            <w:tcW w:type="dxa" w:w="2340"/>
            <w:tcBorders>
              <w:top w:val="single" w:color="CCCCCC" w:sz="1"/>
              <w:left w:val="single" w:color="CCCCCC" w:sz="1"/>
              <w:bottom w:val="single" w:color="CCCCCC" w:sz="1"/>
              <w:right w:val="single" w:color="CCCCCC" w:sz="1"/>
            </w:tcBorders>
          </w:tcPr>
          <w:p>
            <w:r>
              <w:t xml:space="preserve">SOC2 Type II</w:t>
            </w:r>
          </w:p>
        </w:tc>
        <w:tc>
          <w:tcPr>
            <w:tcW w:type="dxa" w:w="3510"/>
            <w:tcBorders>
              <w:top w:val="single" w:color="CCCCCC" w:sz="1"/>
              <w:left w:val="single" w:color="CCCCCC" w:sz="1"/>
              <w:bottom w:val="single" w:color="CCCCCC" w:sz="1"/>
              <w:right w:val="single" w:color="CCCCCC" w:sz="1"/>
            </w:tcBorders>
          </w:tcPr>
          <w:p>
            <w:r>
              <w:t xml:space="preserve">Security, availability, processing integrity</w:t>
            </w:r>
          </w:p>
        </w:tc>
        <w:tc>
          <w:tcPr>
            <w:tcW w:type="dxa" w:w="3510"/>
            <w:tcBorders>
              <w:top w:val="single" w:color="CCCCCC" w:sz="1"/>
              <w:left w:val="single" w:color="CCCCCC" w:sz="1"/>
              <w:bottom w:val="single" w:color="CCCCCC" w:sz="1"/>
              <w:right w:val="single" w:color="CCCCCC" w:sz="1"/>
            </w:tcBorders>
          </w:tcPr>
          <w:p>
            <w:r>
              <w:t xml:space="preserve">Comprehensive telemetry with DORA metrics</w:t>
            </w:r>
          </w:p>
        </w:tc>
      </w:tr>
      <w:tr>
        <w:tc>
          <w:tcPr>
            <w:tcW w:type="dxa" w:w="2340"/>
            <w:tcBorders>
              <w:top w:val="single" w:color="CCCCCC" w:sz="1"/>
              <w:left w:val="single" w:color="CCCCCC" w:sz="1"/>
              <w:bottom w:val="single" w:color="CCCCCC" w:sz="1"/>
              <w:right w:val="single" w:color="CCCCCC" w:sz="1"/>
            </w:tcBorders>
          </w:tcPr>
          <w:p>
            <w:r>
              <w:t xml:space="preserve">GDPR</w:t>
            </w:r>
          </w:p>
        </w:tc>
        <w:tc>
          <w:tcPr>
            <w:tcW w:type="dxa" w:w="3510"/>
            <w:tcBorders>
              <w:top w:val="single" w:color="CCCCCC" w:sz="1"/>
              <w:left w:val="single" w:color="CCCCCC" w:sz="1"/>
              <w:bottom w:val="single" w:color="CCCCCC" w:sz="1"/>
              <w:right w:val="single" w:color="CCCCCC" w:sz="1"/>
            </w:tcBorders>
          </w:tcPr>
          <w:p>
            <w:r>
              <w:t xml:space="preserve">Data minimization, right to erasure, consent</w:t>
            </w:r>
          </w:p>
        </w:tc>
        <w:tc>
          <w:tcPr>
            <w:tcW w:type="dxa" w:w="3510"/>
            <w:tcBorders>
              <w:top w:val="single" w:color="CCCCCC" w:sz="1"/>
              <w:left w:val="single" w:color="CCCCCC" w:sz="1"/>
              <w:bottom w:val="single" w:color="CCCCCC" w:sz="1"/>
              <w:right w:val="single" w:color="CCCCCC" w:sz="1"/>
            </w:tcBorders>
          </w:tcPr>
          <w:p>
            <w:r>
              <w:t xml:space="preserve">TTL policies, pseudonymization, audit-backed consent</w:t>
            </w:r>
          </w:p>
        </w:tc>
      </w:tr>
    </w:tbl>
    <w:p>
      <w:pPr>
        <w:pStyle w:val="Heading1"/>
        <w:spacing w:before="480"/>
      </w:pPr>
      <w:r>
        <w:t xml:space="preserve">9. Implementation Roadmap</w:t>
      </w:r>
    </w:p>
    <w:p>
      <w:r>
        <w:t xml:space="preserve">Successful implementation requires phased deployment with careful attention to migration strategies and operational readiness. The following roadmap provides a structured approach to achieving full architectural maturity.</w:t>
      </w:r>
    </w:p>
    <w:p>
      <w:pPr>
        <w:pStyle w:val="Heading2"/>
      </w:pPr>
      <w:r>
        <w:t xml:space="preserve">9.1 Phase 1: Foundation (Weeks 1-4)</w:t>
      </w:r>
    </w:p>
    <w:p>
      <w:pPr>
        <w:pStyle w:val="ListParagraph"/>
        <w:numPr>
          <w:ilvl w:val="0"/>
          <w:numId w:val="2"/>
        </w:numPr>
      </w:pPr>
      <w:r>
        <w:t xml:space="preserve">Establish MCP template repository with infrastructure as code</w:t>
      </w:r>
    </w:p>
    <w:p>
      <w:pPr>
        <w:pStyle w:val="ListParagraph"/>
        <w:numPr>
          <w:ilvl w:val="0"/>
          <w:numId w:val="2"/>
        </w:numPr>
      </w:pPr>
      <w:r>
        <w:t xml:space="preserve">Deploy first domain-specific MCP (recommend starting with lowest risk domain)</w:t>
      </w:r>
    </w:p>
    <w:p>
      <w:pPr>
        <w:pStyle w:val="ListParagraph"/>
        <w:numPr>
          <w:ilvl w:val="0"/>
          <w:numId w:val="2"/>
        </w:numPr>
      </w:pPr>
      <w:r>
        <w:t xml:space="preserve">Implement core observability pipeline with Datadog integration</w:t>
      </w:r>
    </w:p>
    <w:p>
      <w:pPr>
        <w:pStyle w:val="ListParagraph"/>
        <w:numPr>
          <w:ilvl w:val="0"/>
          <w:numId w:val="2"/>
        </w:numPr>
      </w:pPr>
      <w:r>
        <w:t xml:space="preserve">Establish contract testing framework</w:t>
      </w:r>
    </w:p>
    <w:p>
      <w:pPr>
        <w:pStyle w:val="Heading2"/>
      </w:pPr>
      <w:r>
        <w:t xml:space="preserve">9.2 Phase 2: Expansion (Weeks 5-8)</w:t>
      </w:r>
    </w:p>
    <w:p>
      <w:pPr>
        <w:pStyle w:val="ListParagraph"/>
        <w:numPr>
          <w:ilvl w:val="0"/>
          <w:numId w:val="2"/>
        </w:numPr>
      </w:pPr>
      <w:r>
        <w:t xml:space="preserve">Deploy MCPs for remaining domains following established patterns</w:t>
      </w:r>
    </w:p>
    <w:p>
      <w:pPr>
        <w:pStyle w:val="ListParagraph"/>
        <w:numPr>
          <w:ilvl w:val="0"/>
          <w:numId w:val="2"/>
        </w:numPr>
      </w:pPr>
      <w:r>
        <w:t xml:space="preserve">Implement FSJ service for cross-domain joins</w:t>
      </w:r>
    </w:p>
    <w:p>
      <w:pPr>
        <w:pStyle w:val="ListParagraph"/>
        <w:numPr>
          <w:ilvl w:val="0"/>
          <w:numId w:val="2"/>
        </w:numPr>
      </w:pPr>
      <w:r>
        <w:t xml:space="preserve">Enable policy enforcement with OPA or Cedar</w:t>
      </w:r>
    </w:p>
    <w:p>
      <w:pPr>
        <w:pStyle w:val="ListParagraph"/>
        <w:numPr>
          <w:ilvl w:val="0"/>
          <w:numId w:val="2"/>
        </w:numPr>
      </w:pPr>
      <w:r>
        <w:t xml:space="preserve">Conduct load testing and chaos engineering exercises</w:t>
      </w:r>
    </w:p>
    <w:p>
      <w:pPr>
        <w:pStyle w:val="Heading2"/>
      </w:pPr>
      <w:r>
        <w:t xml:space="preserve">9.3 Phase 3: Maturity (Weeks 9-12)</w:t>
      </w:r>
    </w:p>
    <w:p>
      <w:pPr>
        <w:pStyle w:val="ListParagraph"/>
        <w:numPr>
          <w:ilvl w:val="0"/>
          <w:numId w:val="2"/>
        </w:numPr>
      </w:pPr>
      <w:r>
        <w:t xml:space="preserve">Implement automated canary deployments with rollback</w:t>
      </w:r>
    </w:p>
    <w:p>
      <w:pPr>
        <w:pStyle w:val="ListParagraph"/>
        <w:numPr>
          <w:ilvl w:val="0"/>
          <w:numId w:val="2"/>
        </w:numPr>
      </w:pPr>
      <w:r>
        <w:t xml:space="preserve">Enable advanced security monitoring and threat detection</w:t>
      </w:r>
    </w:p>
    <w:p>
      <w:pPr>
        <w:pStyle w:val="ListParagraph"/>
        <w:numPr>
          <w:ilvl w:val="0"/>
          <w:numId w:val="2"/>
        </w:numPr>
      </w:pPr>
      <w:r>
        <w:t xml:space="preserve">Complete compliance certification for applicable frameworks</w:t>
      </w:r>
    </w:p>
    <w:p>
      <w:pPr>
        <w:pStyle w:val="ListParagraph"/>
        <w:numPr>
          <w:ilvl w:val="0"/>
          <w:numId w:val="2"/>
        </w:numPr>
      </w:pPr>
      <w:r>
        <w:t xml:space="preserve">Establish operational runbooks and incident response procedures</w:t>
      </w:r>
    </w:p>
    <w:p>
      <w:pPr>
        <w:pStyle w:val="Heading1"/>
        <w:spacing w:before="480"/>
      </w:pPr>
      <w:r>
        <w:t xml:space="preserve">10. Conclusion</w:t>
      </w:r>
    </w:p>
    <w:p>
      <w:r>
        <w:t xml:space="preserve">The Dual-Lane MCP Architecture with control-plane isolation represents a mature approach to implementing AI-integrated systems at enterprise scale. By maintaining strict domain separation, implementing dual-lane processing, and enforcing comprehensive governance, organizations can achieve the benefits of AI integration while maintaining operational excellence and regulatory compliance.</w:t>
      </w:r>
    </w:p>
    <w:p>
      <w:pPr>
        <w:spacing w:before="180"/>
      </w:pPr>
      <w:r>
        <w:t xml:space="preserve">This framework provides the foundation for scalable, secure, and compliant AI systems that can evolve with changing business requirements while maintaining architectural integrity. The investment in proper MCP isolation and governance yields significant returns through improved reliability, reduced operational overhead, and enhanced security posture.</w:t>
      </w:r>
    </w:p>
    <w:p>
      <w:pPr>
        <w:pStyle w:val="Heading1"/>
        <w:spacing w:before="480"/>
      </w:pPr>
      <w:r>
        <w:t xml:space="preserve">References</w:t>
      </w:r>
    </w:p>
    <w:p>
      <w:pPr>
        <w:pStyle w:val="ListParagraph"/>
        <w:numPr>
          <w:ilvl w:val="0"/>
          <w:numId w:val="3"/>
        </w:numPr>
      </w:pPr>
      <w:r>
        <w:t xml:space="preserve">NIST SP 800-207, Zero Trust Architecture, National Institute of Standards and Technology, 2020</w:t>
      </w:r>
    </w:p>
    <w:p>
      <w:pPr>
        <w:pStyle w:val="ListParagraph"/>
        <w:numPr>
          <w:ilvl w:val="0"/>
          <w:numId w:val="3"/>
        </w:numPr>
      </w:pPr>
      <w:r>
        <w:t xml:space="preserve">PCI Security Standards Council, Tokenization Product Security Guidelines, Version 2.0, 2021</w:t>
      </w:r>
    </w:p>
    <w:p>
      <w:pPr>
        <w:pStyle w:val="ListParagraph"/>
        <w:numPr>
          <w:ilvl w:val="0"/>
          <w:numId w:val="3"/>
        </w:numPr>
      </w:pPr>
      <w:r>
        <w:t xml:space="preserve">OpenAI, Model Context Protocol Documentation, Version 2.3, 2024</w:t>
      </w:r>
    </w:p>
    <w:p>
      <w:pPr>
        <w:pStyle w:val="ListParagraph"/>
        <w:numPr>
          <w:ilvl w:val="0"/>
          <w:numId w:val="3"/>
        </w:numPr>
      </w:pPr>
      <w:r>
        <w:t xml:space="preserve">AWS Prescriptive Guidance, Implementing CQRS and Event Sourcing Patterns, 2023</w:t>
      </w:r>
    </w:p>
    <w:p>
      <w:pPr>
        <w:pStyle w:val="ListParagraph"/>
        <w:numPr>
          <w:ilvl w:val="0"/>
          <w:numId w:val="3"/>
        </w:numPr>
      </w:pPr>
      <w:r>
        <w:t xml:space="preserve">Databricks, Medallion Architecture Framework for Data Engineering, 2023</w:t>
      </w:r>
    </w:p>
    <w:p>
      <w:pPr>
        <w:pStyle w:val="ListParagraph"/>
        <w:numPr>
          <w:ilvl w:val="0"/>
          <w:numId w:val="3"/>
        </w:numPr>
      </w:pPr>
      <w:r>
        <w:t xml:space="preserve">Martin Fowler, Interface Segregation and Outbox Patterns in Microservices, 2022</w:t>
      </w:r>
    </w:p>
    <w:p>
      <w:pPr>
        <w:pStyle w:val="ListParagraph"/>
        <w:numPr>
          <w:ilvl w:val="0"/>
          <w:numId w:val="3"/>
        </w:numPr>
      </w:pPr>
      <w:r>
        <w:t xml:space="preserve">Microsoft, Responsible AI Standards and Human Review Guidelines, Version 3.0, 2024</w:t>
      </w:r>
    </w:p>
    <w:p>
      <w:pPr>
        <w:pStyle w:val="ListParagraph"/>
        <w:numPr>
          <w:ilvl w:val="0"/>
          <w:numId w:val="3"/>
        </w:numPr>
      </w:pPr>
      <w:r>
        <w:t xml:space="preserve">Google SRE Team, Site Reliability Engineering: How Google Runs Production Systems, O'Reilly Media, 2016</w:t>
      </w:r>
    </w:p>
    <w:p>
      <w:pPr>
        <w:pStyle w:val="ListParagraph"/>
        <w:numPr>
          <w:ilvl w:val="0"/>
          <w:numId w:val="3"/>
        </w:numPr>
      </w:pPr>
      <w:r>
        <w:t xml:space="preserve">Evans, Eric. Domain-Driven Design: Tackling Complexity in the Heart of Software, Addison-Wesley, 2003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1F3864"/>
      <w:sz w:val="48"/>
      <w:szCs w:val="48"/>
    </w:rPr>
  </w:style>
  <w:style w:type="paragraph" w:styleId="Heading1">
    <w:name w:val="Heading 1"/>
    <w:basedOn w:val="Normal"/>
    <w:pPr>
      <w:spacing w:before="360" w:after="240"/>
      <w:outlineLvl w:val="0"/>
    </w:pPr>
    <w:rPr>
      <w:rFonts w:ascii="Arial" w:cs="Arial" w:eastAsia="Arial" w:hAnsi="Arial"/>
      <w:b/>
      <w:bCs/>
      <w:color w:val="1F3864"/>
      <w:sz w:val="32"/>
      <w:szCs w:val="32"/>
    </w:rPr>
  </w:style>
  <w:style w:type="paragraph" w:styleId="Heading2">
    <w:name w:val="Heading 2"/>
    <w:basedOn w:val="Normal"/>
    <w:pPr>
      <w:spacing w:before="240" w:after="180"/>
      <w:outlineLvl w:val="1"/>
    </w:pPr>
    <w:rPr>
      <w:rFonts w:ascii="Arial" w:cs="Arial" w:eastAsia="Arial" w:hAnsi="Arial"/>
      <w:b/>
      <w:bCs/>
      <w:color w:val="2E4057"/>
      <w:sz w:val="28"/>
      <w:szCs w:val="28"/>
    </w:rPr>
  </w:style>
  <w:style w:type="paragraph" w:styleId="Heading3">
    <w:name w:val="Heading 3"/>
    <w:basedOn w:val="Normal"/>
    <w:pPr>
      <w:spacing w:before="180" w:after="120"/>
      <w:outlineLvl w:val="2"/>
    </w:pPr>
    <w:rPr>
      <w:rFonts w:ascii="Arial" w:cs="Arial" w:eastAsia="Arial" w:hAnsi="Arial"/>
      <w:b/>
      <w:bCs/>
      <w:color w:val="2E4057"/>
      <w:sz w:val="24"/>
      <w:szCs w:val="24"/>
    </w:rPr>
  </w:style>
  <w:style w:type="paragraph" w:styleId="Abstract">
    <w:name w:val="Abstract"/>
    <w:basedOn w:val="Normal"/>
    <w:pPr>
      <w:spacing w:before="120" w:after="240"/>
      <w:ind w:left="720" w:right="720"/>
    </w:pPr>
    <w:rPr>
      <w:rFonts w:ascii="Arial" w:cs="Arial" w:eastAsia="Arial" w:hAnsi="Arial"/>
      <w:i/>
      <w:iCs/>
      <w:color w:val="333333"/>
      <w:sz w:val="22"/>
      <w:szCs w:val="22"/>
    </w:rPr>
  </w:style>
  <w:style w:type="paragraph" w:styleId="CodeBlock">
    <w:name w:val="Code Block"/>
    <w:basedOn w:val="Normal"/>
    <w:pPr>
      <w:spacing w:before="120" w:after="120"/>
      <w:ind w:left="360"/>
    </w:pPr>
    <w:rPr>
      <w:rFonts w:ascii="Consolas" w:cs="Consolas" w:eastAsia="Consolas" w:hAnsi="Consola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2025-11-05T17:31:19.121Z</dcterms:created>
  <dcterms:modified xsi:type="dcterms:W3CDTF">2025-11-05T17:31:19.121Z</dcterms:modified>
</cp:coreProperties>
</file>

<file path=docProps/custom.xml><?xml version="1.0" encoding="utf-8"?>
<Properties xmlns="http://schemas.openxmlformats.org/officeDocument/2006/custom-properties" xmlns:vt="http://schemas.openxmlformats.org/officeDocument/2006/docPropsVTypes"/>
</file>