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/>
        <w:ind w:left="134" w:right="20"/>
        <w:jc w:val="center"/>
        <w:rPr>
          <w:sz w:val="120"/>
          <w:szCs w:val="120"/>
        </w:rPr>
      </w:pPr>
      <w:r>
        <w:rPr>
          <w:rFonts w:hint="eastAsia"/>
          <w:color w:val="FF0000"/>
          <w:w w:val="45"/>
          <w:sz w:val="120"/>
          <w:szCs w:val="120"/>
        </w:rPr>
        <w:t>宁津北控城市环境服务有限公司文件</w:t>
      </w:r>
    </w:p>
    <w:p>
      <w:pPr>
        <w:tabs>
          <w:tab w:val="left" w:pos="6115"/>
        </w:tabs>
        <w:spacing w:before="510"/>
        <w:ind w:firstLine="320" w:firstLineChars="100"/>
        <w:jc w:val="center"/>
        <w:rPr>
          <w:rFonts w:ascii="Times New Roman" w:hAnsi="Times New Roman" w:eastAsia="仿宋"/>
          <w:sz w:val="32"/>
        </w:rPr>
      </w:pPr>
      <w:r>
        <w:rPr>
          <w:rFonts w:hint="eastAsia" w:ascii="仿宋" w:hAnsi="仿宋" w:eastAsia="仿宋" w:cs="仿宋"/>
          <w:sz w:val="32"/>
          <w:szCs w:val="32"/>
          <w:lang w:val="en-US"/>
        </w:rPr>
        <w:t>宁津</w:t>
      </w:r>
      <w:r>
        <w:rPr>
          <w:rFonts w:hint="eastAsia" w:ascii="仿宋" w:hAnsi="仿宋" w:eastAsia="仿宋" w:cs="仿宋"/>
          <w:sz w:val="32"/>
          <w:szCs w:val="32"/>
        </w:rPr>
        <w:t>北控</w:t>
      </w:r>
      <w:r>
        <w:rPr>
          <w:rFonts w:hint="eastAsia" w:ascii="仿宋" w:hAnsi="仿宋" w:eastAsia="仿宋" w:cs="仿宋"/>
          <w:sz w:val="32"/>
          <w:szCs w:val="32"/>
          <w:lang w:val="en-US"/>
        </w:rPr>
        <w:t>安</w:t>
      </w:r>
      <w:r>
        <w:rPr>
          <w:rFonts w:hint="eastAsia" w:ascii="仿宋" w:hAnsi="仿宋" w:eastAsia="仿宋" w:cs="仿宋"/>
          <w:sz w:val="32"/>
          <w:szCs w:val="32"/>
        </w:rPr>
        <w:t>字〔</w:t>
      </w:r>
      <w:r>
        <w:rPr>
          <w:rFonts w:hint="eastAsia" w:ascii="黑体" w:hAnsi="黑体" w:eastAsia="黑体" w:cs="仿宋"/>
          <w:sz w:val="32"/>
          <w:szCs w:val="32"/>
        </w:rPr>
        <w:t>20</w:t>
      </w:r>
      <w:r>
        <w:rPr>
          <w:rFonts w:hint="eastAsia" w:ascii="黑体" w:hAnsi="黑体" w:eastAsia="黑体" w:cs="仿宋"/>
          <w:sz w:val="32"/>
          <w:szCs w:val="32"/>
          <w:lang w:val="en-US"/>
        </w:rPr>
        <w:t>22</w:t>
      </w:r>
      <w:r>
        <w:rPr>
          <w:rFonts w:hint="eastAsia" w:ascii="仿宋" w:hAnsi="仿宋" w:eastAsia="仿宋" w:cs="仿宋"/>
          <w:sz w:val="32"/>
          <w:szCs w:val="32"/>
        </w:rPr>
        <w:t>〕</w:t>
      </w:r>
      <w:r>
        <w:rPr>
          <w:rFonts w:hint="eastAsia" w:ascii="黑体" w:hAnsi="黑体" w:eastAsia="黑体" w:cs="仿宋"/>
          <w:sz w:val="32"/>
          <w:szCs w:val="32"/>
          <w:lang w:val="en-US" w:eastAsia="zh-CN"/>
        </w:rPr>
        <w:t>1</w:t>
      </w:r>
      <w:r>
        <w:rPr>
          <w:rFonts w:hint="eastAsia" w:ascii="仿宋" w:hAnsi="仿宋" w:eastAsia="仿宋" w:cs="仿宋"/>
          <w:spacing w:val="-3"/>
          <w:sz w:val="32"/>
          <w:szCs w:val="32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</w:rPr>
        <w:t>号</w:t>
      </w:r>
    </w:p>
    <w:p>
      <w:pPr>
        <w:pStyle w:val="2"/>
        <w:rPr>
          <w:rFonts w:ascii="Times New Roman"/>
          <w:sz w:val="34"/>
          <w:lang w:val="en-US"/>
        </w:rPr>
      </w:pPr>
      <w:r>
        <w:rPr>
          <w:rFonts w:ascii="Times New Roman"/>
          <w:sz w:val="34"/>
          <w:lang w:val="en-US"/>
        </w:rPr>
        <w:pict>
          <v:rect id="_x0000_i1025" o:spt="1" style="height:1.5pt;width:517.1pt;" fillcolor="#FF0000" filled="t" stroked="f" coordsize="21600,21600" o:hr="t" o:hrstd="t" o:hrnoshade="t" o:hrpct="0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spacing w:before="1"/>
        <w:rPr>
          <w:rFonts w:hint="eastAsia" w:ascii="Times New Roman"/>
          <w:sz w:val="50"/>
        </w:rPr>
      </w:pPr>
    </w:p>
    <w:p>
      <w:pPr>
        <w:spacing w:before="0" w:line="240" w:lineRule="auto"/>
        <w:ind w:left="660" w:leftChars="0" w:right="750" w:rightChars="0" w:firstLine="0" w:firstLineChars="0"/>
        <w:jc w:val="center"/>
        <w:rPr>
          <w:sz w:val="44"/>
        </w:rPr>
      </w:pPr>
      <w:r>
        <w:rPr>
          <w:rFonts w:hint="eastAsia"/>
          <w:w w:val="95"/>
          <w:sz w:val="44"/>
        </w:rPr>
        <w:t>关于成立</w:t>
      </w:r>
      <w:r>
        <w:rPr>
          <w:rFonts w:hint="eastAsia"/>
          <w:w w:val="95"/>
          <w:sz w:val="44"/>
          <w:lang w:val="en-US" w:eastAsia="zh-CN"/>
        </w:rPr>
        <w:t>安全生产委员会</w:t>
      </w:r>
      <w:r>
        <w:rPr>
          <w:rFonts w:hint="eastAsia"/>
          <w:w w:val="95"/>
          <w:sz w:val="44"/>
          <w:lang w:eastAsia="zh-CN"/>
        </w:rPr>
        <w:t>的</w:t>
      </w:r>
      <w:r>
        <w:rPr>
          <w:rFonts w:hint="eastAsia"/>
          <w:w w:val="95"/>
          <w:sz w:val="44"/>
        </w:rPr>
        <w:t>通知</w:t>
      </w:r>
    </w:p>
    <w:p>
      <w:pPr>
        <w:pStyle w:val="2"/>
        <w:spacing w:before="6"/>
        <w:ind w:left="1100" w:leftChars="500" w:right="1010" w:rightChars="459" w:firstLine="12" w:firstLineChars="0"/>
        <w:rPr>
          <w:sz w:val="52"/>
        </w:rPr>
      </w:pPr>
    </w:p>
    <w:p>
      <w:pPr>
        <w:spacing w:line="500" w:lineRule="exact"/>
        <w:ind w:right="790" w:rightChars="359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b/>
          <w:bCs/>
          <w:sz w:val="32"/>
          <w:szCs w:val="32"/>
        </w:rPr>
        <w:t>公司各部门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为落实企业安全主体责任，保障公司职工和财产安全，促进企业安全生产，根据《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安全生产法</w:t>
      </w:r>
      <w:r>
        <w:rPr>
          <w:rFonts w:hint="eastAsia" w:ascii="仿宋_GB2312" w:eastAsia="仿宋_GB2312"/>
          <w:sz w:val="32"/>
          <w:szCs w:val="32"/>
        </w:rPr>
        <w:t>》《山东省安全生产条例》相关规定，经研究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决定成立安全生产委员会</w:t>
      </w:r>
      <w:r>
        <w:rPr>
          <w:rFonts w:hint="eastAsia" w:ascii="仿宋_GB2312" w:eastAsia="仿宋_GB2312"/>
          <w:sz w:val="32"/>
          <w:szCs w:val="32"/>
          <w:lang w:eastAsia="zh-CN"/>
        </w:rPr>
        <w:t>。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安委会组织机构进行如下设置</w:t>
      </w:r>
      <w:r>
        <w:rPr>
          <w:rFonts w:hint="eastAsia" w:ascii="仿宋_GB2312" w:eastAsia="仿宋_GB2312"/>
          <w:sz w:val="32"/>
          <w:szCs w:val="32"/>
        </w:rPr>
        <w:t>：</w:t>
      </w:r>
    </w:p>
    <w:p>
      <w:pPr>
        <w:numPr>
          <w:ilvl w:val="0"/>
          <w:numId w:val="1"/>
        </w:numPr>
        <w:spacing w:line="500" w:lineRule="exact"/>
        <w:ind w:left="0" w:leftChars="0" w:right="44" w:rightChars="20" w:firstLine="660" w:firstLineChars="0"/>
        <w:rPr>
          <w:rFonts w:hint="eastAsia" w:ascii="仿宋_GB2312" w:eastAsia="仿宋_GB2312"/>
          <w:b/>
          <w:bCs/>
          <w:sz w:val="30"/>
          <w:szCs w:val="30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636270</wp:posOffset>
            </wp:positionV>
            <wp:extent cx="5758180" cy="2468880"/>
            <wp:effectExtent l="0" t="0" r="13970" b="7620"/>
            <wp:wrapSquare wrapText="bothSides"/>
            <wp:docPr id="5" name="图片 5" descr="EHS管理委员会组织结构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HS管理委员会组织结构图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eastAsia="仿宋_GB2312"/>
          <w:b/>
          <w:bCs/>
          <w:sz w:val="30"/>
          <w:szCs w:val="30"/>
          <w:lang w:val="en-US" w:eastAsia="zh-CN"/>
        </w:rPr>
        <w:t>安委会组织机构设置</w:t>
      </w:r>
    </w:p>
    <w:p>
      <w:pPr>
        <w:numPr>
          <w:ilvl w:val="0"/>
          <w:numId w:val="0"/>
        </w:numPr>
        <w:spacing w:line="500" w:lineRule="exact"/>
        <w:ind w:left="0" w:leftChars="0" w:right="44" w:rightChars="20" w:firstLine="66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0"/>
          <w:szCs w:val="30"/>
          <w:lang w:val="en-US" w:eastAsia="zh-CN"/>
        </w:rPr>
        <w:t>公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司安委会组织机构设置如下图：</w:t>
      </w:r>
    </w:p>
    <w:p>
      <w:pPr>
        <w:spacing w:line="500" w:lineRule="exact"/>
        <w:ind w:left="0" w:leftChars="0" w:right="55" w:rightChars="25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主  任：尹善英</w:t>
      </w:r>
    </w:p>
    <w:p>
      <w:pPr>
        <w:spacing w:line="500" w:lineRule="exact"/>
        <w:ind w:left="0" w:leftChars="0" w:right="55" w:rightChars="25" w:firstLine="659" w:firstLineChars="206"/>
        <w:rPr>
          <w:rFonts w:ascii="仿宋_GB2312" w:eastAsia="仿宋_GB2312"/>
          <w:sz w:val="32"/>
          <w:szCs w:val="32"/>
          <w:lang w:val="en-US"/>
        </w:rPr>
      </w:pPr>
      <w:r>
        <w:rPr>
          <w:rFonts w:hint="eastAsia" w:ascii="仿宋_GB2312" w:eastAsia="仿宋_GB2312"/>
          <w:sz w:val="32"/>
          <w:szCs w:val="32"/>
          <w:lang w:val="en-US"/>
        </w:rPr>
        <w:t>副主任：李炳龙</w:t>
      </w:r>
    </w:p>
    <w:p>
      <w:pPr>
        <w:spacing w:line="500" w:lineRule="exact"/>
        <w:ind w:left="0" w:leftChars="0" w:right="44" w:rightChars="20" w:firstLine="659" w:firstLineChars="206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/>
        </w:rPr>
        <w:t>成  员：刘金涛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韩婷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</w:t>
      </w:r>
      <w:r>
        <w:rPr>
          <w:rFonts w:hint="eastAsia" w:ascii="仿宋_GB2312" w:eastAsia="仿宋_GB2312"/>
          <w:sz w:val="32"/>
          <w:szCs w:val="32"/>
          <w:lang w:val="en-US"/>
        </w:rPr>
        <w:t>崔栋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、张康</w:t>
      </w:r>
    </w:p>
    <w:p>
      <w:pPr>
        <w:spacing w:line="500" w:lineRule="exact"/>
        <w:ind w:left="0" w:leftChars="0" w:right="44" w:rightChars="20" w:firstLine="659" w:firstLineChars="206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安委会</w:t>
      </w:r>
      <w:r>
        <w:rPr>
          <w:rFonts w:hint="eastAsia" w:ascii="仿宋_GB2312" w:eastAsia="仿宋_GB2312"/>
          <w:sz w:val="32"/>
          <w:szCs w:val="32"/>
        </w:rPr>
        <w:t>下设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安委会</w:t>
      </w:r>
      <w:r>
        <w:rPr>
          <w:rFonts w:hint="eastAsia" w:ascii="仿宋_GB2312" w:eastAsia="仿宋_GB2312"/>
          <w:sz w:val="32"/>
          <w:szCs w:val="32"/>
        </w:rPr>
        <w:t>办公室，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刘金涛</w:t>
      </w:r>
      <w:r>
        <w:rPr>
          <w:rFonts w:hint="eastAsia" w:ascii="仿宋_GB2312" w:eastAsia="仿宋_GB2312"/>
          <w:sz w:val="32"/>
          <w:szCs w:val="32"/>
        </w:rPr>
        <w:t>兼任办公室主任，负责公司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安全生产</w:t>
      </w:r>
      <w:r>
        <w:rPr>
          <w:rFonts w:hint="eastAsia" w:ascii="仿宋_GB2312" w:eastAsia="仿宋_GB2312"/>
          <w:sz w:val="32"/>
          <w:szCs w:val="32"/>
        </w:rPr>
        <w:t>管理日常工作和联络工作。</w:t>
      </w:r>
    </w:p>
    <w:p>
      <w:pPr>
        <w:spacing w:line="500" w:lineRule="exact"/>
        <w:ind w:left="0" w:leftChars="0" w:right="44" w:rightChars="20" w:firstLine="660" w:firstLineChars="0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二、</w:t>
      </w:r>
      <w:r>
        <w:rPr>
          <w:rFonts w:hint="eastAsia" w:ascii="仿宋_GB2312" w:eastAsia="仿宋_GB2312"/>
          <w:b/>
          <w:bCs/>
          <w:sz w:val="32"/>
          <w:szCs w:val="32"/>
          <w:lang w:val="en-US" w:eastAsia="zh-CN"/>
        </w:rPr>
        <w:t>安委会职责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1、落实执行国家有关安全生产方面的法律、法规、规章、属地政府相关规定及集团、山东区域事业部层面安全生产规章制度要求，完善本公司各项安全生产规章制度及安全操作规程。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2、根据集团、山东区域事业部的要求，结合本单位特点，制订、分解本公司的年度安全生产目标并组织实施。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3、建立健全本公司安全生产责任制；强化安全生产保证体系和监督体系的职能；充分发挥公司、部门、班组三级安全监督网的作用；实现安全生产管理“四级控制”（公司、部门、班组、个人）。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4、利用集团、山东区域事业部和本公司生产信息管理网络，实现本公司安全生产管理流程化、信息化。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5、按规定足额提取和使用安全生产费用，用于完善和改进安全生产条件。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6、建立本公司安全生产教育培训管理制度和动态考核机制，结合年度需求，制定并落实本公司教育培训计划并组织实施。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7、组织召开本公司安全生产委员会会议、安全生产专题会议和基建工程安全生产专题会议，查找安全生产管理方面存在的薄弱环节，研究制定防范措施。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8、完善公司生产安全监控网络，开展可靠性管理，提高设备本质安全水平。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9、规范公司相关方管理，加强过程监控，将相关方纳入公司统一管理。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10、开展生产、建设项目安全风险评估（评价），对查找出问题制定整改计划，做好整改工作。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11、完善本公司应急救援管理体系，定期开展应急救援培训与演练。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12、完善本公司隐患排查管理体系，定期组织隐患排查，及时消除生产安全事故隐患。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13、规范危险作业监控，强化作业人员行为管理，避免或减少事故发生。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14、负责公司新建、扩建工程生产准备工作；负责新建、改建、扩建工程安全设施、消防设施、环保设施、职业病防护设施与主体工程同时设计、同时施工、同时投入生产和使用。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15、及时、如实向属地政府、集团、山东区域事业部报告生产安全事故。坚持“四不放过”原则，组织开展本公司权限范围内事故调查。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16、严肃奖惩制度，对公司内在安全生产方面做出突出贡献的提出表扬或奖励方案，对相关事故责任者提出处理意见后呈文报山东区域事业部审批。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17、</w:t>
      </w:r>
      <w:bookmarkStart w:id="0" w:name="_GoBack"/>
      <w:bookmarkEnd w:id="0"/>
      <w:r>
        <w:rPr>
          <w:rFonts w:hint="eastAsia" w:ascii="仿宋_GB2312" w:eastAsia="仿宋_GB2312"/>
          <w:sz w:val="32"/>
          <w:szCs w:val="32"/>
          <w:lang w:val="en-US" w:eastAsia="zh-CN"/>
        </w:rPr>
        <w:t>完成集团、山东区域事业部安全生产委员会交办的其他工作。</w:t>
      </w:r>
    </w:p>
    <w:p>
      <w:pPr>
        <w:spacing w:line="560" w:lineRule="exact"/>
        <w:ind w:left="0" w:leftChars="0" w:right="44" w:rightChars="20" w:firstLine="660" w:firstLineChars="0"/>
        <w:jc w:val="left"/>
        <w:rPr>
          <w:rFonts w:hint="eastAsia" w:ascii="仿宋_GB2312" w:eastAsia="仿宋_GB2312"/>
          <w:sz w:val="32"/>
          <w:szCs w:val="32"/>
          <w:lang w:val="en-US" w:eastAsia="zh-CN"/>
        </w:rPr>
      </w:pPr>
    </w:p>
    <w:p>
      <w:pPr>
        <w:spacing w:line="560" w:lineRule="exact"/>
        <w:ind w:left="0" w:leftChars="0" w:right="44" w:rightChars="20" w:firstLine="660" w:firstLineChars="0"/>
        <w:jc w:val="left"/>
        <w:rPr>
          <w:rFonts w:hint="default" w:ascii="仿宋_GB2312" w:eastAsia="仿宋_GB2312"/>
          <w:sz w:val="32"/>
          <w:szCs w:val="32"/>
          <w:lang w:val="en-US" w:eastAsia="zh-CN"/>
        </w:rPr>
      </w:pPr>
      <w:r>
        <w:rPr>
          <w:rFonts w:hint="eastAsia" w:ascii="仿宋_GB2312" w:eastAsia="仿宋_GB2312"/>
          <w:sz w:val="32"/>
          <w:szCs w:val="32"/>
          <w:lang w:val="en-US" w:eastAsia="zh-CN"/>
        </w:rPr>
        <w:t>特此通知</w:t>
      </w:r>
    </w:p>
    <w:p>
      <w:pPr>
        <w:spacing w:line="560" w:lineRule="exact"/>
        <w:ind w:left="0" w:leftChars="0" w:right="44" w:rightChars="20" w:firstLine="660" w:firstLineChars="0"/>
        <w:jc w:val="right"/>
        <w:rPr>
          <w:rFonts w:hint="eastAsia" w:ascii="仿宋_GB2312" w:eastAsia="仿宋_GB2312"/>
          <w:sz w:val="32"/>
          <w:szCs w:val="32"/>
          <w:lang w:eastAsia="zh-CN"/>
        </w:rPr>
      </w:pPr>
    </w:p>
    <w:p>
      <w:pPr>
        <w:spacing w:line="560" w:lineRule="exact"/>
        <w:ind w:left="0" w:leftChars="0" w:right="44" w:rightChars="20" w:firstLine="660" w:firstLineChars="0"/>
        <w:jc w:val="center"/>
        <w:rPr>
          <w:rFonts w:hint="eastAsia" w:ascii="仿宋_GB2312" w:eastAsia="仿宋_GB2312"/>
          <w:sz w:val="32"/>
          <w:szCs w:val="32"/>
          <w:lang w:eastAsia="zh-CN"/>
        </w:rPr>
      </w:pPr>
    </w:p>
    <w:p>
      <w:pPr>
        <w:spacing w:line="560" w:lineRule="exact"/>
        <w:ind w:left="0" w:leftChars="0" w:right="44" w:rightChars="20" w:firstLine="660" w:firstLineChars="0"/>
        <w:jc w:val="right"/>
        <w:rPr>
          <w:rFonts w:ascii="仿宋_GB2312" w:eastAsia="仿宋_GB2312"/>
          <w:sz w:val="32"/>
          <w:szCs w:val="32"/>
        </w:rPr>
      </w:pPr>
    </w:p>
    <w:p>
      <w:pPr>
        <w:ind w:left="0" w:leftChars="0" w:right="44" w:rightChars="20" w:firstLine="660" w:firstLineChars="0"/>
        <w:jc w:val="right"/>
        <w:rPr>
          <w:rFonts w:ascii="仿宋" w:eastAsia="仿宋"/>
          <w:sz w:val="32"/>
        </w:rPr>
      </w:pPr>
      <w:r>
        <w:rPr>
          <w:rFonts w:hint="eastAsia" w:ascii="仿宋" w:eastAsia="仿宋"/>
          <w:sz w:val="32"/>
        </w:rPr>
        <w:t>宁津北控城市环境服务有限公司</w:t>
      </w:r>
    </w:p>
    <w:p>
      <w:pPr>
        <w:spacing w:before="150"/>
        <w:ind w:left="0" w:leftChars="0" w:right="44" w:rightChars="20" w:firstLine="660" w:firstLineChars="0"/>
        <w:jc w:val="right"/>
        <w:rPr>
          <w:rFonts w:ascii="仿宋" w:hAnsi="仿宋" w:eastAsia="仿宋"/>
          <w:sz w:val="32"/>
        </w:rPr>
      </w:pPr>
      <w:r>
        <w:rPr>
          <w:rFonts w:ascii="Times New Roman" w:hAnsi="Times New Roman" w:eastAsia="Times New Roman"/>
          <w:sz w:val="32"/>
        </w:rPr>
        <w:t>20</w:t>
      </w:r>
      <w:r>
        <w:rPr>
          <w:rFonts w:hint="eastAsia" w:ascii="Times New Roman" w:hAnsi="Times New Roman"/>
          <w:sz w:val="32"/>
          <w:lang w:val="en-US"/>
        </w:rPr>
        <w:t>22</w:t>
      </w:r>
      <w:r>
        <w:rPr>
          <w:rFonts w:hint="eastAsia" w:ascii="仿宋" w:hAnsi="仿宋" w:eastAsia="仿宋"/>
          <w:sz w:val="32"/>
        </w:rPr>
        <w:t>年</w:t>
      </w:r>
      <w:r>
        <w:rPr>
          <w:rFonts w:hint="eastAsia" w:ascii="Times New Roman" w:hAnsi="Times New Roman" w:eastAsia="仿宋"/>
          <w:sz w:val="32"/>
          <w:lang w:val="en-US" w:eastAsia="zh-CN"/>
        </w:rPr>
        <w:t>9</w:t>
      </w:r>
      <w:r>
        <w:rPr>
          <w:rFonts w:hint="eastAsia" w:ascii="仿宋" w:hAnsi="仿宋" w:eastAsia="仿宋"/>
          <w:sz w:val="32"/>
        </w:rPr>
        <w:t>月</w:t>
      </w:r>
      <w:r>
        <w:rPr>
          <w:rFonts w:hint="eastAsia" w:ascii="仿宋" w:hAnsi="仿宋" w:eastAsia="仿宋"/>
          <w:sz w:val="32"/>
          <w:lang w:val="en-US" w:eastAsia="zh-CN"/>
        </w:rPr>
        <w:t>30</w:t>
      </w:r>
      <w:r>
        <w:rPr>
          <w:rFonts w:hint="eastAsia" w:ascii="仿宋" w:hAnsi="仿宋" w:eastAsia="仿宋"/>
          <w:sz w:val="32"/>
        </w:rPr>
        <w:t>日</w:t>
      </w:r>
    </w:p>
    <w:p>
      <w:pPr>
        <w:spacing w:before="150"/>
        <w:ind w:left="0" w:leftChars="0" w:right="44" w:rightChars="20" w:firstLine="660" w:firstLineChars="0"/>
        <w:jc w:val="right"/>
        <w:rPr>
          <w:rFonts w:ascii="仿宋" w:hAnsi="仿宋" w:eastAsia="仿宋"/>
          <w:sz w:val="32"/>
        </w:rPr>
      </w:pP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  <w:r>
        <w:rPr>
          <w:rFonts w:ascii="Times New Roman"/>
          <w:sz w:val="34"/>
          <w:lang w:val="en-US"/>
        </w:rPr>
        <w:pict>
          <v:rect id="_x0000_i1026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ind w:firstLine="282" w:firstLineChars="101"/>
        <w:rPr>
          <w:rFonts w:ascii="仿宋" w:hAnsi="仿宋" w:eastAsia="仿宋"/>
          <w:sz w:val="28"/>
          <w:szCs w:val="28"/>
          <w:lang w:val="en-US"/>
        </w:rPr>
      </w:pPr>
      <w:r>
        <w:rPr>
          <w:rFonts w:hint="eastAsia" w:ascii="仿宋" w:hAnsi="仿宋" w:eastAsia="仿宋"/>
          <w:sz w:val="28"/>
          <w:szCs w:val="28"/>
          <w:lang w:val="en-US"/>
        </w:rPr>
        <w:t xml:space="preserve">宁津北控城市环境服务有限公司安环品质部     </w:t>
      </w:r>
      <w:r>
        <w:rPr>
          <w:rFonts w:ascii="仿宋" w:hAnsi="仿宋" w:eastAsia="仿宋"/>
          <w:sz w:val="28"/>
          <w:szCs w:val="28"/>
        </w:rPr>
        <w:t>20</w:t>
      </w:r>
      <w:r>
        <w:rPr>
          <w:rFonts w:hint="eastAsia" w:ascii="仿宋" w:hAnsi="仿宋" w:eastAsia="仿宋"/>
          <w:sz w:val="28"/>
          <w:szCs w:val="28"/>
          <w:lang w:val="en-US"/>
        </w:rPr>
        <w:t>22</w:t>
      </w:r>
      <w:r>
        <w:rPr>
          <w:rFonts w:hint="eastAsia" w:ascii="仿宋" w:hAnsi="仿宋" w:eastAsia="仿宋"/>
          <w:sz w:val="28"/>
          <w:szCs w:val="28"/>
        </w:rPr>
        <w:t>年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9</w:t>
      </w:r>
      <w:r>
        <w:rPr>
          <w:rFonts w:hint="eastAsia" w:ascii="仿宋" w:hAnsi="仿宋" w:eastAsia="仿宋"/>
          <w:sz w:val="28"/>
          <w:szCs w:val="28"/>
        </w:rPr>
        <w:t>月</w:t>
      </w:r>
      <w:r>
        <w:rPr>
          <w:rFonts w:hint="eastAsia" w:ascii="仿宋" w:hAnsi="仿宋" w:eastAsia="仿宋"/>
          <w:sz w:val="28"/>
          <w:szCs w:val="28"/>
          <w:lang w:val="en-US" w:eastAsia="zh-CN"/>
        </w:rPr>
        <w:t>3</w:t>
      </w:r>
      <w:r>
        <w:rPr>
          <w:rFonts w:hint="eastAsia" w:ascii="仿宋" w:hAnsi="仿宋" w:eastAsia="仿宋"/>
          <w:sz w:val="28"/>
          <w:szCs w:val="28"/>
          <w:lang w:val="en-US"/>
        </w:rPr>
        <w:t>0</w:t>
      </w:r>
      <w:r>
        <w:rPr>
          <w:rFonts w:hint="eastAsia" w:ascii="仿宋" w:hAnsi="仿宋" w:eastAsia="仿宋"/>
          <w:spacing w:val="-3"/>
          <w:sz w:val="28"/>
          <w:szCs w:val="28"/>
        </w:rPr>
        <w:t>日</w:t>
      </w:r>
      <w:r>
        <w:rPr>
          <w:rFonts w:hint="eastAsia" w:ascii="仿宋" w:hAnsi="仿宋" w:eastAsia="仿宋"/>
          <w:sz w:val="28"/>
          <w:szCs w:val="28"/>
        </w:rPr>
        <w:t>印发</w:t>
      </w:r>
    </w:p>
    <w:p>
      <w:pPr>
        <w:pStyle w:val="2"/>
        <w:rPr>
          <w:rFonts w:ascii="仿宋"/>
          <w:sz w:val="20"/>
          <w:lang w:val="en-US"/>
        </w:rPr>
      </w:pPr>
      <w:r>
        <w:rPr>
          <w:rFonts w:ascii="Times New Roman"/>
          <w:sz w:val="34"/>
          <w:lang w:val="en-US"/>
        </w:rPr>
        <w:pict>
          <v:rect id="_x0000_i1027" o:spt="1" style="height:1.5pt;width:442.2pt;" fillcolor="#000000" filled="t" stroked="f" coordsize="21600,21600" o:hr="t" o:hrstd="t" o:hrnoshade="t" o:hrpct="0" o:hralign="center">
            <v:path/>
            <v:fill on="t" color2="#FFFFFF" focussize="0,0"/>
            <v:stroke on="f"/>
            <v:imagedata o:title=""/>
            <o:lock v:ext="edit" aspectratio="f"/>
            <w10:wrap type="none"/>
            <w10:anchorlock/>
          </v:rect>
        </w:pict>
      </w:r>
    </w:p>
    <w:p>
      <w:pPr>
        <w:pStyle w:val="2"/>
        <w:rPr>
          <w:rFonts w:ascii="仿宋"/>
          <w:sz w:val="20"/>
        </w:rPr>
      </w:pPr>
    </w:p>
    <w:p>
      <w:pPr>
        <w:pStyle w:val="2"/>
        <w:rPr>
          <w:rFonts w:ascii="仿宋"/>
          <w:sz w:val="20"/>
        </w:rPr>
      </w:pPr>
    </w:p>
    <w:sectPr>
      <w:headerReference r:id="rId3" w:type="default"/>
      <w:footerReference r:id="rId4" w:type="default"/>
      <w:pgSz w:w="11906" w:h="16838"/>
      <w:pgMar w:top="1985" w:right="1474" w:bottom="1985" w:left="1588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3698240</wp:posOffset>
              </wp:positionH>
              <wp:positionV relativeFrom="page">
                <wp:posOffset>9479915</wp:posOffset>
              </wp:positionV>
              <wp:extent cx="167005" cy="1524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pacing w:before="12"/>
                            <w:ind w:left="40"/>
                            <w:rPr>
                              <w:rFonts w:ascii="Times New Roman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91.2pt;margin-top:746.45pt;height:12pt;width:13.15pt;mso-position-horizontal-relative:page;mso-position-vertical-relative:page;z-index:-251657216;mso-width-relative:page;mso-height-relative:page;" filled="f" stroked="f" coordsize="21600,21600" o:gfxdata="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VMRm69sAAAANAQAADwAAAAAAAAABACAAAAAiAAAAZHJzL2Rvd25yZXYueG1sUEsB&#10;AhQAFAAAAAgAh07iQNn5S3C5AQAAcQMAAA4AAAAAAAAAAQAgAAAAKg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>
                    <w:pPr>
                      <w:spacing w:before="12"/>
                      <w:ind w:left="40"/>
                      <w:rPr>
                        <w:rFonts w:ascii="Times New Roman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B55DA8"/>
    <w:multiLevelType w:val="singleLevel"/>
    <w:tmpl w:val="0EB55DA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hMGE2YjQ0MDBlNjRiZjAxOTgyNGFjYjQ1NDNmNGUifQ=="/>
  </w:docVars>
  <w:rsids>
    <w:rsidRoot w:val="2D0B719B"/>
    <w:rsid w:val="00044BB1"/>
    <w:rsid w:val="001D41A2"/>
    <w:rsid w:val="003117EA"/>
    <w:rsid w:val="005A7976"/>
    <w:rsid w:val="005F6186"/>
    <w:rsid w:val="00603FA8"/>
    <w:rsid w:val="007B22A7"/>
    <w:rsid w:val="00AB182A"/>
    <w:rsid w:val="00B012D6"/>
    <w:rsid w:val="00BA1DAC"/>
    <w:rsid w:val="00C137D0"/>
    <w:rsid w:val="00E67DA8"/>
    <w:rsid w:val="00ED01EC"/>
    <w:rsid w:val="02DE5ECF"/>
    <w:rsid w:val="04137DFA"/>
    <w:rsid w:val="04683B1B"/>
    <w:rsid w:val="04FF16F7"/>
    <w:rsid w:val="0691019B"/>
    <w:rsid w:val="0717375D"/>
    <w:rsid w:val="081B54CF"/>
    <w:rsid w:val="08242A95"/>
    <w:rsid w:val="09E62C41"/>
    <w:rsid w:val="0A5B672B"/>
    <w:rsid w:val="0EEA668C"/>
    <w:rsid w:val="13841C1B"/>
    <w:rsid w:val="17654071"/>
    <w:rsid w:val="180E295A"/>
    <w:rsid w:val="204E7D85"/>
    <w:rsid w:val="23203656"/>
    <w:rsid w:val="238910E7"/>
    <w:rsid w:val="23C11FC8"/>
    <w:rsid w:val="262E5B04"/>
    <w:rsid w:val="26CF1765"/>
    <w:rsid w:val="2A9D6519"/>
    <w:rsid w:val="2ACF1750"/>
    <w:rsid w:val="2D0B719B"/>
    <w:rsid w:val="353C420B"/>
    <w:rsid w:val="3A7E0E22"/>
    <w:rsid w:val="3A7E519E"/>
    <w:rsid w:val="418A7FC3"/>
    <w:rsid w:val="45EE039D"/>
    <w:rsid w:val="492D2391"/>
    <w:rsid w:val="4ED567A5"/>
    <w:rsid w:val="5070202A"/>
    <w:rsid w:val="53733096"/>
    <w:rsid w:val="58A42DCA"/>
    <w:rsid w:val="5AA9097C"/>
    <w:rsid w:val="5E3653EC"/>
    <w:rsid w:val="5F961411"/>
    <w:rsid w:val="628506F0"/>
    <w:rsid w:val="64713622"/>
    <w:rsid w:val="65C5608E"/>
    <w:rsid w:val="68127E5F"/>
    <w:rsid w:val="69643755"/>
    <w:rsid w:val="69B813AB"/>
    <w:rsid w:val="6BD050D2"/>
    <w:rsid w:val="6E331948"/>
    <w:rsid w:val="719976A7"/>
    <w:rsid w:val="72D82ABE"/>
    <w:rsid w:val="75A1188D"/>
    <w:rsid w:val="770F4B3A"/>
    <w:rsid w:val="77E37AD6"/>
    <w:rsid w:val="7D78252A"/>
    <w:rsid w:val="7F85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宋体" w:hAnsi="宋体" w:eastAsia="宋体" w:cs="宋体"/>
      <w:sz w:val="22"/>
      <w:szCs w:val="22"/>
      <w:lang w:val="zh-CN" w:eastAsia="zh-CN" w:bidi="zh-CN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4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p0"/>
    <w:basedOn w:val="1"/>
    <w:qFormat/>
    <w:uiPriority w:val="0"/>
    <w:pPr>
      <w:widowControl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718</Words>
  <Characters>729</Characters>
  <Lines>2</Lines>
  <Paragraphs>1</Paragraphs>
  <TotalTime>20</TotalTime>
  <ScaleCrop>false</ScaleCrop>
  <LinksUpToDate>false</LinksUpToDate>
  <CharactersWithSpaces>739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2022-11-12T23:56:00Z</dcterms:created>
  <dc:creator>崔栋</dc:creator>
  <cp:lastModifiedBy>随遇而安</cp:lastModifiedBy>
  <dcterms:modified xsi:type="dcterms:W3CDTF">2023-06-10T09:04:32Z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E4B72126BE6B402386B105D090976953</vt:lpwstr>
  </property>
</Properties>
</file>