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D66BF">
      <w:pPr>
        <w:spacing w:before="211"/>
        <w:ind w:left="134" w:right="20"/>
        <w:jc w:val="center"/>
        <w:rPr>
          <w:sz w:val="120"/>
          <w:szCs w:val="120"/>
        </w:rPr>
      </w:pPr>
      <w:r>
        <w:rPr>
          <w:rFonts w:hint="eastAsia"/>
          <w:color w:val="FF0000"/>
          <w:w w:val="45"/>
          <w:sz w:val="120"/>
          <w:szCs w:val="120"/>
        </w:rPr>
        <w:t>宁津北控城市环境服务有限公司文件</w:t>
      </w:r>
    </w:p>
    <w:p w14:paraId="2E9827BF">
      <w:pPr>
        <w:tabs>
          <w:tab w:val="left" w:pos="6115"/>
        </w:tabs>
        <w:spacing w:before="510"/>
        <w:ind w:firstLine="320" w:firstLineChars="100"/>
        <w:jc w:val="center"/>
        <w:rPr>
          <w:rFonts w:ascii="Times New Roman" w:hAnsi="Times New Roman" w:eastAsia="仿宋"/>
          <w:sz w:val="32"/>
        </w:rPr>
      </w:pPr>
      <w:r>
        <w:rPr>
          <w:rFonts w:hint="eastAsia" w:ascii="仿宋" w:hAnsi="仿宋" w:eastAsia="仿宋" w:cs="仿宋"/>
          <w:sz w:val="32"/>
          <w:szCs w:val="32"/>
          <w:lang w:val="en-US"/>
        </w:rPr>
        <w:t>宁津</w:t>
      </w:r>
      <w:r>
        <w:rPr>
          <w:rFonts w:hint="eastAsia" w:ascii="仿宋" w:hAnsi="仿宋" w:eastAsia="仿宋" w:cs="仿宋"/>
          <w:sz w:val="32"/>
          <w:szCs w:val="32"/>
        </w:rPr>
        <w:t>北控</w:t>
      </w:r>
      <w:r>
        <w:rPr>
          <w:rFonts w:hint="eastAsia" w:ascii="仿宋" w:hAnsi="仿宋" w:eastAsia="仿宋" w:cs="仿宋"/>
          <w:sz w:val="32"/>
          <w:szCs w:val="32"/>
          <w:lang w:val="en-US"/>
        </w:rPr>
        <w:t>安</w:t>
      </w:r>
      <w:r>
        <w:rPr>
          <w:rFonts w:hint="eastAsia" w:ascii="仿宋" w:hAnsi="仿宋" w:eastAsia="仿宋" w:cs="仿宋"/>
          <w:sz w:val="32"/>
          <w:szCs w:val="32"/>
        </w:rPr>
        <w:t>字〔</w:t>
      </w:r>
      <w:r>
        <w:rPr>
          <w:rFonts w:hint="eastAsia" w:ascii="黑体" w:hAnsi="黑体" w:eastAsia="黑体" w:cs="仿宋"/>
          <w:sz w:val="32"/>
          <w:szCs w:val="32"/>
        </w:rPr>
        <w:t>20</w:t>
      </w:r>
      <w:r>
        <w:rPr>
          <w:rFonts w:hint="eastAsia" w:ascii="黑体" w:hAnsi="黑体" w:eastAsia="黑体" w:cs="仿宋"/>
          <w:sz w:val="32"/>
          <w:szCs w:val="32"/>
          <w:lang w:val="en-US"/>
        </w:rPr>
        <w:t>2</w:t>
      </w:r>
      <w:r>
        <w:rPr>
          <w:rFonts w:hint="eastAsia" w:ascii="黑体" w:hAnsi="黑体" w:eastAsia="黑体" w:cs="仿宋"/>
          <w:sz w:val="32"/>
          <w:szCs w:val="32"/>
          <w:lang w:val="en-US" w:eastAsia="zh-CN"/>
        </w:rPr>
        <w:t>5</w:t>
      </w:r>
      <w:r>
        <w:rPr>
          <w:rFonts w:hint="eastAsia" w:ascii="仿宋" w:hAnsi="仿宋" w:eastAsia="仿宋" w:cs="仿宋"/>
          <w:sz w:val="32"/>
          <w:szCs w:val="32"/>
        </w:rPr>
        <w:t>〕</w:t>
      </w:r>
      <w:r>
        <w:rPr>
          <w:rFonts w:hint="eastAsia" w:ascii="黑体" w:hAnsi="黑体" w:eastAsia="黑体" w:cs="仿宋"/>
          <w:sz w:val="32"/>
          <w:szCs w:val="32"/>
          <w:lang w:val="en-US" w:eastAsia="zh-CN"/>
        </w:rPr>
        <w:t>6</w:t>
      </w:r>
      <w:r>
        <w:rPr>
          <w:rFonts w:hint="eastAsia" w:ascii="仿宋" w:hAnsi="仿宋" w:eastAsia="仿宋" w:cs="仿宋"/>
          <w:spacing w:val="-3"/>
          <w:sz w:val="32"/>
          <w:szCs w:val="32"/>
        </w:rPr>
        <w:t xml:space="preserve"> </w:t>
      </w:r>
      <w:r>
        <w:rPr>
          <w:rFonts w:hint="eastAsia" w:ascii="仿宋" w:hAnsi="仿宋" w:eastAsia="仿宋" w:cs="仿宋"/>
          <w:sz w:val="32"/>
          <w:szCs w:val="32"/>
        </w:rPr>
        <w:t>号</w:t>
      </w:r>
    </w:p>
    <w:p w14:paraId="0A213068">
      <w:pPr>
        <w:pStyle w:val="2"/>
        <w:rPr>
          <w:rFonts w:ascii="Times New Roman"/>
          <w:sz w:val="34"/>
          <w:lang w:val="en-US"/>
        </w:rPr>
      </w:pPr>
      <w:r>
        <w:rPr>
          <w:rFonts w:ascii="Times New Roman"/>
          <w:sz w:val="34"/>
          <w:lang w:val="en-US"/>
        </w:rPr>
        <w:pict>
          <v:rect id="_x0000_i1025" o:spt="1" style="height:1.5pt;width:517.1pt;" fillcolor="#FF0000" filled="t" stroked="f" coordsize="21600,21600" o:hr="t" o:hrstd="t" o:hrnoshade="t" o:hrpct="0" o:hralign="center">
            <v:path/>
            <v:fill on="t" focussize="0,0"/>
            <v:stroke on="f"/>
            <v:imagedata o:title=""/>
            <o:lock v:ext="edit"/>
            <w10:wrap type="none"/>
            <w10:anchorlock/>
          </v:rect>
        </w:pict>
      </w:r>
    </w:p>
    <w:p w14:paraId="08DB7093">
      <w:pPr>
        <w:pStyle w:val="2"/>
        <w:spacing w:before="1"/>
        <w:rPr>
          <w:rFonts w:ascii="Times New Roman"/>
          <w:sz w:val="50"/>
        </w:rPr>
      </w:pPr>
    </w:p>
    <w:p w14:paraId="6852534B">
      <w:pPr>
        <w:ind w:left="660" w:right="750"/>
        <w:jc w:val="center"/>
        <w:rPr>
          <w:sz w:val="44"/>
        </w:rPr>
      </w:pPr>
      <w:r>
        <w:rPr>
          <w:rFonts w:hint="eastAsia"/>
          <w:b/>
          <w:bCs/>
          <w:w w:val="95"/>
          <w:sz w:val="48"/>
          <w:szCs w:val="24"/>
        </w:rPr>
        <w:t>关于成立</w:t>
      </w:r>
      <w:r>
        <w:rPr>
          <w:rFonts w:hint="eastAsia"/>
          <w:b/>
          <w:bCs/>
          <w:w w:val="95"/>
          <w:sz w:val="48"/>
          <w:szCs w:val="24"/>
          <w:lang w:val="en-US" w:eastAsia="zh-CN"/>
        </w:rPr>
        <w:t>交通安全</w:t>
      </w:r>
      <w:r>
        <w:rPr>
          <w:rFonts w:hint="eastAsia"/>
          <w:b/>
          <w:bCs/>
          <w:w w:val="95"/>
          <w:sz w:val="48"/>
          <w:szCs w:val="24"/>
        </w:rPr>
        <w:t>专项</w:t>
      </w:r>
      <w:r>
        <w:rPr>
          <w:rFonts w:hint="eastAsia"/>
          <w:b/>
          <w:bCs/>
          <w:w w:val="95"/>
          <w:sz w:val="48"/>
          <w:szCs w:val="24"/>
          <w:lang w:val="en-US" w:eastAsia="zh-CN"/>
        </w:rPr>
        <w:t>行动</w:t>
      </w:r>
      <w:r>
        <w:rPr>
          <w:rFonts w:hint="eastAsia"/>
          <w:b/>
          <w:bCs/>
          <w:w w:val="95"/>
          <w:sz w:val="48"/>
          <w:szCs w:val="24"/>
        </w:rPr>
        <w:t>领导小组的通知</w:t>
      </w:r>
    </w:p>
    <w:p w14:paraId="6538373E">
      <w:pPr>
        <w:pStyle w:val="2"/>
        <w:spacing w:before="6"/>
        <w:ind w:left="1100" w:leftChars="500" w:right="1010" w:rightChars="459" w:firstLine="12"/>
        <w:rPr>
          <w:sz w:val="52"/>
        </w:rPr>
      </w:pPr>
    </w:p>
    <w:p w14:paraId="094EF20B">
      <w:pPr>
        <w:spacing w:line="500" w:lineRule="exact"/>
        <w:ind w:right="44" w:rightChars="20"/>
        <w:rPr>
          <w:rFonts w:ascii="仿宋_GB2312" w:eastAsia="仿宋_GB2312"/>
          <w:sz w:val="32"/>
          <w:szCs w:val="32"/>
        </w:rPr>
      </w:pPr>
      <w:r>
        <w:rPr>
          <w:rFonts w:hint="eastAsia" w:ascii="仿宋_GB2312" w:eastAsia="仿宋_GB2312"/>
          <w:b/>
          <w:bCs/>
          <w:sz w:val="32"/>
          <w:szCs w:val="32"/>
        </w:rPr>
        <w:t>公司各部门</w:t>
      </w:r>
      <w:r>
        <w:rPr>
          <w:rFonts w:hint="eastAsia" w:ascii="仿宋_GB2312" w:eastAsia="仿宋_GB2312"/>
          <w:sz w:val="32"/>
          <w:szCs w:val="32"/>
        </w:rPr>
        <w:t>：</w:t>
      </w:r>
    </w:p>
    <w:p w14:paraId="6DBD84DB">
      <w:pPr>
        <w:numPr>
          <w:ilvl w:val="0"/>
          <w:numId w:val="0"/>
        </w:numPr>
        <w:spacing w:line="500" w:lineRule="exact"/>
        <w:ind w:left="0" w:leftChars="0" w:right="44" w:rightChars="20" w:firstLine="659" w:firstLineChars="206"/>
        <w:rPr>
          <w:rFonts w:ascii="Segoe UI" w:hAnsi="Segoe UI" w:eastAsia="Segoe UI" w:cs="Segoe UI"/>
          <w:i w:val="0"/>
          <w:iCs w:val="0"/>
          <w:caps w:val="0"/>
          <w:spacing w:val="0"/>
          <w:sz w:val="24"/>
          <w:szCs w:val="24"/>
          <w:shd w:val="clear" w:fill="FFFFFF"/>
        </w:rPr>
      </w:pPr>
      <w:r>
        <w:rPr>
          <w:rFonts w:hint="eastAsia" w:ascii="仿宋_GB2312" w:eastAsia="仿宋_GB2312"/>
          <w:sz w:val="32"/>
          <w:szCs w:val="32"/>
          <w:lang w:val="en-US" w:eastAsia="zh-CN"/>
        </w:rPr>
        <w:t>为确保《2025年交通安全专项行动方案》有效落地，强化各级交通安全管理责任，推动专项行动有序开展，现成立项目 2025 年度交通安全专项行动小组（以下简称 “专项小组”），具体事项如下：</w:t>
      </w:r>
    </w:p>
    <w:p w14:paraId="4DDAE79B">
      <w:pPr>
        <w:spacing w:line="500" w:lineRule="exact"/>
        <w:ind w:right="44" w:rightChars="20"/>
        <w:rPr>
          <w:rFonts w:hint="eastAsia" w:ascii="仿宋_GB2312" w:eastAsia="仿宋_GB2312"/>
          <w:b/>
          <w:bCs/>
          <w:sz w:val="32"/>
          <w:szCs w:val="32"/>
          <w:lang w:val="en-US" w:eastAsia="zh-CN"/>
        </w:rPr>
      </w:pPr>
      <w:r>
        <w:rPr>
          <w:rFonts w:hint="eastAsia" w:ascii="仿宋_GB2312" w:eastAsia="仿宋_GB2312"/>
          <w:b/>
          <w:bCs/>
          <w:sz w:val="32"/>
          <w:szCs w:val="32"/>
          <w:lang w:val="en-US" w:eastAsia="zh-CN"/>
        </w:rPr>
        <w:t>一、</w:t>
      </w:r>
      <w:r>
        <w:rPr>
          <w:rFonts w:hint="default" w:ascii="仿宋_GB2312" w:eastAsia="仿宋_GB2312"/>
          <w:b/>
          <w:bCs/>
          <w:sz w:val="32"/>
          <w:szCs w:val="32"/>
          <w:lang w:val="en-US" w:eastAsia="zh-CN"/>
        </w:rPr>
        <w:t>专项领导小组设立</w:t>
      </w:r>
    </w:p>
    <w:p w14:paraId="19CD0EDC">
      <w:pPr>
        <w:numPr>
          <w:ilvl w:val="0"/>
          <w:numId w:val="0"/>
        </w:numPr>
        <w:spacing w:line="500" w:lineRule="exact"/>
        <w:ind w:left="0" w:leftChars="0" w:right="44" w:rightChars="20" w:firstLine="659" w:firstLineChars="206"/>
        <w:rPr>
          <w:rFonts w:hint="eastAsia" w:ascii="仿宋_GB2312" w:eastAsia="仿宋_GB2312"/>
          <w:sz w:val="32"/>
          <w:szCs w:val="32"/>
          <w:lang w:val="en-US" w:eastAsia="zh-CN"/>
        </w:rPr>
      </w:pPr>
      <w:r>
        <w:rPr>
          <w:rFonts w:hint="eastAsia" w:ascii="仿宋_GB2312" w:eastAsia="仿宋_GB2312"/>
          <w:sz w:val="32"/>
          <w:szCs w:val="32"/>
          <w:lang w:val="en-US" w:eastAsia="zh-CN"/>
        </w:rPr>
        <w:t>组长：黄殿兴（项目负责人）</w:t>
      </w:r>
    </w:p>
    <w:p w14:paraId="7F5CE244">
      <w:pPr>
        <w:numPr>
          <w:ilvl w:val="0"/>
          <w:numId w:val="0"/>
        </w:numPr>
        <w:spacing w:line="500" w:lineRule="exact"/>
        <w:ind w:left="0" w:leftChars="0" w:right="44" w:rightChars="20" w:firstLine="659" w:firstLineChars="206"/>
        <w:rPr>
          <w:rFonts w:hint="eastAsia" w:ascii="仿宋_GB2312" w:eastAsia="仿宋_GB2312"/>
          <w:sz w:val="32"/>
          <w:szCs w:val="32"/>
        </w:rPr>
      </w:pPr>
      <w:r>
        <w:rPr>
          <w:rFonts w:hint="default" w:ascii="仿宋_GB2312" w:eastAsia="仿宋_GB2312"/>
          <w:sz w:val="32"/>
          <w:szCs w:val="32"/>
          <w:lang w:val="en-US" w:eastAsia="zh-CN"/>
        </w:rPr>
        <w:t>成员：</w:t>
      </w:r>
      <w:r>
        <w:rPr>
          <w:rFonts w:hint="eastAsia" w:ascii="仿宋_GB2312" w:eastAsia="仿宋_GB2312"/>
          <w:sz w:val="32"/>
          <w:szCs w:val="32"/>
          <w:lang w:val="en-US" w:eastAsia="zh-CN"/>
        </w:rPr>
        <w:t>张康、刘金涛、韩婷、黄元同</w:t>
      </w:r>
    </w:p>
    <w:p w14:paraId="4C057127">
      <w:pPr>
        <w:spacing w:line="500" w:lineRule="exact"/>
        <w:ind w:right="44" w:rightChars="20"/>
        <w:rPr>
          <w:rFonts w:hint="default" w:ascii="仿宋_GB2312" w:eastAsia="仿宋_GB2312"/>
          <w:b/>
          <w:bCs/>
          <w:sz w:val="32"/>
          <w:szCs w:val="32"/>
          <w:lang w:val="en-US" w:eastAsia="zh-CN"/>
        </w:rPr>
      </w:pPr>
      <w:r>
        <w:rPr>
          <w:rFonts w:hint="eastAsia" w:ascii="仿宋_GB2312" w:eastAsia="仿宋_GB2312"/>
          <w:b/>
          <w:bCs/>
          <w:sz w:val="32"/>
          <w:szCs w:val="32"/>
          <w:lang w:val="en-US" w:eastAsia="zh-CN"/>
        </w:rPr>
        <w:t>二、</w:t>
      </w:r>
      <w:r>
        <w:rPr>
          <w:rFonts w:hint="default" w:ascii="仿宋_GB2312" w:eastAsia="仿宋_GB2312"/>
          <w:b/>
          <w:bCs/>
          <w:sz w:val="32"/>
          <w:szCs w:val="32"/>
          <w:lang w:val="en-US" w:eastAsia="zh-CN"/>
        </w:rPr>
        <w:t>领导小组职责</w:t>
      </w:r>
    </w:p>
    <w:p w14:paraId="7D9ED69E">
      <w:pPr>
        <w:numPr>
          <w:ilvl w:val="0"/>
          <w:numId w:val="0"/>
        </w:numPr>
        <w:spacing w:line="500" w:lineRule="exact"/>
        <w:ind w:left="0" w:leftChars="0" w:right="44" w:rightChars="20" w:firstLine="659" w:firstLineChars="206"/>
        <w:rPr>
          <w:rFonts w:hint="eastAsia" w:ascii="仿宋_GB2312" w:eastAsia="仿宋_GB2312"/>
          <w:sz w:val="32"/>
          <w:szCs w:val="32"/>
          <w:lang w:val="en-US" w:eastAsia="zh-CN"/>
        </w:rPr>
      </w:pPr>
      <w:r>
        <w:rPr>
          <w:rFonts w:hint="eastAsia" w:ascii="仿宋_GB2312" w:eastAsia="仿宋_GB2312"/>
          <w:sz w:val="32"/>
          <w:szCs w:val="32"/>
          <w:lang w:val="en-US" w:eastAsia="zh-CN"/>
        </w:rPr>
        <w:t>1、严格落实“一岗双责”和“属地管理”原则，组织员工培训交底《交通安全履职清单》（见附件1），确保全员知晓并执行</w:t>
      </w:r>
      <w:r>
        <w:rPr>
          <w:rFonts w:hint="default" w:ascii="仿宋_GB2312" w:eastAsia="仿宋_GB2312"/>
          <w:sz w:val="32"/>
          <w:szCs w:val="32"/>
          <w:lang w:val="en-US" w:eastAsia="zh-CN"/>
        </w:rPr>
        <w:t>；</w:t>
      </w:r>
    </w:p>
    <w:p w14:paraId="4A9568F1">
      <w:pPr>
        <w:numPr>
          <w:ilvl w:val="0"/>
          <w:numId w:val="0"/>
        </w:numPr>
        <w:spacing w:line="500" w:lineRule="exact"/>
        <w:ind w:left="0" w:leftChars="0" w:right="44" w:rightChars="20" w:firstLine="659" w:firstLineChars="206"/>
        <w:rPr>
          <w:rFonts w:hint="eastAsia" w:ascii="仿宋_GB2312" w:eastAsia="仿宋_GB2312"/>
          <w:sz w:val="32"/>
          <w:szCs w:val="32"/>
          <w:lang w:val="en-US" w:eastAsia="zh-CN"/>
        </w:rPr>
      </w:pPr>
      <w:r>
        <w:rPr>
          <w:rFonts w:hint="eastAsia" w:ascii="仿宋_GB2312" w:eastAsia="仿宋_GB2312"/>
          <w:sz w:val="32"/>
          <w:szCs w:val="32"/>
          <w:lang w:val="en-US" w:eastAsia="zh-CN"/>
        </w:rPr>
        <w:t>2、加强专项作业车辆管理，着力防范“主动违章型”交通事故，落实车辆动态隐患清零，机械清扫作业固有风险识别，垃圾转运作业固有风险识别，整治交通安全“红线”行为。</w:t>
      </w:r>
    </w:p>
    <w:p w14:paraId="0CE86763">
      <w:pPr>
        <w:numPr>
          <w:ilvl w:val="0"/>
          <w:numId w:val="0"/>
        </w:numPr>
        <w:spacing w:line="500" w:lineRule="exact"/>
        <w:ind w:left="0" w:leftChars="0" w:right="44" w:rightChars="20" w:firstLine="659" w:firstLineChars="206"/>
        <w:rPr>
          <w:rFonts w:hint="eastAsia" w:ascii="仿宋_GB2312" w:eastAsia="仿宋_GB2312"/>
          <w:sz w:val="32"/>
          <w:szCs w:val="32"/>
          <w:lang w:val="en-US" w:eastAsia="zh-CN"/>
        </w:rPr>
      </w:pPr>
      <w:r>
        <w:rPr>
          <w:rFonts w:hint="eastAsia" w:ascii="仿宋_GB2312" w:eastAsia="仿宋_GB2312"/>
          <w:sz w:val="32"/>
          <w:szCs w:val="32"/>
          <w:lang w:val="en-US" w:eastAsia="zh-CN"/>
        </w:rPr>
        <w:t>3、加强人工作业风险防范，全力预防“被动伤害型”交通事故，落实人工保洁“被动伤害”风险防范，垃圾收运“被动伤害”风险防范，加大“三违”治理力度。</w:t>
      </w:r>
    </w:p>
    <w:p w14:paraId="3C1694B0">
      <w:pPr>
        <w:spacing w:line="560" w:lineRule="exact"/>
        <w:ind w:right="44" w:rightChars="20" w:firstLine="659" w:firstLineChars="206"/>
        <w:rPr>
          <w:rFonts w:ascii="仿宋_GB2312" w:eastAsia="仿宋_GB2312"/>
          <w:sz w:val="32"/>
          <w:szCs w:val="32"/>
          <w:lang w:val="en-US"/>
        </w:rPr>
      </w:pPr>
    </w:p>
    <w:p w14:paraId="0FED76AD">
      <w:pPr>
        <w:spacing w:line="560" w:lineRule="exact"/>
        <w:ind w:right="44" w:rightChars="20" w:firstLine="659" w:firstLineChars="206"/>
        <w:rPr>
          <w:rFonts w:hint="default" w:ascii="仿宋_GB2312" w:eastAsia="仿宋_GB2312"/>
          <w:sz w:val="32"/>
          <w:szCs w:val="32"/>
          <w:lang w:val="en-US" w:eastAsia="zh-CN"/>
        </w:rPr>
      </w:pPr>
    </w:p>
    <w:p w14:paraId="1059201F">
      <w:pPr>
        <w:spacing w:line="560" w:lineRule="exact"/>
        <w:ind w:right="44" w:rightChars="20" w:firstLine="659" w:firstLineChars="206"/>
        <w:rPr>
          <w:rFonts w:ascii="仿宋_GB2312" w:eastAsia="仿宋_GB2312"/>
          <w:sz w:val="32"/>
          <w:szCs w:val="32"/>
          <w:lang w:val="en-US"/>
        </w:rPr>
      </w:pPr>
      <w:r>
        <w:rPr>
          <w:rFonts w:hint="eastAsia" w:ascii="仿宋_GB2312" w:eastAsia="仿宋_GB2312"/>
          <w:sz w:val="32"/>
          <w:szCs w:val="32"/>
          <w:lang w:val="en-US"/>
        </w:rPr>
        <w:t>特此通知</w:t>
      </w:r>
    </w:p>
    <w:p w14:paraId="314AECDA">
      <w:pPr>
        <w:spacing w:line="500" w:lineRule="exact"/>
        <w:ind w:right="44" w:rightChars="20" w:firstLine="659" w:firstLineChars="206"/>
        <w:rPr>
          <w:rFonts w:ascii="仿宋_GB2312" w:eastAsia="仿宋_GB2312"/>
          <w:sz w:val="32"/>
          <w:szCs w:val="32"/>
          <w:lang w:val="en-US"/>
        </w:rPr>
      </w:pPr>
    </w:p>
    <w:p w14:paraId="188EE622">
      <w:pPr>
        <w:spacing w:line="500" w:lineRule="exact"/>
        <w:ind w:right="44" w:rightChars="20" w:firstLine="659" w:firstLineChars="206"/>
        <w:rPr>
          <w:rFonts w:ascii="仿宋_GB2312" w:eastAsia="仿宋_GB2312"/>
          <w:sz w:val="32"/>
          <w:szCs w:val="32"/>
          <w:lang w:val="en-US"/>
        </w:rPr>
      </w:pPr>
    </w:p>
    <w:p w14:paraId="72BC98ED">
      <w:pPr>
        <w:spacing w:line="500" w:lineRule="exact"/>
        <w:ind w:right="44" w:rightChars="20" w:firstLine="659" w:firstLineChars="206"/>
        <w:rPr>
          <w:rFonts w:ascii="仿宋_GB2312" w:eastAsia="仿宋_GB2312"/>
          <w:sz w:val="32"/>
          <w:szCs w:val="32"/>
          <w:lang w:val="en-US"/>
        </w:rPr>
      </w:pPr>
    </w:p>
    <w:p w14:paraId="154BFC26">
      <w:pPr>
        <w:spacing w:line="500" w:lineRule="exact"/>
        <w:ind w:right="44" w:rightChars="20" w:firstLine="659" w:firstLineChars="206"/>
        <w:rPr>
          <w:rFonts w:ascii="仿宋_GB2312" w:eastAsia="仿宋_GB2312"/>
          <w:sz w:val="32"/>
          <w:szCs w:val="32"/>
          <w:lang w:val="en-US"/>
        </w:rPr>
      </w:pPr>
    </w:p>
    <w:p w14:paraId="51827E7E">
      <w:pPr>
        <w:ind w:right="44" w:rightChars="20" w:firstLine="659" w:firstLineChars="206"/>
        <w:jc w:val="right"/>
        <w:rPr>
          <w:rFonts w:ascii="仿宋" w:eastAsia="仿宋"/>
          <w:sz w:val="32"/>
        </w:rPr>
      </w:pPr>
      <w:r>
        <w:rPr>
          <w:rFonts w:hint="eastAsia" w:ascii="仿宋" w:eastAsia="仿宋"/>
          <w:sz w:val="32"/>
        </w:rPr>
        <w:t>宁津北控城市环境服务有限公司</w:t>
      </w:r>
    </w:p>
    <w:p w14:paraId="7E7737D5">
      <w:pPr>
        <w:spacing w:line="500" w:lineRule="exact"/>
        <w:ind w:right="44" w:rightChars="20" w:firstLine="659" w:firstLineChars="206"/>
        <w:jc w:val="right"/>
        <w:rPr>
          <w:rFonts w:ascii="仿宋_GB2312" w:eastAsia="仿宋_GB2312"/>
          <w:sz w:val="32"/>
          <w:szCs w:val="32"/>
          <w:lang w:val="en-US"/>
        </w:rPr>
      </w:pPr>
      <w:r>
        <w:rPr>
          <w:rFonts w:ascii="Times New Roman" w:hAnsi="Times New Roman" w:eastAsia="Times New Roman"/>
          <w:sz w:val="32"/>
        </w:rPr>
        <w:t>20</w:t>
      </w:r>
      <w:r>
        <w:rPr>
          <w:rFonts w:hint="eastAsia" w:ascii="Times New Roman" w:hAnsi="Times New Roman"/>
          <w:sz w:val="32"/>
          <w:lang w:val="en-US"/>
        </w:rPr>
        <w:t>2</w:t>
      </w:r>
      <w:r>
        <w:rPr>
          <w:rFonts w:hint="eastAsia" w:ascii="Times New Roman" w:hAnsi="Times New Roman"/>
          <w:sz w:val="32"/>
          <w:lang w:val="en-US" w:eastAsia="zh-CN"/>
        </w:rPr>
        <w:t>5</w:t>
      </w:r>
      <w:r>
        <w:rPr>
          <w:rFonts w:hint="eastAsia" w:ascii="仿宋" w:hAnsi="仿宋" w:eastAsia="仿宋"/>
          <w:sz w:val="32"/>
        </w:rPr>
        <w:t>年</w:t>
      </w:r>
      <w:r>
        <w:rPr>
          <w:rFonts w:hint="eastAsia" w:ascii="Times New Roman" w:hAnsi="Times New Roman"/>
          <w:sz w:val="32"/>
          <w:lang w:val="en-US"/>
        </w:rPr>
        <w:t>0</w:t>
      </w:r>
      <w:r>
        <w:rPr>
          <w:rFonts w:hint="eastAsia" w:ascii="Times New Roman" w:hAnsi="Times New Roman"/>
          <w:sz w:val="32"/>
          <w:lang w:val="en-US" w:eastAsia="zh-CN"/>
        </w:rPr>
        <w:t>8</w:t>
      </w:r>
      <w:r>
        <w:rPr>
          <w:rFonts w:hint="eastAsia" w:ascii="仿宋" w:hAnsi="仿宋" w:eastAsia="仿宋"/>
          <w:sz w:val="32"/>
        </w:rPr>
        <w:t>月</w:t>
      </w:r>
      <w:r>
        <w:rPr>
          <w:rFonts w:hint="eastAsia" w:ascii="仿宋" w:hAnsi="仿宋" w:eastAsia="仿宋"/>
          <w:sz w:val="32"/>
          <w:lang w:val="en-US" w:eastAsia="zh-CN"/>
        </w:rPr>
        <w:t>20</w:t>
      </w:r>
      <w:r>
        <w:rPr>
          <w:rFonts w:hint="eastAsia" w:ascii="仿宋" w:hAnsi="仿宋" w:eastAsia="仿宋"/>
          <w:sz w:val="32"/>
        </w:rPr>
        <w:t>日</w:t>
      </w:r>
    </w:p>
    <w:p w14:paraId="555025A2">
      <w:pPr>
        <w:spacing w:before="150"/>
        <w:ind w:right="44" w:rightChars="20" w:firstLine="659" w:firstLineChars="206"/>
        <w:jc w:val="right"/>
        <w:rPr>
          <w:rFonts w:ascii="仿宋" w:hAnsi="仿宋" w:eastAsia="仿宋"/>
          <w:sz w:val="32"/>
        </w:rPr>
      </w:pPr>
    </w:p>
    <w:p w14:paraId="02EB4B1A">
      <w:pPr>
        <w:spacing w:before="150"/>
        <w:ind w:right="44" w:rightChars="20"/>
        <w:jc w:val="both"/>
        <w:rPr>
          <w:rFonts w:ascii="仿宋" w:hAnsi="仿宋" w:eastAsia="仿宋"/>
          <w:sz w:val="32"/>
        </w:rPr>
      </w:pPr>
    </w:p>
    <w:p w14:paraId="18085DA0">
      <w:pPr>
        <w:pStyle w:val="2"/>
        <w:rPr>
          <w:rFonts w:ascii="仿宋"/>
          <w:sz w:val="20"/>
        </w:rPr>
      </w:pPr>
    </w:p>
    <w:p w14:paraId="1FDF3E13">
      <w:pPr>
        <w:pStyle w:val="2"/>
        <w:rPr>
          <w:rFonts w:ascii="仿宋"/>
          <w:sz w:val="20"/>
        </w:rPr>
      </w:pPr>
      <w:r>
        <w:rPr>
          <w:rFonts w:ascii="Times New Roman"/>
          <w:sz w:val="34"/>
          <w:lang w:val="en-US"/>
        </w:rPr>
        <w:pict>
          <v:rect id="_x0000_i1026" o:spt="1" style="height:1.5pt;width:442.2pt;" fillcolor="#000000" filled="t" stroked="f" coordsize="21600,21600" o:hr="t" o:hrstd="t" o:hrnoshade="t" o:hrpct="0" o:hralign="center">
            <v:path/>
            <v:fill on="t" color2="#FFFFFF" focussize="0,0"/>
            <v:stroke on="f"/>
            <v:imagedata o:title=""/>
            <o:lock v:ext="edit" aspectratio="f"/>
            <w10:wrap type="none"/>
            <w10:anchorlock/>
          </v:rect>
        </w:pict>
      </w:r>
    </w:p>
    <w:p w14:paraId="4C24A0EB">
      <w:pPr>
        <w:pStyle w:val="2"/>
        <w:ind w:firstLine="282" w:firstLineChars="101"/>
        <w:rPr>
          <w:rFonts w:ascii="仿宋" w:hAnsi="仿宋" w:eastAsia="仿宋"/>
          <w:sz w:val="28"/>
          <w:szCs w:val="28"/>
          <w:lang w:val="en-US"/>
        </w:rPr>
      </w:pPr>
      <w:r>
        <w:rPr>
          <w:rFonts w:hint="eastAsia" w:ascii="仿宋" w:hAnsi="仿宋" w:eastAsia="仿宋"/>
          <w:sz w:val="28"/>
          <w:szCs w:val="28"/>
          <w:lang w:val="en-US"/>
        </w:rPr>
        <w:t xml:space="preserve">宁津北控城市环境服务有限公司安环品质部     </w:t>
      </w:r>
      <w:r>
        <w:rPr>
          <w:rFonts w:ascii="仿宋" w:hAnsi="仿宋" w:eastAsia="仿宋"/>
          <w:sz w:val="28"/>
          <w:szCs w:val="28"/>
        </w:rPr>
        <w:t>20</w:t>
      </w:r>
      <w:r>
        <w:rPr>
          <w:rFonts w:hint="eastAsia" w:ascii="仿宋" w:hAnsi="仿宋" w:eastAsia="仿宋"/>
          <w:sz w:val="28"/>
          <w:szCs w:val="28"/>
          <w:lang w:val="en-US"/>
        </w:rPr>
        <w:t>2</w:t>
      </w:r>
      <w:r>
        <w:rPr>
          <w:rFonts w:hint="eastAsia" w:ascii="仿宋" w:hAnsi="仿宋" w:eastAsia="仿宋"/>
          <w:sz w:val="28"/>
          <w:szCs w:val="28"/>
          <w:lang w:val="en-US" w:eastAsia="zh-CN"/>
        </w:rPr>
        <w:t>5</w:t>
      </w:r>
      <w:r>
        <w:rPr>
          <w:rFonts w:hint="eastAsia" w:ascii="仿宋" w:hAnsi="仿宋" w:eastAsia="仿宋"/>
          <w:sz w:val="28"/>
          <w:szCs w:val="28"/>
        </w:rPr>
        <w:t>年</w:t>
      </w:r>
      <w:r>
        <w:rPr>
          <w:rFonts w:hint="eastAsia" w:ascii="仿宋" w:hAnsi="仿宋" w:eastAsia="仿宋"/>
          <w:sz w:val="28"/>
          <w:szCs w:val="28"/>
          <w:lang w:val="en-US" w:eastAsia="zh-CN"/>
        </w:rPr>
        <w:t>8</w:t>
      </w:r>
      <w:r>
        <w:rPr>
          <w:rFonts w:hint="eastAsia" w:ascii="仿宋" w:hAnsi="仿宋" w:eastAsia="仿宋"/>
          <w:sz w:val="28"/>
          <w:szCs w:val="28"/>
        </w:rPr>
        <w:t>月</w:t>
      </w:r>
      <w:r>
        <w:rPr>
          <w:rFonts w:hint="eastAsia" w:ascii="仿宋" w:hAnsi="仿宋" w:eastAsia="仿宋"/>
          <w:sz w:val="28"/>
          <w:szCs w:val="28"/>
          <w:lang w:val="en-US" w:eastAsia="zh-CN"/>
        </w:rPr>
        <w:t>20</w:t>
      </w:r>
      <w:bookmarkStart w:id="0" w:name="_GoBack"/>
      <w:bookmarkEnd w:id="0"/>
      <w:r>
        <w:rPr>
          <w:rFonts w:hint="eastAsia" w:ascii="仿宋" w:hAnsi="仿宋" w:eastAsia="仿宋"/>
          <w:spacing w:val="-3"/>
          <w:sz w:val="28"/>
          <w:szCs w:val="28"/>
        </w:rPr>
        <w:t>日</w:t>
      </w:r>
      <w:r>
        <w:rPr>
          <w:rFonts w:hint="eastAsia" w:ascii="仿宋" w:hAnsi="仿宋" w:eastAsia="仿宋"/>
          <w:sz w:val="28"/>
          <w:szCs w:val="28"/>
        </w:rPr>
        <w:t>印发</w:t>
      </w:r>
    </w:p>
    <w:p w14:paraId="184ED213">
      <w:pPr>
        <w:pStyle w:val="2"/>
        <w:rPr>
          <w:rFonts w:ascii="仿宋"/>
          <w:sz w:val="20"/>
          <w:lang w:val="en-US"/>
        </w:rPr>
      </w:pPr>
      <w:r>
        <w:rPr>
          <w:rFonts w:ascii="Times New Roman"/>
          <w:sz w:val="34"/>
          <w:lang w:val="en-US"/>
        </w:rPr>
        <w:pict>
          <v:rect id="_x0000_i1027" o:spt="1" style="height:1.5pt;width:442.2pt;" fillcolor="#000000" filled="t" stroked="f" coordsize="21600,21600" o:hr="t" o:hrstd="t" o:hrnoshade="t" o:hrpct="0" o:hralign="center">
            <v:path/>
            <v:fill on="t" color2="#FFFFFF" focussize="0,0"/>
            <v:stroke on="f"/>
            <v:imagedata o:title=""/>
            <o:lock v:ext="edit" aspectratio="f"/>
            <w10:wrap type="none"/>
            <w10:anchorlock/>
          </v:rect>
        </w:pict>
      </w:r>
    </w:p>
    <w:p w14:paraId="7A64C207">
      <w:pPr>
        <w:rPr>
          <w:rFonts w:ascii="仿宋"/>
          <w:sz w:val="20"/>
        </w:rPr>
      </w:pPr>
    </w:p>
    <w:p w14:paraId="4D0EEF9D">
      <w:pPr>
        <w:rPr>
          <w:rFonts w:ascii="仿宋"/>
          <w:sz w:val="20"/>
        </w:rPr>
      </w:pPr>
    </w:p>
    <w:p w14:paraId="66DB4972">
      <w:pPr>
        <w:rPr>
          <w:rFonts w:ascii="仿宋"/>
          <w:sz w:val="20"/>
        </w:rPr>
        <w:sectPr>
          <w:headerReference r:id="rId3" w:type="default"/>
          <w:footerReference r:id="rId4" w:type="default"/>
          <w:pgSz w:w="11906" w:h="16838"/>
          <w:pgMar w:top="1985" w:right="1474" w:bottom="1985" w:left="1588" w:header="851" w:footer="992" w:gutter="0"/>
          <w:cols w:space="0" w:num="1"/>
          <w:docGrid w:type="lines" w:linePitch="312" w:charSpace="0"/>
        </w:sectPr>
      </w:pPr>
    </w:p>
    <w:p w14:paraId="217E6C3D">
      <w:pPr>
        <w:ind w:left="0" w:leftChars="0" w:right="44" w:rightChars="20" w:firstLine="0" w:firstLineChars="0"/>
        <w:jc w:val="left"/>
        <w:rPr>
          <w:rFonts w:hint="eastAsia" w:ascii="仿宋" w:hAnsi="仿宋" w:eastAsia="仿宋" w:cs="宋体"/>
          <w:sz w:val="28"/>
          <w:szCs w:val="28"/>
          <w:lang w:val="en-US" w:eastAsia="zh-CN" w:bidi="zh-CN"/>
        </w:rPr>
      </w:pPr>
      <w:r>
        <w:rPr>
          <w:rFonts w:hint="eastAsia" w:ascii="仿宋" w:hAnsi="仿宋" w:eastAsia="仿宋" w:cs="宋体"/>
          <w:sz w:val="28"/>
          <w:szCs w:val="28"/>
          <w:lang w:val="en-US" w:eastAsia="zh-CN" w:bidi="zh-CN"/>
        </w:rPr>
        <w:t>附件1.</w:t>
      </w:r>
    </w:p>
    <w:tbl>
      <w:tblPr>
        <w:tblW w:w="14693" w:type="dxa"/>
        <w:tblInd w:w="-6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653"/>
        <w:gridCol w:w="1080"/>
        <w:gridCol w:w="1080"/>
        <w:gridCol w:w="11880"/>
      </w:tblGrid>
      <w:tr w14:paraId="07948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14693" w:type="dxa"/>
            <w:gridSpan w:val="4"/>
            <w:tcBorders>
              <w:top w:val="single" w:color="000000" w:sz="4" w:space="0"/>
              <w:left w:val="single" w:color="000000" w:sz="4" w:space="0"/>
              <w:bottom w:val="single" w:color="000000" w:sz="4" w:space="0"/>
              <w:right w:val="single" w:color="000000" w:sz="4" w:space="0"/>
            </w:tcBorders>
            <w:shd w:val="clear"/>
            <w:vAlign w:val="center"/>
          </w:tcPr>
          <w:p w14:paraId="2744D135">
            <w:pPr>
              <w:keepNext w:val="0"/>
              <w:keepLines w:val="0"/>
              <w:widowControl/>
              <w:suppressLineNumbers w:val="0"/>
              <w:jc w:val="center"/>
              <w:textAlignment w:val="center"/>
              <w:rPr>
                <w:rFonts w:hint="eastAsia" w:ascii="宋体" w:hAnsi="宋体" w:eastAsia="宋体" w:cs="宋体"/>
                <w:b/>
                <w:bCs/>
                <w:i w:val="0"/>
                <w:iCs w:val="0"/>
                <w:color w:val="000000"/>
                <w:kern w:val="0"/>
                <w:sz w:val="24"/>
                <w:szCs w:val="24"/>
                <w:u w:val="none"/>
                <w:bdr w:val="none" w:color="auto" w:sz="0" w:space="0"/>
                <w:lang w:val="en-US" w:eastAsia="zh-CN" w:bidi="ar"/>
              </w:rPr>
            </w:pPr>
            <w:r>
              <w:rPr>
                <w:rFonts w:hint="eastAsia" w:ascii="宋体" w:hAnsi="宋体" w:eastAsia="宋体" w:cs="宋体"/>
                <w:b/>
                <w:bCs/>
                <w:i w:val="0"/>
                <w:iCs w:val="0"/>
                <w:color w:val="000000"/>
                <w:kern w:val="0"/>
                <w:sz w:val="24"/>
                <w:szCs w:val="24"/>
                <w:u w:val="none"/>
                <w:bdr w:val="none" w:color="auto" w:sz="0" w:space="0"/>
                <w:lang w:val="en-US" w:eastAsia="zh-CN" w:bidi="ar"/>
              </w:rPr>
              <w:t>宁津项目交通安全履职清单</w:t>
            </w:r>
          </w:p>
        </w:tc>
      </w:tr>
      <w:tr w14:paraId="47D0C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tcBorders>
              <w:top w:val="single" w:color="000000" w:sz="4" w:space="0"/>
              <w:left w:val="single" w:color="000000" w:sz="4" w:space="0"/>
              <w:bottom w:val="single" w:color="000000" w:sz="4" w:space="0"/>
              <w:right w:val="single" w:color="000000" w:sz="4" w:space="0"/>
            </w:tcBorders>
            <w:shd w:val="clear"/>
            <w:vAlign w:val="center"/>
          </w:tcPr>
          <w:p w14:paraId="1A96261C">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序号</w:t>
            </w:r>
          </w:p>
        </w:tc>
        <w:tc>
          <w:tcPr>
            <w:tcW w:w="1080" w:type="dxa"/>
            <w:tcBorders>
              <w:top w:val="single" w:color="000000" w:sz="4" w:space="0"/>
              <w:left w:val="single" w:color="000000" w:sz="4" w:space="0"/>
              <w:bottom w:val="single" w:color="000000" w:sz="4" w:space="0"/>
              <w:right w:val="single" w:color="000000" w:sz="4" w:space="0"/>
            </w:tcBorders>
            <w:shd w:val="clear"/>
            <w:vAlign w:val="center"/>
          </w:tcPr>
          <w:p w14:paraId="33998F2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部门</w:t>
            </w:r>
          </w:p>
        </w:tc>
        <w:tc>
          <w:tcPr>
            <w:tcW w:w="1080" w:type="dxa"/>
            <w:tcBorders>
              <w:top w:val="single" w:color="000000" w:sz="4" w:space="0"/>
              <w:left w:val="single" w:color="000000" w:sz="4" w:space="0"/>
              <w:bottom w:val="single" w:color="000000" w:sz="4" w:space="0"/>
              <w:right w:val="single" w:color="000000" w:sz="4" w:space="0"/>
            </w:tcBorders>
            <w:shd w:val="clear"/>
            <w:vAlign w:val="center"/>
          </w:tcPr>
          <w:p w14:paraId="2527145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岗位</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1EC76E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岗位交通安全履职清单</w:t>
            </w:r>
          </w:p>
        </w:tc>
      </w:tr>
      <w:tr w14:paraId="50A3F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24F5B1F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463BA1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5F5515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总经理</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B7BC34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1、自身严格落实“一岗双责”，并在交通专项持续期间，严抓各部门“共管”安全，切实落实交通专项行动各项工作的开展。</w:t>
            </w:r>
          </w:p>
        </w:tc>
      </w:tr>
      <w:tr w14:paraId="5E53A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8065EA0">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5881CCB">
            <w:pPr>
              <w:jc w:val="center"/>
              <w:rPr>
                <w:rFonts w:hint="eastAsia" w:ascii="宋体" w:hAnsi="宋体" w:eastAsia="宋体" w:cs="宋体"/>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463DDBD">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23DB84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2、交通专项期间，每月对各部门开展一次总结会，确认阶段性工作完成情况及对项目安全工作开展的难点发现掌握并统筹各部门解决。</w:t>
            </w:r>
          </w:p>
        </w:tc>
      </w:tr>
      <w:tr w14:paraId="7692B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70AC62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0E4C234">
            <w:pPr>
              <w:jc w:val="center"/>
              <w:rPr>
                <w:rFonts w:hint="eastAsia" w:ascii="宋体" w:hAnsi="宋体" w:eastAsia="宋体" w:cs="宋体"/>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B6EE4F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B2AE08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3、对工作落实不到位的部门严肃追责，责令其限期整改到位。</w:t>
            </w:r>
          </w:p>
        </w:tc>
      </w:tr>
      <w:tr w14:paraId="18FE4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B10D8F8">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A7CB53B">
            <w:pPr>
              <w:jc w:val="center"/>
              <w:rPr>
                <w:rFonts w:hint="eastAsia" w:ascii="宋体" w:hAnsi="宋体" w:eastAsia="宋体" w:cs="宋体"/>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5C1FEA2">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FDDEEC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4、随机抽查重点整改点位，亲自下沉核查整改实效。</w:t>
            </w:r>
          </w:p>
        </w:tc>
      </w:tr>
      <w:tr w14:paraId="3FA8A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EC9C571">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02769CB">
            <w:pPr>
              <w:jc w:val="center"/>
              <w:rPr>
                <w:rFonts w:hint="eastAsia" w:ascii="宋体" w:hAnsi="宋体" w:eastAsia="宋体" w:cs="宋体"/>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E4DE4D1">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E72F1D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5、了解近两年8~ 12 月交通事故数量同情况，对活动开展总结复盘，如发生事故则追本溯源，以部门为单位对责任部门进行处罚。</w:t>
            </w:r>
          </w:p>
        </w:tc>
      </w:tr>
      <w:tr w14:paraId="50291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1996576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4D7FFD0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安环品质部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514EA0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（副）经理</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79A6684">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1、梳理出高风险人员及场所，通过对各类场所危险程度进行分级，形成《危险人员及场所分级隐患范例清单》。</w:t>
            </w:r>
          </w:p>
        </w:tc>
      </w:tr>
      <w:tr w14:paraId="7ED3B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62DEF1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BDE9EA9">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FDF49ED">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DF6AE66">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2、制定应急演练方案及演练评估表。</w:t>
            </w:r>
          </w:p>
        </w:tc>
      </w:tr>
      <w:tr w14:paraId="75503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1434FF4">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76B1D44">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54CB642">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4B2D954">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3、排查驶往电厂、填埋场途中重大交通安全风险点位，制定控制措施。</w:t>
            </w:r>
          </w:p>
        </w:tc>
      </w:tr>
      <w:tr w14:paraId="685B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78E25D1">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B1BC896">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10FDEC7">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FAFF3E9">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每个月至少进行一次风险隐患排查，对排查出的隐患，按“五定”原则（定整改责任人、定整改措施、定整改时限、定整改资金、定应急预案）进行100%整改。对无法立即整改的重大隐患，制定严密的临时管控措施并限期整改。</w:t>
            </w:r>
          </w:p>
        </w:tc>
      </w:tr>
      <w:tr w14:paraId="38149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E216035">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ACF6697">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C0A6F65">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77856A2">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5、优化在用车辆“三检”表（例行保养），确保“三检表”检查项与车型相匹配，检查“三检表”填写情况。</w:t>
            </w:r>
          </w:p>
        </w:tc>
      </w:tr>
      <w:tr w14:paraId="2A677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F891EC3">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CD9D108">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6009B13">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4AF677DF">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6、宣贯培训及实施“交通安全‘红线’行为整治”，对违反者进行记录、考核。</w:t>
            </w:r>
          </w:p>
        </w:tc>
      </w:tr>
      <w:tr w14:paraId="329D0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03E6A64">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0947621">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4A63680">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E966BA6">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7、评估本单位现有人工作业风险，制定专项安全管理规定或安全措施。</w:t>
            </w:r>
          </w:p>
        </w:tc>
      </w:tr>
      <w:tr w14:paraId="6CA55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4FE7C90">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0B1042A">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D6A4579">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68003E3">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8、建立三违治理机制和台账，关注高频违章人员和行为，加强人工作业不安全行为治理。</w:t>
            </w:r>
          </w:p>
        </w:tc>
      </w:tr>
      <w:tr w14:paraId="2E43B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FF99039">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95EBB2D">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91FCC07">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ADF37C3">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9、要求轮值安全员进行专项学习，并按集团制度要求对其他员工进行监管。</w:t>
            </w:r>
          </w:p>
        </w:tc>
      </w:tr>
      <w:tr w14:paraId="554C8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E8B912D">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7A0BC98">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D8CC7EF">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ED4BB18">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10、根据人力综合部提供的调岗、转岗人员名单，梳理三级教育培训记录。</w:t>
            </w:r>
          </w:p>
        </w:tc>
      </w:tr>
      <w:tr w14:paraId="6C593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2C9D5CB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103E0B7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安环品质部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12741A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安全员</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4E6A7B2">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1、排查驶往电厂、填埋场途中重大交通安全风险点位。</w:t>
            </w:r>
          </w:p>
        </w:tc>
      </w:tr>
      <w:tr w14:paraId="1B780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61553A8">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95D72D3">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935F567">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FA8B986">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2、参加应急演练。</w:t>
            </w:r>
          </w:p>
        </w:tc>
      </w:tr>
      <w:tr w14:paraId="3911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9206AEC">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3DFB408">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15E65A4">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160B2F5">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3、每个月至少进行一次风险隐患排查，记录，督促隐患相关部门及时整改。</w:t>
            </w:r>
          </w:p>
        </w:tc>
      </w:tr>
      <w:tr w14:paraId="24D21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2E7B324">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6ACFD60">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C5F9CD8">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B9031AA">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4、检查“三检表”填写情况，并记录。</w:t>
            </w:r>
          </w:p>
        </w:tc>
      </w:tr>
      <w:tr w14:paraId="6E332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0C12066">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3F9FB13">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ED05378">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C58E5E2">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5、宣贯培训“交通安全‘红线’行为整治”，对违反者进行记录、考核。</w:t>
            </w:r>
          </w:p>
        </w:tc>
      </w:tr>
      <w:tr w14:paraId="03DAA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D396B24">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F01B09D">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21DF7D0">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CA7488F">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6、对三违行为进行查处，对违反者进行记录、考核。</w:t>
            </w:r>
          </w:p>
        </w:tc>
      </w:tr>
      <w:tr w14:paraId="067CA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0F77A86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3AAD4DE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人力综合部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77332C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（副）经理</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2C344E1">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1、机动作业车辆驾驶人员入职时，进行驾驶资格审查，驾驶人员应持有效机动车驾驶证，确保作业车辆类型与准驾车型相符。原则上机动车辆驾驶员至少应有 3 年及以上专职驾驶经验，且 3 年内无交通责任事故记录。</w:t>
            </w:r>
          </w:p>
        </w:tc>
      </w:tr>
      <w:tr w14:paraId="7D108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E78E8F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8652DBF">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48C681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8365B8A">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2、作业车辆驾驶人员身体健康条件应符合驾驶要求，入职时应持有二级甲等或以上等级医院健康检查合格证明。</w:t>
            </w:r>
          </w:p>
        </w:tc>
      </w:tr>
      <w:tr w14:paraId="78D3C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53352C2">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F090054">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EAB9751">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4A9755F">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3、对转运车驾驶员上班时间，日常监管。</w:t>
            </w:r>
          </w:p>
        </w:tc>
      </w:tr>
      <w:tr w14:paraId="7CD53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F3730F8">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9AE2D43">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8F4B1F4">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7C7A19D">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4、每个月至少一次对库房、办公区域进行隐患自查；对排查出的隐患，按“五定”原则（定整改责任人、定整改措施、定整改时限、定整改资金、定应急预案）进行100%整改。</w:t>
            </w:r>
          </w:p>
        </w:tc>
      </w:tr>
      <w:tr w14:paraId="4874E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7CDED45">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A5E1863">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8E06E6E">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6E26515">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5、根据应急演练方案，负责统筹应急演练人员。</w:t>
            </w:r>
          </w:p>
        </w:tc>
      </w:tr>
      <w:tr w14:paraId="0A0DC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F2A0DC6">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6E61A8F">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AD4766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9059085">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6、参与安全生产会议；落实本部门的交通安全培训，并记录。</w:t>
            </w:r>
          </w:p>
        </w:tc>
      </w:tr>
      <w:tr w14:paraId="1CA89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1F4A432">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0352774">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182146A">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27C9EA9">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7、梳理往年转岗、调岗人员，形成记录，报安环品质部。</w:t>
            </w:r>
          </w:p>
        </w:tc>
      </w:tr>
      <w:tr w14:paraId="57778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4283EDF">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9CBF3A9">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E3145AA">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210ABB5">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8、管理公司行政车辆，禁止出现脱保、漏审等情况。</w:t>
            </w:r>
          </w:p>
        </w:tc>
      </w:tr>
      <w:tr w14:paraId="5C31E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5B67D56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203F9D5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人力综合部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06D47E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行政专员</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B0B6376">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1、每个月至少一次对办公区域进行隐患自查；对排查出的隐患，按“五定”原则（定整改责任人、定整改措施、定整改时限、定整改资金、定应急预案）进行100%整改。</w:t>
            </w:r>
          </w:p>
        </w:tc>
      </w:tr>
      <w:tr w14:paraId="280E2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4C2D3AF">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4E9DE3F">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FC4FB4B">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096DD7D">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2、管理公司行政车辆，禁止出现脱保、漏审等情况。</w:t>
            </w:r>
          </w:p>
        </w:tc>
      </w:tr>
      <w:tr w14:paraId="0F030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2E9C797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0D65689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人力综合部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575665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人力专员</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51129B2">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1、机动作业车辆驾驶人员入职时，进行驾驶资格审查，驾驶人员应持有效机动车驾驶证，确保作业车辆类型与准驾车型相符。原则上机动车辆驾驶员至少应有 3 年及以上专职驾驶经验，且 3 年内无交通责任事故记录。</w:t>
            </w:r>
          </w:p>
        </w:tc>
      </w:tr>
      <w:tr w14:paraId="594A8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0727BCA">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7633BDB">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4E9154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BB8D93A">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2、作业车辆驾驶人员身体健康条件应符合驾驶要求，入职时应持有二级甲等或以上等级医院健康检查合格证明。</w:t>
            </w:r>
          </w:p>
        </w:tc>
      </w:tr>
      <w:tr w14:paraId="6121A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1B16428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7</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5C9A429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人力综合部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0C8443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库管专员</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A096495">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1、每个月至少一次对库房、办公区域进行隐患自查；对排查出的隐患，按“五定”原则（定整改责任人、定整改措施、定整改时限、定整改资金、定应急预案）进行100%整改。</w:t>
            </w:r>
          </w:p>
        </w:tc>
      </w:tr>
      <w:tr w14:paraId="3F249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39DD75D">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C2D651D">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930DB22">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0824557">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2、外出开车遵守交通规则，禁止出现“交通安全‘红线’行为。</w:t>
            </w:r>
          </w:p>
        </w:tc>
      </w:tr>
      <w:tr w14:paraId="4B2F2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69C4C29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8</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253F19E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24D67A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生产运营部经理</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4663C6C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1、加强劳动纪律管理，明确垃圾转运车驾驶员上班时间，保证其休息，避免疲劳驾驶。</w:t>
            </w:r>
          </w:p>
        </w:tc>
      </w:tr>
      <w:tr w14:paraId="67FCC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01F5BAA">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82062AA">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F9C5C84">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CFAC8D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2、排查驶往电厂、填埋场途中重大交通安全风险点位，对线路进行优化，形成优化记录。</w:t>
            </w:r>
          </w:p>
        </w:tc>
      </w:tr>
      <w:tr w14:paraId="04B3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60E7DC3">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C843935">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359867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5A1BE8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3、参照集团《车辆设备管理制度》对在用环卫作业车辆进行1次一级或者二级保养，杜绝车辆带病运行。</w:t>
            </w:r>
          </w:p>
        </w:tc>
      </w:tr>
      <w:tr w14:paraId="73A2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901CA94">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7C4A70F">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2E96560">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27E80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4、根据优化后的三检表，落实车辆三检及记录填写；三检表的归档。</w:t>
            </w:r>
          </w:p>
        </w:tc>
      </w:tr>
      <w:tr w14:paraId="0D14A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AC0AFC6">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F0D40B1">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B485080">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D807EF9">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5、宣贯、培训、落实“交通安全‘红线’行为。</w:t>
            </w:r>
          </w:p>
        </w:tc>
      </w:tr>
      <w:tr w14:paraId="075DE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C2F0A2A">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ED10D44">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5D44D73">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369A4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6、开展沿道路设置的垃圾桶点等点位安全评估，确保点位作业安全。</w:t>
            </w:r>
          </w:p>
        </w:tc>
      </w:tr>
      <w:tr w14:paraId="1754F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070E8CB">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96D271D">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2337C9E">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2097B9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7、排查和优化行车线路，车辆就近桶点停放，禁止辅助工横穿主干道、快速路拖桶作业。</w:t>
            </w:r>
          </w:p>
        </w:tc>
      </w:tr>
      <w:tr w14:paraId="2DAE2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8D8620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7FAA23C">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F9B20CA">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4E958D9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8、执行应急演练方案。</w:t>
            </w:r>
          </w:p>
        </w:tc>
      </w:tr>
      <w:tr w14:paraId="0DE7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0BA3350">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506B55F">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BDAD056">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2DD408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9、对本部门《交通安全履职清单》宣贯培训。</w:t>
            </w:r>
          </w:p>
        </w:tc>
      </w:tr>
      <w:tr w14:paraId="629AA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34F40E3">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6569B4D">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D74A559">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B9AB5A6">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10、每个月至少一次进行隐患自查；对排查出的隐患，按“五定”原则（定整改责任人、定整改措施、定整改时限、定整改资金、定应急预案）进行100%整改。</w:t>
            </w:r>
          </w:p>
        </w:tc>
      </w:tr>
      <w:tr w14:paraId="55209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10A425D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9</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36752B8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24E2FA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人工作业中心经理</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EED0A6B">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1、宣贯、培训、落实“交通安全‘红线’行为。</w:t>
            </w:r>
          </w:p>
        </w:tc>
      </w:tr>
      <w:tr w14:paraId="1DACD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99FBC7A">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7114C2C">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59A0C30">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0594E26">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2、开展沿道路设置的垃圾桶点等点位安全评估，确保点位作业安全。</w:t>
            </w:r>
          </w:p>
        </w:tc>
      </w:tr>
      <w:tr w14:paraId="2676F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C30AAC5">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91DA774">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03BFC9B">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12A12A9">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3、执行应急演练方案。</w:t>
            </w:r>
          </w:p>
        </w:tc>
      </w:tr>
      <w:tr w14:paraId="215FC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02F88DA">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B0E9951">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9B33C5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3805DC4">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4、每个月至少一次进行隐患自查；对排查出的隐患，按“五定”原则（定整改责任人、定整改措施、定整改时限、定整改资金、定应急预案）进行100%整改。</w:t>
            </w:r>
          </w:p>
        </w:tc>
      </w:tr>
      <w:tr w14:paraId="016D4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12D0507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10</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542B4B7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2019BC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乡镇作业中心经理</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B05663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1、对“三违”行为进行监督、纠正。</w:t>
            </w:r>
          </w:p>
        </w:tc>
      </w:tr>
      <w:tr w14:paraId="1731A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2186523">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9DE1907">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F98460D">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C247E2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2、对管理员、驾驶员、转运站操作工的《交通安全履职清单》进行宣贯培训。</w:t>
            </w:r>
          </w:p>
        </w:tc>
      </w:tr>
      <w:tr w14:paraId="630B6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022B980">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5293EA2">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FCD4AB3">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8FCC22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4、根据优化后的三检表，落实车辆三检及记录填写。</w:t>
            </w:r>
          </w:p>
        </w:tc>
      </w:tr>
      <w:tr w14:paraId="655B7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9754CAC">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65EB9C6">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BFE693F">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8FD665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5、宣贯、培训、落实“交通安全‘红线’行为。</w:t>
            </w:r>
          </w:p>
        </w:tc>
      </w:tr>
      <w:tr w14:paraId="5C6BF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618CDF6">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F1EA07F">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0247E28">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9C69C4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6、开展沿道路设置的垃圾桶点等点位安全评估，确保点位作业安全；</w:t>
            </w:r>
          </w:p>
        </w:tc>
      </w:tr>
      <w:tr w14:paraId="28059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A55D5DE">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90AD151">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48DF168">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345306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7、组织轮值安全员进行专项学习，并按集团制度要求对其他员工进行监管。</w:t>
            </w:r>
          </w:p>
        </w:tc>
      </w:tr>
      <w:tr w14:paraId="16C67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50DE533">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276F601">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AE9B3E9">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4EACEF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8、执行应急演练方案。</w:t>
            </w:r>
          </w:p>
        </w:tc>
      </w:tr>
      <w:tr w14:paraId="4EC51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ED8C08E">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F0F50AA">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2596B55">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244BF5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9、每个月至少一次进行隐患自查；对排查出的隐患，按“五定”原则（定整改责任人、定整改措施、定整改时限、定整改资金、定应急预案）进行100%整改。</w:t>
            </w:r>
          </w:p>
        </w:tc>
      </w:tr>
      <w:tr w14:paraId="48E22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7533CC0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11</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7D900C7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noWrap/>
            <w:vAlign w:val="center"/>
          </w:tcPr>
          <w:p w14:paraId="02CAF0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管理员</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F67A65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1、对“三违”行为进行监督、纠正。</w:t>
            </w:r>
          </w:p>
        </w:tc>
      </w:tr>
      <w:tr w14:paraId="19A34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088CA0B">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528FEBF">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1454A645">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8FE747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2、对保洁员的《交通安全履职清单》进行宣贯培训。</w:t>
            </w:r>
          </w:p>
        </w:tc>
      </w:tr>
      <w:tr w14:paraId="19BFE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31B5C99">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6ADF5B8">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484EC23F">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DB7810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3、宣贯、培训、落实“交通安全‘红线’行为。</w:t>
            </w:r>
          </w:p>
        </w:tc>
      </w:tr>
      <w:tr w14:paraId="2164D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0A09BEB">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7A675A3">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308DA5B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C782059">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4、开展沿道路设置的垃圾桶点等点位安全评估，确保点位作业安全，不安全点位进行上报；</w:t>
            </w:r>
          </w:p>
        </w:tc>
      </w:tr>
      <w:tr w14:paraId="7F09B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DAA2B9D">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AC372EC">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06E4489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1773A7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5、组织轮值安全员进行专项学习，并按集团制度要求对其他员工进行监管。</w:t>
            </w:r>
          </w:p>
        </w:tc>
      </w:tr>
      <w:tr w14:paraId="2857C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8F3410E">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373F830">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2BCC6979">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AB8FBC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6、执行应急演练方案。</w:t>
            </w:r>
          </w:p>
        </w:tc>
      </w:tr>
      <w:tr w14:paraId="38AD2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3DCC93E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12</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059F75B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noWrap/>
            <w:vAlign w:val="center"/>
          </w:tcPr>
          <w:p w14:paraId="59287B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保洁员</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09983C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1、工作期间必须穿公司统一发放的工作服、安全反光背心、按要求使用劳动保护用品。</w:t>
            </w:r>
          </w:p>
        </w:tc>
      </w:tr>
      <w:tr w14:paraId="40DB6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DD6680E">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FF3DBFF">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29937021">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4C0C289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2、不擅离职守，不违章作业，不酒后作业，不野蛮作业。</w:t>
            </w:r>
          </w:p>
        </w:tc>
      </w:tr>
      <w:tr w14:paraId="048B4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6657798">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C6D6C2E">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018D259B">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C784D2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3、在工作期间如有身体不适应及时向上级领导汇报，不得带病工作；工作期间不允许私自找人顶岗工作。</w:t>
            </w:r>
          </w:p>
        </w:tc>
      </w:tr>
      <w:tr w14:paraId="4E71F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DBB0658">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C9DB5EE">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60200F6E">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39F9D3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4、杜绝”三违“行为和“交通安全‘红线’行为。</w:t>
            </w:r>
          </w:p>
        </w:tc>
      </w:tr>
      <w:tr w14:paraId="10762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7A7E486">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2474D6A">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07A1EC4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0877CE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5、参加公司组织的各项安全培训。</w:t>
            </w:r>
          </w:p>
        </w:tc>
      </w:tr>
      <w:tr w14:paraId="240D0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6CFCF7D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13</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4C8BBF1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41C15C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转运站主管</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894C842">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1、每个月至少一次进行隐患自查；对排查出的隐患，按“五定”原则（定整改责任人、定整改措施、定整改时限、定整改资金、定应急预案）进行100%整改。</w:t>
            </w:r>
          </w:p>
        </w:tc>
      </w:tr>
      <w:tr w14:paraId="606E2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E010F0E">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7BC6F11">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F253D40">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DFF012B">
            <w:pPr>
              <w:keepNext w:val="0"/>
              <w:keepLines w:val="0"/>
              <w:widowControl/>
              <w:suppressLineNumbers w:val="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2、外出开车遵守交通规则，禁止出现“交通安全‘红线’行为。</w:t>
            </w:r>
          </w:p>
        </w:tc>
      </w:tr>
      <w:tr w14:paraId="6F5F3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6E782F2">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D4EAC73">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885D9AE">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4DF9ABE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3、对转运站操作工的《交通安全履职清单》进行监督、考核。</w:t>
            </w:r>
          </w:p>
        </w:tc>
      </w:tr>
      <w:tr w14:paraId="0E60F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37057B3">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B291208">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AF9C586">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4686262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4、执行应急演练方案。</w:t>
            </w:r>
          </w:p>
        </w:tc>
      </w:tr>
      <w:tr w14:paraId="773EB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3B78F4B">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1608137">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0E5651A">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8127949">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5、对“三违”行为进行监督、纠正。</w:t>
            </w:r>
          </w:p>
        </w:tc>
      </w:tr>
      <w:tr w14:paraId="5647D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F7ED22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6FFC8D8">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158784A">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294F6B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6、参加公司组织的各项安全培训。</w:t>
            </w:r>
          </w:p>
        </w:tc>
      </w:tr>
      <w:tr w14:paraId="0ACCF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1C1657C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14</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733B684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2E26BC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转运站管理员</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796223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1、工作期间必须穿公司统一发放的工作服、安全反光背心、按要求使用劳动保护用品。</w:t>
            </w:r>
          </w:p>
        </w:tc>
      </w:tr>
      <w:tr w14:paraId="35E46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58E8D15">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823273D">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6A3B0A0">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25CAA96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2、不擅离职守，不违章作业，不酒后作业，不野蛮作业。</w:t>
            </w:r>
          </w:p>
        </w:tc>
      </w:tr>
      <w:tr w14:paraId="2DE35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4BE165B">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5F0868D">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1CE1D85">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EC216F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3、在工作期间如有身体不适应及时向上级领导汇报，不得带病工作；工作期间不允许私自找人顶岗工作。</w:t>
            </w:r>
          </w:p>
        </w:tc>
      </w:tr>
      <w:tr w14:paraId="16E7E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BF73F0F">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3AD2B13">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56FC181">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C3DF62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4、杜绝”三违“行为和“交通安全‘红线’行为。</w:t>
            </w:r>
          </w:p>
        </w:tc>
      </w:tr>
      <w:tr w14:paraId="2AD1B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A1F284D">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900AEFA">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80D92F3">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B0BBBEB">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5、参加公司组织的各项安全培训。</w:t>
            </w:r>
          </w:p>
        </w:tc>
      </w:tr>
      <w:tr w14:paraId="05E29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45F67D4">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A09E4B8">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8D5D9A0">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ED3611B">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6、有权制止无关人员进入转运站，有权制止对安全生产有危险的行为。工作时间坚守岗位，严禁脱岗、睡岗、酒后上岗。</w:t>
            </w:r>
          </w:p>
        </w:tc>
      </w:tr>
      <w:tr w14:paraId="2871E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AEFF46A">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5C7BA04">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EA447A1">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CD48DCB">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7、做好本岗位设备设施、安全消防器材的日常维护保养。</w:t>
            </w:r>
          </w:p>
        </w:tc>
      </w:tr>
      <w:tr w14:paraId="64516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7965BA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1137C65">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EEE1A1A">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4CDDFFB">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8、如实做好转运站的各项记录。</w:t>
            </w:r>
          </w:p>
        </w:tc>
      </w:tr>
      <w:tr w14:paraId="10EA0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8911DE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720EC71">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8E667E7">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1A562F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9、参加公司组织的各项安全培训。</w:t>
            </w:r>
          </w:p>
        </w:tc>
      </w:tr>
      <w:tr w14:paraId="39803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1D2495F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15</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096CF4D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6B2663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驾驶员</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4567E04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1、严格执行上班时间，保证充足休息，避免疲劳驾驶。</w:t>
            </w:r>
          </w:p>
        </w:tc>
      </w:tr>
      <w:tr w14:paraId="224D8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3ED5A6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8A30B59">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BFCA7E6">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D31D7D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2、学习并掌握垃圾收转运途中的重大交通安全风险点位，并按照规定路线、管控措施要求行驶、作业。</w:t>
            </w:r>
          </w:p>
        </w:tc>
      </w:tr>
      <w:tr w14:paraId="0874B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CF98EFB">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7BE0F22">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1AF550C">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48A7E1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3、严格落实车辆“三检”表，对出车前、中、后进行检查，并填写记录，杜绝车辆带病运行。</w:t>
            </w:r>
          </w:p>
        </w:tc>
      </w:tr>
      <w:tr w14:paraId="09D3C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E3325C1">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0B5FF9C">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9247AF6">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6060C6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4、杜绝”三违“行为和“交通安全‘红线’行为。</w:t>
            </w:r>
          </w:p>
        </w:tc>
      </w:tr>
      <w:tr w14:paraId="54F33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E2AF425">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FD15119">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CC369D8">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8261FC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5、对作业区域内影响驾驶、车辆停放的垃圾桶点，向乡镇作业中心经理进行汇报，确保点位作业安全；</w:t>
            </w:r>
          </w:p>
        </w:tc>
      </w:tr>
      <w:tr w14:paraId="25B80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892F55E">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31A8F46">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EEB6BFD">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F599FC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6、保持车容车貌干净，车况良好，GPS、车内摄像头、倒车影像、倒车喇叭等安全附件能正常使用。</w:t>
            </w:r>
          </w:p>
        </w:tc>
      </w:tr>
      <w:tr w14:paraId="442D5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56C2939">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79CFB99">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9CED620">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450572A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7、严禁将车辆交与他人驾驶，车辆驾驶员替换需要部门经理批准。</w:t>
            </w:r>
          </w:p>
        </w:tc>
      </w:tr>
      <w:tr w14:paraId="673D4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F52C8F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ED1CC66">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89735B9">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4343F4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8、按照公司规定，将车辆停放在固定位置。</w:t>
            </w:r>
          </w:p>
        </w:tc>
      </w:tr>
      <w:tr w14:paraId="2B1E7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3D18AA9">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56FF6E4">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4626EF2">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59CE66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9、遵守交通规则。</w:t>
            </w:r>
          </w:p>
        </w:tc>
      </w:tr>
      <w:tr w14:paraId="01882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802A4C3">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1143F69">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D6F4D58">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C7FEA8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10、参加公司组织的各项安全培训。</w:t>
            </w:r>
          </w:p>
        </w:tc>
      </w:tr>
      <w:tr w14:paraId="1EE4D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34C8B93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16</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75F4627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52F072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挂桶工</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0020C0C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1、杜绝”三违“行为和“交通安全‘红线’行为。</w:t>
            </w:r>
          </w:p>
        </w:tc>
      </w:tr>
      <w:tr w14:paraId="7C7F7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59BE1E7">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32752A5">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DBBAEB8">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42EEC8A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2、禁止挂桶工横穿主干道、机动车道拖桶作业。</w:t>
            </w:r>
          </w:p>
        </w:tc>
      </w:tr>
      <w:tr w14:paraId="6CEDC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72A98B8">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345F078">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A6B8A85">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397521F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3、禁止车辆行驶时，人员悬挂车外。</w:t>
            </w:r>
          </w:p>
        </w:tc>
      </w:tr>
      <w:tr w14:paraId="47A89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3917564">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8617D63">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409E3F2">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9B96829">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4、参加公司组织的各项安全培训。</w:t>
            </w:r>
          </w:p>
        </w:tc>
      </w:tr>
      <w:tr w14:paraId="2FAE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restart"/>
            <w:tcBorders>
              <w:top w:val="single" w:color="000000" w:sz="4" w:space="0"/>
              <w:left w:val="single" w:color="000000" w:sz="4" w:space="0"/>
              <w:bottom w:val="single" w:color="000000" w:sz="4" w:space="0"/>
              <w:right w:val="single" w:color="000000" w:sz="4" w:space="0"/>
            </w:tcBorders>
            <w:shd w:val="clear"/>
            <w:vAlign w:val="center"/>
          </w:tcPr>
          <w:p w14:paraId="4C2055C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17</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50E147F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生产运营部</w:t>
            </w:r>
          </w:p>
        </w:tc>
        <w:tc>
          <w:tcPr>
            <w:tcW w:w="1080" w:type="dxa"/>
            <w:vMerge w:val="restart"/>
            <w:tcBorders>
              <w:top w:val="single" w:color="000000" w:sz="4" w:space="0"/>
              <w:left w:val="single" w:color="000000" w:sz="4" w:space="0"/>
              <w:bottom w:val="single" w:color="000000" w:sz="4" w:space="0"/>
              <w:right w:val="single" w:color="000000" w:sz="4" w:space="0"/>
            </w:tcBorders>
            <w:shd w:val="clear"/>
            <w:vAlign w:val="center"/>
          </w:tcPr>
          <w:p w14:paraId="27E1C6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生产文员</w:t>
            </w: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5107639B">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1、驾驶员“三检表”的归档。</w:t>
            </w:r>
          </w:p>
        </w:tc>
      </w:tr>
      <w:tr w14:paraId="7D460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1281CEB">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992BE64">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3E5186B">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11E1A91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2、开展沿道路设置的垃圾桶点等点位安全评估的现场检查评估记录，如整改单、调整前后照片等。</w:t>
            </w:r>
          </w:p>
        </w:tc>
      </w:tr>
      <w:tr w14:paraId="29DC3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0520D58">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A75C998">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DC7B3AD">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6B19306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3、排查和优化行车线路，车辆就近桶点停放的现场检查评估记录，如整改单、调整前后照片等。</w:t>
            </w:r>
          </w:p>
        </w:tc>
      </w:tr>
      <w:tr w14:paraId="4C857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After w:w="0" w:type="auto"/>
          <w:trHeight w:val="680" w:hRule="atLeast"/>
        </w:trPr>
        <w:tc>
          <w:tcPr>
            <w:tcW w:w="653"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0F71FA3">
            <w:pPr>
              <w:jc w:val="center"/>
              <w:rPr>
                <w:rFonts w:hint="eastAsia" w:ascii="宋体" w:hAnsi="宋体" w:eastAsia="宋体" w:cs="宋体"/>
                <w:i w:val="0"/>
                <w:iCs w:val="0"/>
                <w:color w:val="000000"/>
                <w:sz w:val="21"/>
                <w:szCs w:val="21"/>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1E5565C">
            <w:pPr>
              <w:jc w:val="center"/>
              <w:rPr>
                <w:rFonts w:hint="eastAsia" w:ascii="宋体" w:hAnsi="宋体" w:eastAsia="宋体" w:cs="宋体"/>
                <w:b/>
                <w:bCs/>
                <w:i w:val="0"/>
                <w:iCs w:val="0"/>
                <w:color w:val="000000"/>
                <w:sz w:val="22"/>
                <w:szCs w:val="22"/>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9AAB3D1">
            <w:pPr>
              <w:jc w:val="center"/>
              <w:rPr>
                <w:rFonts w:hint="eastAsia" w:ascii="宋体" w:hAnsi="宋体" w:eastAsia="宋体" w:cs="宋体"/>
                <w:i w:val="0"/>
                <w:iCs w:val="0"/>
                <w:color w:val="000000"/>
                <w:sz w:val="22"/>
                <w:szCs w:val="22"/>
                <w:u w:val="none"/>
              </w:rPr>
            </w:pPr>
          </w:p>
        </w:tc>
        <w:tc>
          <w:tcPr>
            <w:tcW w:w="11880" w:type="dxa"/>
            <w:tcBorders>
              <w:top w:val="single" w:color="000000" w:sz="4" w:space="0"/>
              <w:left w:val="single" w:color="000000" w:sz="4" w:space="0"/>
              <w:bottom w:val="single" w:color="000000" w:sz="4" w:space="0"/>
              <w:right w:val="single" w:color="000000" w:sz="4" w:space="0"/>
            </w:tcBorders>
            <w:shd w:val="clear"/>
            <w:vAlign w:val="center"/>
          </w:tcPr>
          <w:p w14:paraId="77DBC99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bdr w:val="none" w:color="auto" w:sz="0" w:space="0"/>
                <w:lang w:val="en-US" w:eastAsia="zh-CN" w:bidi="ar"/>
              </w:rPr>
              <w:t>4、参加公司组织的各项安全培训。</w:t>
            </w:r>
          </w:p>
        </w:tc>
      </w:tr>
    </w:tbl>
    <w:p w14:paraId="459C98FE">
      <w:pPr>
        <w:ind w:right="44" w:rightChars="20" w:firstLine="576" w:firstLineChars="206"/>
        <w:jc w:val="left"/>
        <w:rPr>
          <w:rFonts w:hint="default" w:ascii="仿宋" w:hAnsi="仿宋" w:eastAsia="仿宋" w:cs="宋体"/>
          <w:sz w:val="28"/>
          <w:szCs w:val="28"/>
          <w:lang w:val="en-US" w:eastAsia="zh-CN" w:bidi="zh-CN"/>
        </w:rPr>
      </w:pPr>
    </w:p>
    <w:sectPr>
      <w:pgSz w:w="16838" w:h="11906" w:orient="landscape"/>
      <w:pgMar w:top="1588" w:right="1985" w:bottom="1474" w:left="1985"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D5DFC">
    <w:pPr>
      <w:pStyle w:val="2"/>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3698240</wp:posOffset>
              </wp:positionH>
              <wp:positionV relativeFrom="page">
                <wp:posOffset>9479915</wp:posOffset>
              </wp:positionV>
              <wp:extent cx="167005" cy="1524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67005" cy="152400"/>
                      </a:xfrm>
                      <a:prstGeom prst="rect">
                        <a:avLst/>
                      </a:prstGeom>
                      <a:noFill/>
                      <a:ln>
                        <a:noFill/>
                      </a:ln>
                    </wps:spPr>
                    <wps:txbx>
                      <w:txbxContent>
                        <w:p w14:paraId="79D5A5E0">
                          <w:pPr>
                            <w:spacing w:before="12"/>
                            <w:ind w:left="40"/>
                            <w:rPr>
                              <w:rFonts w:ascii="Times New Roman"/>
                              <w:sz w:val="18"/>
                            </w:rPr>
                          </w:pPr>
                          <w:r>
                            <w:fldChar w:fldCharType="begin"/>
                          </w:r>
                          <w:r>
                            <w:rPr>
                              <w:rFonts w:ascii="Times New Roman"/>
                              <w:sz w:val="18"/>
                            </w:rPr>
                            <w:instrText xml:space="preserve"> PAGE </w:instrText>
                          </w:r>
                          <w:r>
                            <w:fldChar w:fldCharType="separate"/>
                          </w:r>
                          <w:r>
                            <w:t>20</w:t>
                          </w:r>
                          <w:r>
                            <w:fldChar w:fldCharType="end"/>
                          </w:r>
                        </w:p>
                      </w:txbxContent>
                    </wps:txbx>
                    <wps:bodyPr lIns="0" tIns="0" rIns="0" bIns="0" upright="1"/>
                  </wps:wsp>
                </a:graphicData>
              </a:graphic>
            </wp:anchor>
          </w:drawing>
        </mc:Choice>
        <mc:Fallback>
          <w:pict>
            <v:shape id="_x0000_s1026" o:spid="_x0000_s1026" o:spt="202" type="#_x0000_t202" style="position:absolute;left:0pt;margin-left:291.2pt;margin-top:746.45pt;height:12pt;width:13.15pt;mso-position-horizontal-relative:page;mso-position-vertical-relative:page;z-index:-251657216;mso-width-relative:page;mso-height-relative:page;" filled="f" stroked="f" coordsize="21600,21600" o:gfxdata="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VMRm69sAAAANAQAADwAAAAAAAAABACAAAAAiAAAAZHJzL2Rvd25yZXYueG1sUEsB&#10;AhQAFAAAAAgAh07iQNn5S3C5AQAAcQMAAA4AAAAAAAAAAQAgAAAAKgEAAGRycy9lMm9Eb2MueG1s&#10;UEsFBgAAAAAGAAYAWQEAAFUFAAAAAA==&#10;">
              <v:fill on="f" focussize="0,0"/>
              <v:stroke on="f"/>
              <v:imagedata o:title=""/>
              <o:lock v:ext="edit" aspectratio="f"/>
              <v:textbox inset="0mm,0mm,0mm,0mm">
                <w:txbxContent>
                  <w:p w14:paraId="79D5A5E0">
                    <w:pPr>
                      <w:spacing w:before="12"/>
                      <w:ind w:left="40"/>
                      <w:rPr>
                        <w:rFonts w:ascii="Times New Roman"/>
                        <w:sz w:val="18"/>
                      </w:rPr>
                    </w:pPr>
                    <w:r>
                      <w:fldChar w:fldCharType="begin"/>
                    </w:r>
                    <w:r>
                      <w:rPr>
                        <w:rFonts w:ascii="Times New Roman"/>
                        <w:sz w:val="18"/>
                      </w:rPr>
                      <w:instrText xml:space="preserve"> PAGE </w:instrText>
                    </w:r>
                    <w:r>
                      <w:fldChar w:fldCharType="separate"/>
                    </w:r>
                    <w:r>
                      <w:t>20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7FFA0">
    <w:pPr>
      <w:pStyle w:val="2"/>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hMGE2YjQ0MDBlNjRiZjAxOTgyNGFjYjQ1NDNmNGUifQ=="/>
    <w:docVar w:name="KSO_WPS_MARK_KEY" w:val="2d4dd9b6-d232-495f-9300-5497ea7f076b"/>
  </w:docVars>
  <w:rsids>
    <w:rsidRoot w:val="2D0B719B"/>
    <w:rsid w:val="00044BB1"/>
    <w:rsid w:val="001D41A2"/>
    <w:rsid w:val="003117EA"/>
    <w:rsid w:val="005A7976"/>
    <w:rsid w:val="005F6186"/>
    <w:rsid w:val="00603FA8"/>
    <w:rsid w:val="007B22A7"/>
    <w:rsid w:val="00824735"/>
    <w:rsid w:val="00AB182A"/>
    <w:rsid w:val="00B012D6"/>
    <w:rsid w:val="00BA1DAC"/>
    <w:rsid w:val="00C137D0"/>
    <w:rsid w:val="00CE3FA4"/>
    <w:rsid w:val="00E359E0"/>
    <w:rsid w:val="00E67DA8"/>
    <w:rsid w:val="00ED01EC"/>
    <w:rsid w:val="01F31011"/>
    <w:rsid w:val="02796F83"/>
    <w:rsid w:val="02DE5ECF"/>
    <w:rsid w:val="03E621FD"/>
    <w:rsid w:val="04137DFA"/>
    <w:rsid w:val="04683B1B"/>
    <w:rsid w:val="0691019B"/>
    <w:rsid w:val="0717375D"/>
    <w:rsid w:val="081B54CF"/>
    <w:rsid w:val="09E62C41"/>
    <w:rsid w:val="0A5B672B"/>
    <w:rsid w:val="0EEA668C"/>
    <w:rsid w:val="13A371F9"/>
    <w:rsid w:val="15E92C87"/>
    <w:rsid w:val="17654071"/>
    <w:rsid w:val="180E295A"/>
    <w:rsid w:val="204C32C9"/>
    <w:rsid w:val="204E7D85"/>
    <w:rsid w:val="23203656"/>
    <w:rsid w:val="238910E7"/>
    <w:rsid w:val="24F02BE8"/>
    <w:rsid w:val="251946ED"/>
    <w:rsid w:val="2A9D6519"/>
    <w:rsid w:val="2ACF1750"/>
    <w:rsid w:val="2B3F70BA"/>
    <w:rsid w:val="2C6721E1"/>
    <w:rsid w:val="2CDB5B55"/>
    <w:rsid w:val="2D0B719B"/>
    <w:rsid w:val="31AF440F"/>
    <w:rsid w:val="32EC45EB"/>
    <w:rsid w:val="35B53FBD"/>
    <w:rsid w:val="3A241712"/>
    <w:rsid w:val="3A7E0E22"/>
    <w:rsid w:val="3A7E519E"/>
    <w:rsid w:val="3AF220C0"/>
    <w:rsid w:val="41B572A1"/>
    <w:rsid w:val="460D47A6"/>
    <w:rsid w:val="492D2391"/>
    <w:rsid w:val="4ED567A5"/>
    <w:rsid w:val="53733096"/>
    <w:rsid w:val="5413185C"/>
    <w:rsid w:val="58A42DCA"/>
    <w:rsid w:val="59A0095D"/>
    <w:rsid w:val="5AA9097C"/>
    <w:rsid w:val="5D4C110A"/>
    <w:rsid w:val="5E3653EC"/>
    <w:rsid w:val="60083CD6"/>
    <w:rsid w:val="628506F0"/>
    <w:rsid w:val="640A0063"/>
    <w:rsid w:val="64713622"/>
    <w:rsid w:val="65E971E8"/>
    <w:rsid w:val="67102F79"/>
    <w:rsid w:val="68127E5F"/>
    <w:rsid w:val="69643755"/>
    <w:rsid w:val="69B813AB"/>
    <w:rsid w:val="6B2F38EF"/>
    <w:rsid w:val="6BD050D2"/>
    <w:rsid w:val="6D8D7672"/>
    <w:rsid w:val="6E331948"/>
    <w:rsid w:val="719976A7"/>
    <w:rsid w:val="72D82ABE"/>
    <w:rsid w:val="75520893"/>
    <w:rsid w:val="75A1188D"/>
    <w:rsid w:val="770F4B3A"/>
    <w:rsid w:val="776D7D2C"/>
    <w:rsid w:val="77E37AD6"/>
    <w:rsid w:val="7A6169DA"/>
    <w:rsid w:val="7AB636E5"/>
    <w:rsid w:val="7B542EFE"/>
    <w:rsid w:val="7C02125B"/>
    <w:rsid w:val="7D782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1"/>
    <w:rPr>
      <w:sz w:val="24"/>
      <w:szCs w:val="24"/>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p0"/>
    <w:basedOn w:val="1"/>
    <w:qFormat/>
    <w:uiPriority w:val="0"/>
    <w:pPr>
      <w:widowControl/>
    </w:pPr>
    <w:rPr>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449</Words>
  <Characters>467</Characters>
  <Lines>4</Lines>
  <Paragraphs>1</Paragraphs>
  <TotalTime>21</TotalTime>
  <ScaleCrop>false</ScaleCrop>
  <LinksUpToDate>false</LinksUpToDate>
  <CharactersWithSpaces>476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2022-11-12T23:56:00Z</dcterms:created>
  <dc:creator>崔栋</dc:creator>
  <cp:lastModifiedBy>随遇而安</cp:lastModifiedBy>
  <cp:lastPrinted>2022-12-05T05:42:00Z</cp:lastPrinted>
  <dcterms:modified xsi:type="dcterms:W3CDTF">2025-08-20T06:38:38Z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E4B72126BE6B402386B105D090976953</vt:lpwstr>
  </property>
  <property fmtid="{D5CDD505-2E9C-101B-9397-08002B2CF9AE}" pid="4" name="KSOTemplateDocerSaveRecord">
    <vt:lpwstr>eyJoZGlkIjoiNjUwYjk3MzY4MWU1OTJlMmJkOTQwNTJkYTBlZmNiMTMiLCJ1c2VySWQiOiI4MDkyMjY1NDIifQ==</vt:lpwstr>
  </property>
</Properties>
</file>