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408CE">
      <w:pPr>
        <w:jc w:val="center"/>
        <w:rPr>
          <w:rFonts w:hint="default" w:ascii="方正小标宋_GBK" w:hAnsi="方正小标宋_GBK" w:eastAsia="方正小标宋_GBK" w:cs="方正小标宋_GBK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val="en-US" w:eastAsia="zh-CN"/>
        </w:rPr>
        <w:t>山东区域关于集团五项活动落实要求的通知</w:t>
      </w:r>
    </w:p>
    <w:p w14:paraId="66DE7F50">
      <w:pPr>
        <w:pStyle w:val="2"/>
        <w:numPr>
          <w:ilvl w:val="0"/>
          <w:numId w:val="0"/>
        </w:numPr>
        <w:spacing w:before="1" w:line="229" w:lineRule="auto"/>
        <w:ind w:firstLine="652" w:firstLineChars="200"/>
        <w:outlineLvl w:val="1"/>
        <w:rPr>
          <w:rFonts w:hint="eastAsia"/>
          <w:b w:val="0"/>
          <w:bCs w:val="0"/>
          <w:spacing w:val="3"/>
          <w:sz w:val="32"/>
          <w:szCs w:val="32"/>
          <w:lang w:val="en-US" w:eastAsia="zh-CN"/>
        </w:rPr>
      </w:pPr>
    </w:p>
    <w:p w14:paraId="7AD19383">
      <w:pPr>
        <w:pStyle w:val="2"/>
        <w:numPr>
          <w:ilvl w:val="0"/>
          <w:numId w:val="0"/>
        </w:numPr>
        <w:spacing w:before="1" w:line="229" w:lineRule="auto"/>
        <w:ind w:firstLine="652" w:firstLineChars="200"/>
        <w:outlineLvl w:val="1"/>
        <w:rPr>
          <w:rFonts w:hint="eastAsia"/>
          <w:b w:val="0"/>
          <w:bCs w:val="0"/>
          <w:spacing w:val="3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pacing w:val="3"/>
          <w:sz w:val="32"/>
          <w:szCs w:val="32"/>
          <w:lang w:val="en-US" w:eastAsia="zh-CN"/>
        </w:rPr>
        <w:t>为深入贯彻落实集团五项重点活动要求，全面推动环卫行业安全主动性，确保山东区域年度重点任务圆满完成，现就相关工作进一步明确工作要求，有关事项通知如下：</w:t>
      </w:r>
    </w:p>
    <w:p w14:paraId="0493E7AD">
      <w:pPr>
        <w:pStyle w:val="2"/>
        <w:numPr>
          <w:ilvl w:val="0"/>
          <w:numId w:val="1"/>
        </w:numPr>
        <w:spacing w:before="1" w:line="229" w:lineRule="auto"/>
        <w:ind w:left="40"/>
        <w:outlineLvl w:val="1"/>
        <w:rPr>
          <w:rFonts w:hint="eastAsia" w:ascii="黑体" w:hAnsi="黑体" w:eastAsia="黑体" w:cs="黑体"/>
          <w:b/>
          <w:bCs/>
          <w:spacing w:val="3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3"/>
          <w:sz w:val="32"/>
          <w:szCs w:val="32"/>
          <w:lang w:val="en-US" w:eastAsia="zh-CN"/>
        </w:rPr>
        <w:t>全员安全生产责任制</w:t>
      </w:r>
    </w:p>
    <w:p w14:paraId="67720A07">
      <w:pPr>
        <w:pStyle w:val="2"/>
        <w:numPr>
          <w:ilvl w:val="0"/>
          <w:numId w:val="0"/>
        </w:numPr>
        <w:spacing w:before="1" w:line="229" w:lineRule="auto"/>
        <w:ind w:firstLine="652" w:firstLineChars="200"/>
        <w:outlineLvl w:val="1"/>
        <w:rPr>
          <w:rFonts w:hint="eastAsia"/>
          <w:b w:val="0"/>
          <w:bCs w:val="0"/>
          <w:spacing w:val="3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pacing w:val="3"/>
          <w:sz w:val="32"/>
          <w:szCs w:val="32"/>
          <w:lang w:val="en-US" w:eastAsia="zh-CN"/>
        </w:rPr>
        <w:t>1.全员安全生产责任制建立范围须覆盖所有岗位，确保横向到边、纵向到底，对于内容涵盖不全的项目必须更新；</w:t>
      </w:r>
    </w:p>
    <w:p w14:paraId="04ED1259">
      <w:pPr>
        <w:pStyle w:val="2"/>
        <w:numPr>
          <w:ilvl w:val="0"/>
          <w:numId w:val="0"/>
        </w:numPr>
        <w:spacing w:before="1" w:line="229" w:lineRule="auto"/>
        <w:ind w:firstLine="652" w:firstLineChars="200"/>
        <w:outlineLvl w:val="1"/>
        <w:rPr>
          <w:rFonts w:hint="eastAsia"/>
          <w:b w:val="0"/>
          <w:bCs w:val="0"/>
          <w:spacing w:val="3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pacing w:val="3"/>
          <w:sz w:val="32"/>
          <w:szCs w:val="32"/>
          <w:lang w:val="en-US" w:eastAsia="zh-CN"/>
        </w:rPr>
        <w:t>2.岗位职责的制定必须突出针对性与差异性，坚决杜绝照搬照抄，不同岗位安全责任相同现象。紧密结合岗位的业务特点工作内容，量身定制相应的责任条款；</w:t>
      </w:r>
    </w:p>
    <w:p w14:paraId="659D8050">
      <w:pPr>
        <w:pStyle w:val="2"/>
        <w:numPr>
          <w:ilvl w:val="0"/>
          <w:numId w:val="1"/>
        </w:numPr>
        <w:spacing w:before="1" w:line="229" w:lineRule="auto"/>
        <w:ind w:left="40"/>
        <w:outlineLvl w:val="1"/>
        <w:rPr>
          <w:rFonts w:hint="eastAsia" w:ascii="黑体" w:hAnsi="黑体" w:eastAsia="黑体" w:cs="黑体"/>
          <w:b/>
          <w:bCs/>
          <w:spacing w:val="3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3"/>
          <w:sz w:val="32"/>
          <w:szCs w:val="32"/>
          <w:lang w:val="en-US" w:eastAsia="zh-CN"/>
        </w:rPr>
        <w:t>操作规程</w:t>
      </w:r>
    </w:p>
    <w:p w14:paraId="4B435938">
      <w:pPr>
        <w:pStyle w:val="2"/>
        <w:numPr>
          <w:ilvl w:val="0"/>
          <w:numId w:val="0"/>
        </w:numPr>
        <w:spacing w:before="1" w:line="229" w:lineRule="auto"/>
        <w:ind w:firstLine="652" w:firstLineChars="200"/>
        <w:outlineLvl w:val="1"/>
        <w:rPr>
          <w:rFonts w:hint="eastAsia"/>
          <w:b w:val="0"/>
          <w:bCs w:val="0"/>
          <w:spacing w:val="3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pacing w:val="3"/>
          <w:sz w:val="32"/>
          <w:szCs w:val="32"/>
          <w:lang w:val="en-US" w:eastAsia="zh-CN"/>
        </w:rPr>
        <w:t>1.各项目须对现有操作规程进行自查修订，修订工作须立足本项目具体实践，杜绝直接照搬集团条款，确保操作规程简洁、明了、高效；</w:t>
      </w:r>
    </w:p>
    <w:p w14:paraId="2D4959AC">
      <w:pPr>
        <w:ind w:firstLine="652" w:firstLineChars="200"/>
        <w:jc w:val="both"/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  <w:t>2.各项目11月7日前，完成岗位操作卡的编制与配发工作。车辆、设备操作卡张贴至车身设备上（固定设备可张贴至就近醒目位置），小型机具等无法张贴的，制作随身操作卡操作人员随身携带。操作卡规格按使用场景统一标准：随身卡：规</w:t>
      </w:r>
      <w:r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highlight w:val="none"/>
          <w:lang w:val="en-US" w:eastAsia="zh-CN" w:bidi="ar-SA"/>
        </w:rPr>
        <w:t>格为9cm*11cm（塑封）；</w:t>
      </w:r>
      <w:r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  <w:t>车辆上或设备上规格统一为40cm（宽）×60cm（高）；转运站压缩设备或其他固定设备规格统一为：60cm（宽）×90cm（高）。</w:t>
      </w:r>
    </w:p>
    <w:p w14:paraId="29F2C7FA">
      <w:pPr>
        <w:pStyle w:val="2"/>
        <w:numPr>
          <w:ilvl w:val="0"/>
          <w:numId w:val="1"/>
        </w:numPr>
        <w:spacing w:before="1" w:line="229" w:lineRule="auto"/>
        <w:ind w:left="40"/>
        <w:outlineLvl w:val="1"/>
        <w:rPr>
          <w:rFonts w:hint="eastAsia" w:ascii="黑体" w:hAnsi="黑体" w:eastAsia="黑体" w:cs="黑体"/>
          <w:b/>
          <w:bCs/>
          <w:spacing w:val="3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3"/>
          <w:sz w:val="32"/>
          <w:szCs w:val="32"/>
          <w:lang w:val="en-US" w:eastAsia="zh-CN"/>
        </w:rPr>
        <w:t>培训矩阵</w:t>
      </w:r>
    </w:p>
    <w:p w14:paraId="5AF81980">
      <w:pPr>
        <w:ind w:firstLine="652" w:firstLineChars="200"/>
        <w:jc w:val="both"/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  <w:t>1.精心策划对不同人员的培训内容，培训结束后组织考试（考核可根据不同岗位设置不同题型，管理岗设置选择题，作业岗可设置判断题）。首次考核不合格者，允许参加一次补考；补考仍不合格者，公司将根据实际情况对其进行岗位调整或优化；</w:t>
      </w:r>
    </w:p>
    <w:p w14:paraId="0464C13B">
      <w:pPr>
        <w:ind w:firstLine="652" w:firstLineChars="200"/>
        <w:jc w:val="both"/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  <w:t>2.对于一线岗位员工，可采用简化的考核形式，例如由主考人逐题宣读、考生以判断对错方式作答。但其考核不通过的处理流程，须严格按照第一条规定执行。</w:t>
      </w:r>
    </w:p>
    <w:p w14:paraId="4E02DEBE">
      <w:pPr>
        <w:pStyle w:val="2"/>
        <w:numPr>
          <w:ilvl w:val="0"/>
          <w:numId w:val="1"/>
        </w:numPr>
        <w:spacing w:before="1" w:line="229" w:lineRule="auto"/>
        <w:ind w:left="40"/>
        <w:outlineLvl w:val="1"/>
        <w:rPr>
          <w:rFonts w:hint="eastAsia" w:ascii="黑体" w:hAnsi="黑体" w:eastAsia="黑体" w:cs="黑体"/>
          <w:b/>
          <w:bCs/>
          <w:spacing w:val="3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3"/>
          <w:sz w:val="32"/>
          <w:szCs w:val="32"/>
          <w:lang w:val="en-US" w:eastAsia="zh-CN"/>
        </w:rPr>
        <w:t>隐患排查</w:t>
      </w:r>
    </w:p>
    <w:p w14:paraId="2DAC167A">
      <w:pPr>
        <w:numPr>
          <w:ilvl w:val="0"/>
          <w:numId w:val="0"/>
        </w:numPr>
        <w:ind w:firstLine="652" w:firstLineChars="200"/>
        <w:jc w:val="both"/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  <w:t>1.推行分岗位、分层级的隐患排查机制，并与现有网格管理体系深度融合。各级网格长须承担相应的隐患排查量化责任，其中，总网格长、一级网格长、二级网格长、三级网格长的月度最低隐患排查数量比例应设定为1:2:3:4，以确保责任层层传导，检查全覆盖；</w:t>
      </w:r>
    </w:p>
    <w:p w14:paraId="17B12A20">
      <w:pPr>
        <w:numPr>
          <w:ilvl w:val="0"/>
          <w:numId w:val="0"/>
        </w:numPr>
        <w:ind w:firstLine="652" w:firstLineChars="200"/>
        <w:jc w:val="both"/>
        <w:rPr>
          <w:rFonts w:hint="default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</w:pPr>
      <w:r>
        <w:rPr>
          <w:rFonts w:hint="default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  <w:t>2</w:t>
      </w:r>
      <w:r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  <w:t>.片区长及班组长必须具备过硬的安全管理专业素质与风险辨识、隐患排查能力。安环管理部负责人负责对各片区长和班组长进行培训，确保能力达标，队伍无法胜任工作的予以调岗；</w:t>
      </w:r>
    </w:p>
    <w:p w14:paraId="38F57684">
      <w:pPr>
        <w:numPr>
          <w:ilvl w:val="0"/>
          <w:numId w:val="0"/>
        </w:numPr>
        <w:ind w:firstLine="652" w:firstLineChars="200"/>
        <w:jc w:val="both"/>
        <w:rPr>
          <w:rFonts w:hint="default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</w:pPr>
      <w:r>
        <w:rPr>
          <w:rFonts w:hint="default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  <w:t>3</w:t>
      </w:r>
      <w:r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  <w:t>.现场隐患排查必须坚持实事求是的原则，坚决杜绝浮于表面、流于形式的检查。对于发现的隐患，要建立台账、明确责任、限时整改，并确保整改措施彻底有效，形成闭环管理，严防同类问题反复发生。</w:t>
      </w:r>
    </w:p>
    <w:p w14:paraId="4A26B6B4">
      <w:pPr>
        <w:pStyle w:val="2"/>
        <w:numPr>
          <w:ilvl w:val="0"/>
          <w:numId w:val="1"/>
        </w:numPr>
        <w:spacing w:before="1" w:line="229" w:lineRule="auto"/>
        <w:ind w:left="40"/>
        <w:outlineLvl w:val="1"/>
        <w:rPr>
          <w:rFonts w:hint="eastAsia" w:ascii="黑体" w:hAnsi="黑体" w:eastAsia="黑体" w:cs="黑体"/>
          <w:b/>
          <w:bCs/>
          <w:spacing w:val="3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3"/>
          <w:sz w:val="32"/>
          <w:szCs w:val="32"/>
          <w:lang w:val="en-US" w:eastAsia="zh-CN"/>
        </w:rPr>
        <w:t>交通专项</w:t>
      </w:r>
    </w:p>
    <w:p w14:paraId="306BB83E">
      <w:pPr>
        <w:numPr>
          <w:ilvl w:val="0"/>
          <w:numId w:val="0"/>
        </w:numPr>
        <w:ind w:firstLine="652" w:firstLineChars="200"/>
        <w:jc w:val="both"/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  <w:t>1.</w:t>
      </w:r>
      <w:r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  <w:t>聚焦收转运车辆路途风险点，重点排查车辆行驶路线中的急弯、陡坡、视线盲区等危险路段，制定针对性绕行或警示方案，每两月对路途风险点台账进行一次更新，确保车辆行驶安全；</w:t>
      </w:r>
    </w:p>
    <w:p w14:paraId="423015BA">
      <w:pPr>
        <w:numPr>
          <w:ilvl w:val="0"/>
          <w:numId w:val="0"/>
        </w:numPr>
        <w:ind w:firstLine="652" w:firstLineChars="200"/>
        <w:jc w:val="both"/>
        <w:rPr>
          <w:rFonts w:hint="default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</w:pPr>
      <w:r>
        <w:rPr>
          <w:rFonts w:hint="default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  <w:t>2</w:t>
      </w:r>
      <w:r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  <w:t>.</w:t>
      </w:r>
      <w:r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  <w:t>持续开展驾驶员安全教育培训，每日班前安全教育，每月进行专项培训，每季度开展防御性驾驶与应急处置演练，杜绝疲劳驾驶、超速行驶等违规行为；</w:t>
      </w:r>
    </w:p>
    <w:p w14:paraId="3839044E">
      <w:pPr>
        <w:numPr>
          <w:ilvl w:val="0"/>
          <w:numId w:val="0"/>
        </w:numPr>
        <w:ind w:firstLine="652" w:firstLineChars="200"/>
        <w:jc w:val="both"/>
        <w:rPr>
          <w:rFonts w:hint="default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</w:pPr>
      <w:r>
        <w:rPr>
          <w:rFonts w:hint="default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  <w:t>3</w:t>
      </w:r>
      <w:r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  <w:t>.</w:t>
      </w:r>
      <w:r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  <w:t>落实每日三违检查制度，留存检查记录备查，建立车辆动态监控系统，实时掌握车速、轨迹及停留情况，发现异常及时预警处置，明确片区经理及班组长为职责主体，检查情况须每周一完成汇总，并编制与提交上周检查报告。</w:t>
      </w:r>
    </w:p>
    <w:p w14:paraId="05808B66">
      <w:pPr>
        <w:ind w:firstLine="652" w:firstLineChars="200"/>
        <w:jc w:val="both"/>
        <w:rPr>
          <w:rFonts w:hint="default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</w:pPr>
    </w:p>
    <w:p w14:paraId="4D5054B8">
      <w:pPr>
        <w:ind w:firstLine="652" w:firstLineChars="200"/>
        <w:jc w:val="right"/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</w:pPr>
      <w:bookmarkStart w:id="0" w:name="_GoBack"/>
      <w:bookmarkEnd w:id="0"/>
      <w:r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  <w:t>山东区域事业部安环管理部</w:t>
      </w:r>
    </w:p>
    <w:p w14:paraId="582D1E3E">
      <w:pPr>
        <w:ind w:firstLine="652" w:firstLineChars="200"/>
        <w:jc w:val="center"/>
        <w:rPr>
          <w:rFonts w:hint="default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spacing w:val="3"/>
          <w:kern w:val="2"/>
          <w:sz w:val="32"/>
          <w:szCs w:val="32"/>
          <w:lang w:val="en-US" w:eastAsia="zh-CN" w:bidi="ar-SA"/>
        </w:rPr>
        <w:t xml:space="preserve">                         2025年11月5日</w:t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2CB156"/>
    <w:multiLevelType w:val="singleLevel"/>
    <w:tmpl w:val="DE2CB15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7C07FA"/>
    <w:rsid w:val="02897931"/>
    <w:rsid w:val="0482288A"/>
    <w:rsid w:val="19B66E06"/>
    <w:rsid w:val="1A564145"/>
    <w:rsid w:val="2A9D4933"/>
    <w:rsid w:val="36AC3612"/>
    <w:rsid w:val="3E0B1409"/>
    <w:rsid w:val="3F997D03"/>
    <w:rsid w:val="4A8E6463"/>
    <w:rsid w:val="4D3857A8"/>
    <w:rsid w:val="667C07FA"/>
    <w:rsid w:val="6BAE65B9"/>
    <w:rsid w:val="726A345E"/>
    <w:rsid w:val="7702424C"/>
    <w:rsid w:val="7805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1183</Words>
  <Characters>1209</Characters>
  <Lines>0</Lines>
  <Paragraphs>0</Paragraphs>
  <TotalTime>116</TotalTime>
  <ScaleCrop>false</ScaleCrop>
  <LinksUpToDate>false</LinksUpToDate>
  <CharactersWithSpaces>1209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2025-11-04T03:44:00Z</dcterms:created>
  <dc:creator>离风</dc:creator>
  <cp:lastModifiedBy>小川</cp:lastModifiedBy>
  <dcterms:modified xsi:type="dcterms:W3CDTF">2025-11-05T04:56:10Z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AF0795A9367B40D292FC341173A18B9C_13</vt:lpwstr>
  </property>
  <property fmtid="{D5CDD505-2E9C-101B-9397-08002B2CF9AE}" pid="4" name="KSOTemplateDocerSaveRecord">
    <vt:lpwstr>eyJoZGlkIjoiMzc1MTdkNjM2YTIwNTI4YzUyNGRmODIyMzc5ZmUyYTMiLCJ1c2VySWQiOiIyNjkyMzMxODkifQ==</vt:lpwstr>
  </property>
</Properties>
</file>