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08C32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仿宋" w:hAnsi="仿宋" w:eastAsia="仿宋" w:cs="仿宋"/>
          <w:b/>
          <w:bCs/>
          <w:sz w:val="24"/>
          <w:szCs w:val="24"/>
          <w:lang w:val="en-US" w:eastAsia="zh-CN"/>
        </w:rPr>
      </w:pPr>
      <w:r>
        <w:rPr>
          <w:rFonts w:hint="eastAsia" w:ascii="仿宋" w:hAnsi="仿宋" w:eastAsia="仿宋" w:cs="仿宋"/>
          <w:b/>
          <w:bCs/>
          <w:sz w:val="32"/>
          <w:szCs w:val="32"/>
          <w:lang w:val="en-US" w:eastAsia="zh-CN"/>
        </w:rPr>
        <w:t>转运车操作规程</w:t>
      </w:r>
    </w:p>
    <w:p w14:paraId="0E0E65C4">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b/>
          <w:bCs/>
          <w:sz w:val="24"/>
          <w:szCs w:val="24"/>
          <w:lang w:val="en-US" w:eastAsia="zh-CN"/>
        </w:rPr>
      </w:pPr>
      <w:r>
        <w:rPr>
          <w:sz w:val="24"/>
        </w:rPr>
        <mc:AlternateContent>
          <mc:Choice Requires="wps">
            <w:drawing>
              <wp:anchor distT="0" distB="0" distL="114300" distR="114300" simplePos="0" relativeHeight="251659264" behindDoc="0" locked="0" layoutInCell="1" allowOverlap="1">
                <wp:simplePos x="0" y="0"/>
                <wp:positionH relativeFrom="column">
                  <wp:posOffset>2774315</wp:posOffset>
                </wp:positionH>
                <wp:positionV relativeFrom="paragraph">
                  <wp:posOffset>227330</wp:posOffset>
                </wp:positionV>
                <wp:extent cx="3602990" cy="2181225"/>
                <wp:effectExtent l="0" t="0" r="16510" b="9525"/>
                <wp:wrapNone/>
                <wp:docPr id="1" name="文本框 1"/>
                <wp:cNvGraphicFramePr/>
                <a:graphic xmlns:a="http://schemas.openxmlformats.org/drawingml/2006/main">
                  <a:graphicData uri="http://schemas.microsoft.com/office/word/2010/wordprocessingShape">
                    <wps:wsp>
                      <wps:cNvSpPr txBox="1"/>
                      <wps:spPr>
                        <a:xfrm>
                          <a:off x="3510915" y="939165"/>
                          <a:ext cx="3602990" cy="21812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C08589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图中1为大臂摇杆</w:t>
                            </w:r>
                          </w:p>
                          <w:p w14:paraId="59D323C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图中2.1、2.2按键为大架平台位移装置</w:t>
                            </w:r>
                          </w:p>
                          <w:p w14:paraId="52051E1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图中3.1、3.2按键为抱刹固定装置</w:t>
                            </w:r>
                          </w:p>
                          <w:p w14:paraId="4149FBE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在液压管连接状态时：</w:t>
                            </w:r>
                          </w:p>
                          <w:p w14:paraId="6A5BEC5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图中4.1、4.2按键为大箱后闸门使用开关。</w:t>
                            </w:r>
                          </w:p>
                          <w:p w14:paraId="0708B13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在液压管未连接状态时：</w:t>
                            </w:r>
                          </w:p>
                          <w:p w14:paraId="41439B7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仿宋" w:hAnsi="仿宋" w:eastAsia="仿宋" w:cs="仿宋"/>
                                <w:b/>
                                <w:bCs/>
                                <w:sz w:val="24"/>
                                <w:szCs w:val="24"/>
                                <w:lang w:val="en-US" w:eastAsia="zh-CN"/>
                              </w:rPr>
                            </w:pPr>
                            <w:r>
                              <w:rPr>
                                <w:rFonts w:hint="eastAsia" w:ascii="仿宋" w:hAnsi="仿宋" w:eastAsia="仿宋" w:cs="仿宋"/>
                                <w:b w:val="0"/>
                                <w:bCs w:val="0"/>
                                <w:sz w:val="24"/>
                                <w:szCs w:val="24"/>
                                <w:lang w:val="en-US" w:eastAsia="zh-CN"/>
                              </w:rPr>
                              <w:t>图中4.1、4.2按键为为车后方支撑轮升降使用按键。</w:t>
                            </w:r>
                          </w:p>
                          <w:p w14:paraId="3CBD05F9"/>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8.45pt;margin-top:17.9pt;height:171.75pt;width:283.7pt;z-index:251659264;mso-width-relative:page;mso-height-relative:page;" fillcolor="#FFFFFF [3201]" filled="t" stroked="f" coordsize="21600,21600" o:gfxdata="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hwaBO&#10;1gAAAAsBAAAPAAAAAAAAAAEAIAAAACIAAABkcnMvZG93bnJldi54bWxQSwECFAAUAAAACACHTuJA&#10;v1drSFwCAACbBAAADgAAAAAAAAABACAAAAAlAQAAZHJzL2Uyb0RvYy54bWxQSwUGAAAAAAYABgBZ&#10;AQAA8wUAAAAA&#10;">
                <v:fill on="t" focussize="0,0"/>
                <v:stroke on="f" weight="0.5pt"/>
                <v:imagedata o:title=""/>
                <o:lock v:ext="edit" aspectratio="f"/>
                <v:textbox>
                  <w:txbxContent>
                    <w:p w14:paraId="1C08589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图中1为大臂摇杆</w:t>
                      </w:r>
                    </w:p>
                    <w:p w14:paraId="59D323C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图中2.1、2.2按键为大架平台位移装置</w:t>
                      </w:r>
                    </w:p>
                    <w:p w14:paraId="52051E1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图中3.1、3.2按键为抱刹固定装置</w:t>
                      </w:r>
                    </w:p>
                    <w:p w14:paraId="4149FBE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在液压管连接状态时：</w:t>
                      </w:r>
                    </w:p>
                    <w:p w14:paraId="6A5BEC5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图中4.1、4.2按键为大箱后闸门使用开关。</w:t>
                      </w:r>
                    </w:p>
                    <w:p w14:paraId="0708B13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在液压管未连接状态时：</w:t>
                      </w:r>
                    </w:p>
                    <w:p w14:paraId="41439B7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仿宋" w:hAnsi="仿宋" w:eastAsia="仿宋" w:cs="仿宋"/>
                          <w:b/>
                          <w:bCs/>
                          <w:sz w:val="24"/>
                          <w:szCs w:val="24"/>
                          <w:lang w:val="en-US" w:eastAsia="zh-CN"/>
                        </w:rPr>
                      </w:pPr>
                      <w:r>
                        <w:rPr>
                          <w:rFonts w:hint="eastAsia" w:ascii="仿宋" w:hAnsi="仿宋" w:eastAsia="仿宋" w:cs="仿宋"/>
                          <w:b w:val="0"/>
                          <w:bCs w:val="0"/>
                          <w:sz w:val="24"/>
                          <w:szCs w:val="24"/>
                          <w:lang w:val="en-US" w:eastAsia="zh-CN"/>
                        </w:rPr>
                        <w:t>图中4.1、4.2按键为为车后方支撑轮升降使用按键。</w:t>
                      </w:r>
                    </w:p>
                    <w:p w14:paraId="3CBD05F9"/>
                  </w:txbxContent>
                </v:textbox>
              </v:shape>
            </w:pict>
          </mc:Fallback>
        </mc:AlternateContent>
      </w:r>
      <w:r>
        <w:rPr>
          <w:rFonts w:hint="eastAsia" w:ascii="仿宋" w:hAnsi="仿宋" w:eastAsia="仿宋" w:cs="仿宋"/>
          <w:b/>
          <w:bCs/>
          <w:sz w:val="24"/>
          <w:szCs w:val="24"/>
          <w:lang w:val="en-US" w:eastAsia="zh-CN"/>
        </w:rPr>
        <w:t>一、作业流程</w:t>
      </w:r>
    </w:p>
    <w:p w14:paraId="0E778E1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sz w:val="24"/>
          <w:szCs w:val="24"/>
          <w:lang w:val="en-US" w:eastAsia="zh-CN"/>
        </w:rPr>
      </w:pPr>
      <w:r>
        <w:rPr>
          <w:rFonts w:hint="eastAsia"/>
          <w:sz w:val="24"/>
          <w:szCs w:val="24"/>
          <w:lang w:val="en-US" w:eastAsia="zh-CN"/>
        </w:rPr>
        <w:drawing>
          <wp:inline distT="0" distB="0" distL="114300" distR="114300">
            <wp:extent cx="2628265" cy="1970405"/>
            <wp:effectExtent l="0" t="0" r="635" b="10795"/>
            <wp:docPr id="28" name="图片 14" descr="869da8a0bbe0baa7b50c7d1ea832a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4" descr="869da8a0bbe0baa7b50c7d1ea832a5b"/>
                    <pic:cNvPicPr>
                      <a:picLocks noChangeAspect="1"/>
                    </pic:cNvPicPr>
                  </pic:nvPicPr>
                  <pic:blipFill>
                    <a:blip r:embed="rId4"/>
                    <a:stretch>
                      <a:fillRect/>
                    </a:stretch>
                  </pic:blipFill>
                  <pic:spPr>
                    <a:xfrm>
                      <a:off x="0" y="0"/>
                      <a:ext cx="2628265" cy="1970405"/>
                    </a:xfrm>
                    <a:prstGeom prst="rect">
                      <a:avLst/>
                    </a:prstGeom>
                    <a:noFill/>
                    <a:ln>
                      <a:noFill/>
                    </a:ln>
                  </pic:spPr>
                </pic:pic>
              </a:graphicData>
            </a:graphic>
          </wp:inline>
        </w:drawing>
      </w:r>
    </w:p>
    <w:p w14:paraId="006A0B6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sz w:val="24"/>
          <w:szCs w:val="24"/>
          <w:lang w:val="en-US" w:eastAsia="zh-CN"/>
        </w:rPr>
      </w:pPr>
      <w:r>
        <w:rPr>
          <w:sz w:val="24"/>
        </w:rPr>
        <mc:AlternateContent>
          <mc:Choice Requires="wps">
            <w:drawing>
              <wp:anchor distT="0" distB="0" distL="114300" distR="114300" simplePos="0" relativeHeight="251660288" behindDoc="0" locked="0" layoutInCell="1" allowOverlap="1">
                <wp:simplePos x="0" y="0"/>
                <wp:positionH relativeFrom="column">
                  <wp:posOffset>3576955</wp:posOffset>
                </wp:positionH>
                <wp:positionV relativeFrom="paragraph">
                  <wp:posOffset>292735</wp:posOffset>
                </wp:positionV>
                <wp:extent cx="3211830" cy="1942465"/>
                <wp:effectExtent l="0" t="0" r="7620" b="635"/>
                <wp:wrapNone/>
                <wp:docPr id="3" name="文本框 3"/>
                <wp:cNvGraphicFramePr/>
                <a:graphic xmlns:a="http://schemas.openxmlformats.org/drawingml/2006/main">
                  <a:graphicData uri="http://schemas.microsoft.com/office/word/2010/wordprocessingShape">
                    <wps:wsp>
                      <wps:cNvSpPr txBox="1"/>
                      <wps:spPr>
                        <a:xfrm>
                          <a:off x="0" y="0"/>
                          <a:ext cx="3211830" cy="19424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AADC7D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液压管连接操作：</w:t>
                            </w:r>
                          </w:p>
                          <w:p w14:paraId="0D8A04B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液压管连接到大箱后，逆时针旋转手柄1和手柄2。</w:t>
                            </w:r>
                          </w:p>
                          <w:p w14:paraId="4705092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液压管断开操作：</w:t>
                            </w:r>
                          </w:p>
                          <w:p w14:paraId="3A00DB4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顺时针时针旋转手柄1和手柄2后，再将液压管与大箱断开。</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1.65pt;margin-top:23.05pt;height:152.95pt;width:252.9pt;z-index:251660288;mso-width-relative:page;mso-height-relative:page;" fillcolor="#FFFFFF [3201]" filled="t" stroked="f" coordsize="21600,21600" o:gfxdata="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e0xs3NYAAAALAQAADwAA&#10;AAAAAAABACAAAAAiAAAAZHJzL2Rvd25yZXYueG1sUEsBAhQAFAAAAAgAh07iQPSLUZtRAgAAkAQA&#10;AA4AAAAAAAAAAQAgAAAAJQEAAGRycy9lMm9Eb2MueG1sUEsFBgAAAAAGAAYAWQEAAOgFAAAAAA==&#10;">
                <v:fill on="t" focussize="0,0"/>
                <v:stroke on="f" weight="0.5pt"/>
                <v:imagedata o:title=""/>
                <o:lock v:ext="edit" aspectratio="f"/>
                <v:textbox>
                  <w:txbxContent>
                    <w:p w14:paraId="6AADC7D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液压管连接操作：</w:t>
                      </w:r>
                    </w:p>
                    <w:p w14:paraId="0D8A04B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液压管连接到大箱后，逆时针旋转手柄1和手柄2。</w:t>
                      </w:r>
                    </w:p>
                    <w:p w14:paraId="4705092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液压管断开操作：</w:t>
                      </w:r>
                    </w:p>
                    <w:p w14:paraId="3A00DB4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顺时针时针旋转手柄1和手柄2后，再将液压管与大箱断开。</w:t>
                      </w:r>
                    </w:p>
                  </w:txbxContent>
                </v:textbox>
              </v:shape>
            </w:pict>
          </mc:Fallback>
        </mc:AlternateContent>
      </w:r>
    </w:p>
    <w:p w14:paraId="2B3771E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sz w:val="24"/>
          <w:szCs w:val="24"/>
          <w:lang w:val="en-US" w:eastAsia="zh-CN"/>
        </w:rPr>
      </w:pPr>
      <w:r>
        <w:rPr>
          <w:rFonts w:hint="eastAsia"/>
          <w:sz w:val="24"/>
          <w:szCs w:val="24"/>
          <w:lang w:val="en-US" w:eastAsia="zh-CN"/>
        </w:rPr>
        <w:drawing>
          <wp:inline distT="0" distB="0" distL="114300" distR="114300">
            <wp:extent cx="3500755" cy="1969135"/>
            <wp:effectExtent l="0" t="0" r="4445" b="12065"/>
            <wp:docPr id="4" name="图片 4" descr="微信图片_2025-11-07_143448_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微信图片_2025-11-07_143448_830"/>
                    <pic:cNvPicPr>
                      <a:picLocks noChangeAspect="1"/>
                    </pic:cNvPicPr>
                  </pic:nvPicPr>
                  <pic:blipFill>
                    <a:blip r:embed="rId5"/>
                    <a:stretch>
                      <a:fillRect/>
                    </a:stretch>
                  </pic:blipFill>
                  <pic:spPr>
                    <a:xfrm>
                      <a:off x="0" y="0"/>
                      <a:ext cx="3500755" cy="1969135"/>
                    </a:xfrm>
                    <a:prstGeom prst="rect">
                      <a:avLst/>
                    </a:prstGeom>
                  </pic:spPr>
                </pic:pic>
              </a:graphicData>
            </a:graphic>
          </wp:inline>
        </w:drawing>
      </w:r>
    </w:p>
    <w:p w14:paraId="605E3D1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361" w:firstLineChars="150"/>
        <w:jc w:val="both"/>
        <w:textAlignment w:val="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1、放置空箱操作：</w:t>
      </w:r>
    </w:p>
    <w:p w14:paraId="38C9277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420" w:firstLineChars="0"/>
        <w:jc w:val="both"/>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将车辆对准平台轨道安稳停靠在大箱移动平台前方；</w:t>
      </w:r>
    </w:p>
    <w:p w14:paraId="7BC0977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420" w:firstLineChars="0"/>
        <w:jc w:val="both"/>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将液压管与大箱进行脱离；</w:t>
      </w:r>
    </w:p>
    <w:p w14:paraId="6560F6C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420" w:firstLineChars="0"/>
        <w:jc w:val="both"/>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打开驱力器液压装置,松开报刹固定装置按键“图中3.2”，操纵按键“图中2.2”向后方推动大箱至零界点；</w:t>
      </w:r>
    </w:p>
    <w:p w14:paraId="6F4F1E6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420" w:firstLineChars="0"/>
        <w:jc w:val="both"/>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向后拨动摇杆“图中1”使大臂抬升带动大箱翘起并拖拉住大箱使其后方滚轮接触到平台轨道后，在持续向后方拨动大臂慢慢将大箱推送到平台预定位置；</w:t>
      </w:r>
    </w:p>
    <w:p w14:paraId="69FF84A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420" w:firstLineChars="0"/>
        <w:jc w:val="both"/>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大箱放好进行托钩后，向前拨动摇杆“图中1”将大臂回收到初始位置。</w:t>
      </w:r>
    </w:p>
    <w:p w14:paraId="6D375E3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361" w:firstLineChars="150"/>
        <w:jc w:val="both"/>
        <w:textAlignment w:val="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2、钩箱操作：</w:t>
      </w:r>
    </w:p>
    <w:p w14:paraId="3DBBD6A1">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20" w:firstLineChars="0"/>
        <w:jc w:val="both"/>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先将车辆平稳挺靠前移动平台前方；</w:t>
      </w:r>
    </w:p>
    <w:p w14:paraId="72547B30">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20" w:firstLineChars="0"/>
        <w:jc w:val="both"/>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打开驱力器液压装置,操动按键“图中1”使大臂向后方到水平位置，再将大箱的前端连接处钩锁住。</w:t>
      </w:r>
    </w:p>
    <w:p w14:paraId="0A010934">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20" w:firstLineChars="0"/>
        <w:jc w:val="both"/>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操动按键“图中4.1”将车辆后方支撑轮落下做为支点（注：防止重箱操作车辆有翘头危险）；</w:t>
      </w:r>
    </w:p>
    <w:p w14:paraId="603A6DA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向前拨动“图中1”摇杆使大臂回升拉动大箱驶离轨道至车辆大架上，操动按键“图中3.1”开启抱刹装置，操动按键“图中4.2”将支撑轮升起。</w:t>
      </w:r>
    </w:p>
    <w:p w14:paraId="655A6536">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20" w:firstLineChars="0"/>
        <w:jc w:val="both"/>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将车上的液压管与大箱进行连接。</w:t>
      </w:r>
    </w:p>
    <w:p w14:paraId="1A9499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361" w:firstLineChars="150"/>
        <w:jc w:val="both"/>
        <w:textAlignment w:val="auto"/>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3、垃圾倾到操作：</w:t>
      </w:r>
    </w:p>
    <w:p w14:paraId="3462CB30">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20" w:firstLineChars="0"/>
        <w:jc w:val="both"/>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当车辆托运垃圾箱到指定区域存放垃圾箱时，把车辆停到指定的适当位置，拉起手刹，车辆与地锚连接固定，开始准备卸箱；</w:t>
      </w:r>
    </w:p>
    <w:p w14:paraId="11DF3F6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20" w:firstLineChars="0"/>
        <w:jc w:val="both"/>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打开驱力器液压装置总开关；</w:t>
      </w:r>
    </w:p>
    <w:p w14:paraId="55624CF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20" w:firstLineChars="0"/>
        <w:jc w:val="both"/>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确保液压管处于连接状态，抱刹装置要处于紧张状态；（注：防止大箱起降/行驶过程中带来位移危害）。</w:t>
      </w:r>
    </w:p>
    <w:p w14:paraId="76FC6FF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20" w:firstLineChars="0"/>
        <w:jc w:val="both"/>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操作按键“图中4.1”开起大箱后闸门，操纵摇杆让大臂大架带动大箱缓慢倾斜至最高点使垃倒出，作业结束后操作大臂带动大箱回复到最初位置。</w:t>
      </w:r>
    </w:p>
    <w:p w14:paraId="67221BA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outlineLvl w:val="9"/>
        <w:rPr>
          <w:rFonts w:hint="eastAsia" w:ascii="仿宋" w:hAnsi="仿宋" w:eastAsia="仿宋" w:cs="仿宋"/>
          <w:b/>
          <w:bCs/>
          <w:sz w:val="24"/>
          <w:szCs w:val="24"/>
          <w:lang w:val="en-US" w:eastAsia="zh-CN"/>
        </w:rPr>
      </w:pPr>
      <w:bookmarkStart w:id="0" w:name="_Toc16595"/>
      <w:bookmarkStart w:id="1" w:name="_Toc5402"/>
      <w:r>
        <w:rPr>
          <w:rFonts w:hint="eastAsia" w:ascii="仿宋" w:hAnsi="仿宋" w:eastAsia="仿宋" w:cs="仿宋"/>
          <w:b/>
          <w:bCs/>
          <w:kern w:val="2"/>
          <w:sz w:val="24"/>
          <w:szCs w:val="24"/>
          <w:lang w:val="en-US" w:eastAsia="zh-CN" w:bidi="ar-SA"/>
        </w:rPr>
        <w:t>二、</w:t>
      </w:r>
      <w:r>
        <w:rPr>
          <w:rFonts w:hint="eastAsia" w:ascii="仿宋" w:hAnsi="仿宋" w:eastAsia="仿宋" w:cs="仿宋"/>
          <w:b/>
          <w:bCs/>
          <w:sz w:val="24"/>
          <w:szCs w:val="24"/>
          <w:lang w:val="en-US" w:eastAsia="zh-CN"/>
        </w:rPr>
        <w:t>注意事项</w:t>
      </w:r>
      <w:bookmarkEnd w:id="0"/>
      <w:bookmarkEnd w:id="1"/>
    </w:p>
    <w:p w14:paraId="062D9F6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1.出车前</w:t>
      </w:r>
    </w:p>
    <w:p w14:paraId="42E3A98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除按底盘使用说明书规定的要求进行准备和检查外，另需检查下面各项，如有问题及时解决。</w:t>
      </w:r>
    </w:p>
    <w:p w14:paraId="472E646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 液压油箱中的油量是否达到规定要求；</w:t>
      </w:r>
    </w:p>
    <w:p w14:paraId="0F43B16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 油路中各接头、接合面等部位是否有油液渗漏现象；</w:t>
      </w:r>
    </w:p>
    <w:p w14:paraId="4339602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 电磁离合器能否正常工作；</w:t>
      </w:r>
    </w:p>
    <w:p w14:paraId="4177287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（4） 作业装置动作应灵活无卡滞；</w:t>
      </w:r>
    </w:p>
    <w:p w14:paraId="7D8C981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（5） 轮胎气压应符合规定。</w:t>
      </w:r>
    </w:p>
    <w:p w14:paraId="5930E2E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2.作业：</w:t>
      </w:r>
    </w:p>
    <w:p w14:paraId="290EAE1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底盘按其使用说明书规定进行。此外还须注意：</w:t>
      </w:r>
    </w:p>
    <w:p w14:paraId="14BD620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 垃圾装载量应严格控制，不允许超载；</w:t>
      </w:r>
    </w:p>
    <w:p w14:paraId="01E01E9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 在作业过程中， 注意有无异常声响和气味， 发现故障及时排除， 严禁带故障作业。</w:t>
      </w:r>
    </w:p>
    <w:p w14:paraId="65ED73B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3.收车后：</w:t>
      </w:r>
    </w:p>
    <w:p w14:paraId="013FCBF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除按底盘使用说明书的规定进行检查外，还应检查：</w:t>
      </w:r>
    </w:p>
    <w:p w14:paraId="7BCD328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 液压油量；</w:t>
      </w:r>
    </w:p>
    <w:p w14:paraId="735DB15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 电磁多路阀电缆线的外皮是否存在破损、漏电情况；</w:t>
      </w:r>
    </w:p>
    <w:p w14:paraId="662301E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 液压元件、接头、接合面等处是否有油液渗漏现象；</w:t>
      </w:r>
    </w:p>
    <w:p w14:paraId="7E8AEBE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（4） 各作业装置有无损伤；</w:t>
      </w:r>
    </w:p>
    <w:p w14:paraId="7E55FB4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（5） 将车厢、作业装置的残留污物清除干净；</w:t>
      </w:r>
      <w:bookmarkStart w:id="4" w:name="_GoBack"/>
      <w:bookmarkEnd w:id="4"/>
    </w:p>
    <w:p w14:paraId="45B5D1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eastAsia="zh-CN"/>
        </w:rPr>
      </w:pPr>
      <w:r>
        <w:rPr>
          <w:rFonts w:hint="eastAsia" w:ascii="仿宋" w:hAnsi="仿宋" w:eastAsia="仿宋" w:cs="仿宋"/>
          <w:sz w:val="24"/>
          <w:szCs w:val="24"/>
          <w:lang w:val="en-US" w:eastAsia="zh-CN"/>
        </w:rPr>
        <w:t>（6） 将垃圾车冲洗干净，并入库存放。</w:t>
      </w:r>
    </w:p>
    <w:p w14:paraId="40F437D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outlineLvl w:val="9"/>
        <w:rPr>
          <w:rFonts w:hint="eastAsia" w:ascii="仿宋" w:hAnsi="仿宋" w:eastAsia="仿宋" w:cs="仿宋"/>
          <w:b/>
          <w:bCs/>
          <w:sz w:val="24"/>
          <w:szCs w:val="24"/>
          <w:lang w:val="en-US" w:eastAsia="zh-CN"/>
        </w:rPr>
      </w:pPr>
      <w:bookmarkStart w:id="2" w:name="_Toc13401"/>
      <w:bookmarkStart w:id="3" w:name="_Toc19863"/>
      <w:r>
        <w:rPr>
          <w:rFonts w:hint="eastAsia" w:ascii="仿宋" w:hAnsi="仿宋" w:eastAsia="仿宋" w:cs="仿宋"/>
          <w:b/>
          <w:bCs/>
          <w:kern w:val="2"/>
          <w:sz w:val="24"/>
          <w:szCs w:val="24"/>
          <w:lang w:val="en-US" w:eastAsia="zh-CN" w:bidi="ar-SA"/>
        </w:rPr>
        <w:t>三、</w:t>
      </w:r>
      <w:r>
        <w:rPr>
          <w:rFonts w:hint="eastAsia" w:ascii="仿宋" w:hAnsi="仿宋" w:eastAsia="仿宋" w:cs="仿宋"/>
          <w:b/>
          <w:bCs/>
          <w:sz w:val="24"/>
          <w:szCs w:val="24"/>
          <w:lang w:val="en-US" w:eastAsia="zh-CN"/>
        </w:rPr>
        <w:t>应急处置</w:t>
      </w:r>
      <w:bookmarkEnd w:id="2"/>
      <w:bookmarkEnd w:id="3"/>
    </w:p>
    <w:p w14:paraId="0814CEF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出现问题时，驾驶员应明白应急处置的流程。</w:t>
      </w:r>
    </w:p>
    <w:p w14:paraId="675C56ED">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车辆故障时，自己检修无法排除时，如车辆无法启动则原地停放，四周放置安全锥，及时上报生产运营部并联系维修厂进行维修；车辆可以启动则上报生产运营部开往维修厂维修；</w:t>
      </w:r>
    </w:p>
    <w:p w14:paraId="740CD099">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b w:val="0"/>
          <w:bCs w:val="0"/>
          <w:sz w:val="24"/>
          <w:szCs w:val="24"/>
          <w:lang w:val="en-US" w:eastAsia="zh-CN"/>
        </w:rPr>
      </w:pPr>
      <w:r>
        <w:rPr>
          <w:rFonts w:hint="eastAsia" w:ascii="仿宋" w:hAnsi="仿宋" w:eastAsia="仿宋" w:cs="仿宋"/>
          <w:sz w:val="24"/>
          <w:szCs w:val="24"/>
          <w:lang w:val="en-US" w:eastAsia="zh-CN"/>
        </w:rPr>
        <w:t>发生事故时，车辆原地等待，放置安全锥，上报生产运营部并报交警和保险公司等待处理。</w:t>
      </w:r>
    </w:p>
    <w:sectPr>
      <w:pgSz w:w="11906" w:h="16838"/>
      <w:pgMar w:top="620" w:right="646" w:bottom="678" w:left="76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5F8A93"/>
    <w:multiLevelType w:val="singleLevel"/>
    <w:tmpl w:val="DE5F8A93"/>
    <w:lvl w:ilvl="0" w:tentative="0">
      <w:start w:val="1"/>
      <w:numFmt w:val="decimal"/>
      <w:suff w:val="space"/>
      <w:lvlText w:val="%1、"/>
      <w:lvlJc w:val="left"/>
      <w:pPr>
        <w:ind w:left="600" w:firstLine="0"/>
      </w:pPr>
    </w:lvl>
  </w:abstractNum>
  <w:abstractNum w:abstractNumId="1">
    <w:nsid w:val="EC4A4882"/>
    <w:multiLevelType w:val="singleLevel"/>
    <w:tmpl w:val="EC4A4882"/>
    <w:lvl w:ilvl="0" w:tentative="0">
      <w:start w:val="1"/>
      <w:numFmt w:val="decimal"/>
      <w:lvlText w:val="(%1)"/>
      <w:lvlJc w:val="left"/>
      <w:pPr>
        <w:ind w:left="425" w:hanging="425"/>
      </w:pPr>
      <w:rPr>
        <w:rFonts w:hint="default"/>
      </w:rPr>
    </w:lvl>
  </w:abstractNum>
  <w:abstractNum w:abstractNumId="2">
    <w:nsid w:val="F205075A"/>
    <w:multiLevelType w:val="singleLevel"/>
    <w:tmpl w:val="F205075A"/>
    <w:lvl w:ilvl="0" w:tentative="0">
      <w:start w:val="1"/>
      <w:numFmt w:val="decimal"/>
      <w:lvlText w:val="(%1)"/>
      <w:lvlJc w:val="left"/>
      <w:pPr>
        <w:ind w:left="425" w:hanging="425"/>
      </w:pPr>
      <w:rPr>
        <w:rFonts w:hint="default"/>
      </w:rPr>
    </w:lvl>
  </w:abstractNum>
  <w:abstractNum w:abstractNumId="3">
    <w:nsid w:val="237E1377"/>
    <w:multiLevelType w:val="singleLevel"/>
    <w:tmpl w:val="237E1377"/>
    <w:lvl w:ilvl="0" w:tentative="0">
      <w:start w:val="1"/>
      <w:numFmt w:val="decimal"/>
      <w:lvlText w:val="(%1)"/>
      <w:lvlJc w:val="left"/>
      <w:pPr>
        <w:ind w:left="425" w:hanging="425"/>
      </w:pPr>
      <w:rPr>
        <w:rFont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5768AF"/>
    <w:rsid w:val="067A6886"/>
    <w:rsid w:val="08D51B22"/>
    <w:rsid w:val="0DBC505E"/>
    <w:rsid w:val="165F10D3"/>
    <w:rsid w:val="34DF6CE6"/>
    <w:rsid w:val="3C5768AF"/>
    <w:rsid w:val="42D061EC"/>
    <w:rsid w:val="52D71D3A"/>
    <w:rsid w:val="57A01EBC"/>
    <w:rsid w:val="5C583771"/>
    <w:rsid w:val="66326DE1"/>
    <w:rsid w:val="681E586F"/>
    <w:rsid w:val="6BAA605B"/>
    <w:rsid w:val="6DA65660"/>
    <w:rsid w:val="6EE40E94"/>
    <w:rsid w:val="70BF0F14"/>
    <w:rsid w:val="71DE6D28"/>
    <w:rsid w:val="74370C57"/>
    <w:rsid w:val="7B8B4F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4"/>
      <w:szCs w:val="24"/>
      <w:lang w:val="en-US" w:eastAsia="en-US" w:bidi="ar-SA"/>
    </w:rPr>
  </w:style>
  <w:style w:type="paragraph" w:customStyle="1" w:styleId="5">
    <w:name w:val="Table Text"/>
    <w:basedOn w:val="1"/>
    <w:semiHidden/>
    <w:qFormat/>
    <w:uiPriority w:val="0"/>
    <w:rPr>
      <w:rFonts w:ascii="宋体" w:hAnsi="宋体" w:eastAsia="宋体" w:cs="宋体"/>
      <w:sz w:val="21"/>
      <w:szCs w:val="21"/>
      <w:lang w:val="en-US" w:eastAsia="en-US" w:bidi="ar-SA"/>
    </w:rPr>
  </w:style>
  <w:style w:type="table" w:customStyle="1" w:styleId="6">
    <w:name w:val="Table Normal"/>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1080</Words>
  <Characters>1095</Characters>
  <Lines>0</Lines>
  <Paragraphs>0</Paragraphs>
  <TotalTime>0</TotalTime>
  <ScaleCrop>false</ScaleCrop>
  <LinksUpToDate>false</LinksUpToDate>
  <CharactersWithSpaces>1111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2025-11-05T08:43:00Z</dcterms:created>
  <dc:creator>随遇而安</dc:creator>
  <cp:lastModifiedBy>随遇而安</cp:lastModifiedBy>
  <dcterms:modified xsi:type="dcterms:W3CDTF">2025-11-07T06:48:26Z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531E78915EA94E0BA29BD7FFA04BDDE7_11</vt:lpwstr>
  </property>
  <property fmtid="{D5CDD505-2E9C-101B-9397-08002B2CF9AE}" pid="4" name="KSOTemplateDocerSaveRecord">
    <vt:lpwstr>eyJoZGlkIjoiYzZhMGE2YjQ0MDBlNjRiZjAxOTgyNGFjYjQ1NDNmNGUiLCJ1c2VySWQiOiI4MDkyMjY1NDIifQ==</vt:lpwstr>
  </property>
</Properties>
</file>