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E1937">
      <w:pPr>
        <w:rPr>
          <w:rFonts w:cs="Times New Roman" w:asciiTheme="minorEastAsia" w:hAnsiTheme="minorEastAsia" w:eastAsiaTheme="minorEastAsia"/>
          <w:sz w:val="20"/>
          <w:szCs w:val="20"/>
        </w:rPr>
      </w:pPr>
    </w:p>
    <w:p w14:paraId="569F7B60">
      <w:pPr>
        <w:rPr>
          <w:rFonts w:cs="Times New Roman" w:asciiTheme="minorEastAsia" w:hAnsiTheme="minorEastAsia" w:eastAsiaTheme="minorEastAsia"/>
          <w:sz w:val="20"/>
          <w:szCs w:val="20"/>
        </w:rPr>
      </w:pPr>
    </w:p>
    <w:p w14:paraId="0771C9FA">
      <w:pPr>
        <w:spacing w:before="2"/>
        <w:rPr>
          <w:rFonts w:cs="Times New Roman" w:asciiTheme="minorEastAsia" w:hAnsiTheme="minorEastAsia" w:eastAsiaTheme="minorEastAsia"/>
          <w:sz w:val="28"/>
          <w:szCs w:val="28"/>
        </w:rPr>
      </w:pPr>
    </w:p>
    <w:p w14:paraId="6B4BD844">
      <w:pPr>
        <w:ind w:left="0"/>
        <w:jc w:val="center"/>
        <w:rPr>
          <w:rFonts w:cs="黑体" w:asciiTheme="minorEastAsia" w:hAnsiTheme="minorEastAsia" w:eastAsiaTheme="minorEastAsia"/>
          <w:b/>
          <w:sz w:val="52"/>
          <w:szCs w:val="52"/>
          <w:lang w:eastAsia="zh-CN"/>
        </w:rPr>
      </w:pPr>
      <w:r>
        <w:rPr>
          <w:rFonts w:hint="eastAsia" w:cs="黑体" w:asciiTheme="minorEastAsia" w:hAnsiTheme="minorEastAsia" w:eastAsiaTheme="minorEastAsia"/>
          <w:b/>
          <w:sz w:val="52"/>
          <w:szCs w:val="52"/>
          <w:lang w:eastAsia="zh-CN"/>
        </w:rPr>
        <w:t>宁津北控城市环境服务有限公司</w:t>
      </w:r>
    </w:p>
    <w:p w14:paraId="14AA04B2">
      <w:pPr>
        <w:spacing w:before="275"/>
        <w:ind w:left="523"/>
        <w:jc w:val="center"/>
        <w:rPr>
          <w:rFonts w:cs="黑体" w:asciiTheme="minorEastAsia" w:hAnsiTheme="minorEastAsia" w:eastAsiaTheme="minorEastAsia"/>
          <w:sz w:val="32"/>
          <w:szCs w:val="32"/>
          <w:lang w:eastAsia="zh-CN"/>
        </w:rPr>
      </w:pPr>
      <w:r>
        <w:rPr>
          <w:rFonts w:cs="黑体" w:asciiTheme="minorEastAsia" w:hAnsiTheme="minorEastAsia" w:eastAsiaTheme="minorEastAsia"/>
          <w:b/>
          <w:bCs/>
          <w:sz w:val="32"/>
          <w:szCs w:val="32"/>
          <w:lang w:eastAsia="zh-CN"/>
        </w:rPr>
        <w:t>企业标准</w:t>
      </w:r>
    </w:p>
    <w:p w14:paraId="588D0B9A">
      <w:pPr>
        <w:rPr>
          <w:rFonts w:cs="黑体" w:asciiTheme="minorEastAsia" w:hAnsiTheme="minorEastAsia" w:eastAsiaTheme="minorEastAsia"/>
          <w:b/>
          <w:bCs/>
          <w:sz w:val="32"/>
          <w:szCs w:val="32"/>
          <w:lang w:eastAsia="zh-CN"/>
        </w:rPr>
      </w:pPr>
    </w:p>
    <w:p w14:paraId="5AB6F862">
      <w:pPr>
        <w:rPr>
          <w:rFonts w:cs="黑体" w:asciiTheme="minorEastAsia" w:hAnsiTheme="minorEastAsia" w:eastAsiaTheme="minorEastAsia"/>
          <w:b/>
          <w:bCs/>
          <w:sz w:val="32"/>
          <w:szCs w:val="32"/>
          <w:lang w:eastAsia="zh-CN"/>
        </w:rPr>
      </w:pPr>
    </w:p>
    <w:p w14:paraId="2DF0A8A8">
      <w:pPr>
        <w:spacing w:before="9"/>
        <w:rPr>
          <w:rFonts w:cs="黑体" w:asciiTheme="minorEastAsia" w:hAnsiTheme="minorEastAsia" w:eastAsiaTheme="minorEastAsia"/>
          <w:b/>
          <w:bCs/>
          <w:sz w:val="24"/>
          <w:szCs w:val="24"/>
          <w:lang w:eastAsia="zh-CN"/>
        </w:rPr>
      </w:pPr>
    </w:p>
    <w:p w14:paraId="7F38F9AB">
      <w:pPr>
        <w:pStyle w:val="9"/>
        <w:ind w:left="0" w:right="254"/>
        <w:jc w:val="right"/>
        <w:rPr>
          <w:rFonts w:hint="default" w:cs="黑体" w:asciiTheme="minorEastAsia" w:hAnsiTheme="minorEastAsia" w:eastAsiaTheme="minorEastAsia"/>
          <w:b/>
          <w:lang w:val="en-US" w:eastAsia="zh-CN"/>
        </w:rPr>
      </w:pPr>
      <w:r>
        <w:rPr>
          <w:rFonts w:cs="黑体" w:asciiTheme="minorEastAsia" w:hAnsiTheme="minorEastAsia" w:eastAsiaTheme="minorEastAsia"/>
          <w:b/>
          <w:lang w:eastAsia="zh-CN"/>
        </w:rPr>
        <w:t>制度编号：</w:t>
      </w:r>
      <w:r>
        <w:rPr>
          <w:rFonts w:hint="eastAsia" w:cs="黑体" w:asciiTheme="minorEastAsia" w:hAnsiTheme="minorEastAsia" w:eastAsiaTheme="minorEastAsia"/>
          <w:b/>
          <w:lang w:val="en-US" w:eastAsia="zh-CN"/>
        </w:rPr>
        <w:t>AH.02.2024.1</w:t>
      </w:r>
    </w:p>
    <w:p w14:paraId="076F66DC">
      <w:pPr>
        <w:spacing w:before="6"/>
        <w:rPr>
          <w:rFonts w:cs="黑体" w:asciiTheme="minorEastAsia" w:hAnsiTheme="minorEastAsia" w:eastAsiaTheme="minorEastAsia"/>
          <w:sz w:val="6"/>
          <w:szCs w:val="6"/>
          <w:lang w:eastAsia="zh-CN"/>
        </w:rPr>
      </w:pPr>
    </w:p>
    <w:p w14:paraId="6FE79853">
      <w:pPr>
        <w:spacing w:line="40" w:lineRule="exact"/>
        <w:ind w:left="188"/>
        <w:rPr>
          <w:rFonts w:cs="黑体" w:asciiTheme="minorEastAsia" w:hAnsiTheme="minorEastAsia" w:eastAsiaTheme="minorEastAsia"/>
          <w:sz w:val="4"/>
          <w:szCs w:val="4"/>
        </w:rPr>
      </w:pPr>
      <w:r>
        <w:rPr>
          <w:rFonts w:cs="黑体" w:asciiTheme="minorEastAsia" w:hAnsiTheme="minorEastAsia" w:eastAsiaTheme="minorEastAsia"/>
          <w:sz w:val="4"/>
          <w:szCs w:val="4"/>
          <w:lang w:eastAsia="zh-CN"/>
        </w:rPr>
        <mc:AlternateContent>
          <mc:Choice Requires="wpg">
            <w:drawing>
              <wp:inline distT="0" distB="0" distL="114300" distR="114300">
                <wp:extent cx="5043805" cy="45720"/>
                <wp:effectExtent l="0" t="0" r="0" b="0"/>
                <wp:docPr id="3"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4"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KQlKR7VAAAAAwEAAA8AAAAAAAAAAQAgAAAAIgAAAGRycy9kb3ducmV2LnhtbFBL&#10;AQIUABQAAAAIAIdO4kDMn0lZ3QIAAMgHAAAOAAAAAAAAAAEAIAAAACQBAABkcnMvZTJvRG9jLnht&#10;bFBLBQYAAAAABgAGAFkBAABzBgAAAAA=&#10;">
                <o:lock v:ext="edit" aspectratio="f"/>
                <v:group id="Group 3" o:spid="_x0000_s1026" o:spt="203" style="position:absolute;left:20;top:20;height:72;width:7943;" coordorigin="20,20" coordsize="7943,72"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p>
    <w:p w14:paraId="353F153D">
      <w:pPr>
        <w:rPr>
          <w:rFonts w:cs="黑体" w:asciiTheme="minorEastAsia" w:hAnsiTheme="minorEastAsia" w:eastAsiaTheme="minorEastAsia"/>
          <w:sz w:val="24"/>
          <w:szCs w:val="24"/>
        </w:rPr>
      </w:pPr>
    </w:p>
    <w:p w14:paraId="7F115F41">
      <w:pPr>
        <w:rPr>
          <w:rFonts w:cs="黑体" w:asciiTheme="minorEastAsia" w:hAnsiTheme="minorEastAsia" w:eastAsiaTheme="minorEastAsia"/>
          <w:sz w:val="24"/>
          <w:szCs w:val="24"/>
        </w:rPr>
      </w:pPr>
    </w:p>
    <w:p w14:paraId="44AE1D2F">
      <w:pPr>
        <w:rPr>
          <w:rFonts w:cs="黑体" w:asciiTheme="minorEastAsia" w:hAnsiTheme="minorEastAsia" w:eastAsiaTheme="minorEastAsia"/>
          <w:sz w:val="24"/>
          <w:szCs w:val="24"/>
        </w:rPr>
      </w:pPr>
    </w:p>
    <w:p w14:paraId="4EB41707">
      <w:pPr>
        <w:rPr>
          <w:rFonts w:cs="黑体" w:asciiTheme="minorEastAsia" w:hAnsiTheme="minorEastAsia" w:eastAsiaTheme="minorEastAsia"/>
          <w:sz w:val="24"/>
          <w:szCs w:val="24"/>
        </w:rPr>
      </w:pPr>
    </w:p>
    <w:p w14:paraId="241C54B5">
      <w:pPr>
        <w:rPr>
          <w:rFonts w:cs="黑体" w:asciiTheme="minorEastAsia" w:hAnsiTheme="minorEastAsia" w:eastAsiaTheme="minorEastAsia"/>
          <w:sz w:val="24"/>
          <w:szCs w:val="24"/>
        </w:rPr>
      </w:pPr>
    </w:p>
    <w:p w14:paraId="470B67D5">
      <w:pPr>
        <w:rPr>
          <w:rFonts w:cs="黑体" w:asciiTheme="minorEastAsia" w:hAnsiTheme="minorEastAsia" w:eastAsiaTheme="minorEastAsia"/>
          <w:sz w:val="24"/>
          <w:szCs w:val="24"/>
        </w:rPr>
      </w:pPr>
    </w:p>
    <w:p w14:paraId="40A18E50">
      <w:pPr>
        <w:rPr>
          <w:rFonts w:cs="黑体" w:asciiTheme="minorEastAsia" w:hAnsiTheme="minorEastAsia" w:eastAsiaTheme="minorEastAsia"/>
          <w:sz w:val="24"/>
          <w:szCs w:val="24"/>
        </w:rPr>
      </w:pPr>
    </w:p>
    <w:p w14:paraId="4D29F394">
      <w:pPr>
        <w:spacing w:before="9"/>
        <w:rPr>
          <w:rFonts w:cs="黑体" w:asciiTheme="minorEastAsia" w:hAnsiTheme="minorEastAsia" w:eastAsiaTheme="minorEastAsia"/>
          <w:sz w:val="23"/>
          <w:szCs w:val="23"/>
        </w:rPr>
      </w:pPr>
    </w:p>
    <w:p w14:paraId="58B1AC1B">
      <w:pPr>
        <w:jc w:val="center"/>
        <w:rPr>
          <w:rFonts w:hint="default" w:cs="黑体" w:asciiTheme="minorEastAsia" w:hAnsiTheme="minorEastAsia" w:eastAsiaTheme="minorEastAsia"/>
          <w:sz w:val="52"/>
          <w:szCs w:val="52"/>
          <w:lang w:val="en-US" w:eastAsia="zh-CN"/>
        </w:rPr>
      </w:pPr>
      <w:r>
        <w:rPr>
          <w:rFonts w:hint="eastAsia" w:ascii="宋体" w:hAnsi="宋体" w:eastAsia="宋体" w:cs="宋体"/>
          <w:b/>
          <w:bCs/>
          <w:sz w:val="52"/>
          <w:szCs w:val="52"/>
          <w:lang w:eastAsia="zh-CN"/>
        </w:rPr>
        <w:t>安全生产奖惩管理</w:t>
      </w:r>
      <w:r>
        <w:rPr>
          <w:rFonts w:hint="eastAsia" w:ascii="宋体" w:hAnsi="宋体" w:eastAsia="宋体" w:cs="宋体"/>
          <w:b/>
          <w:bCs/>
          <w:sz w:val="52"/>
          <w:szCs w:val="52"/>
          <w:lang w:val="en-US" w:eastAsia="zh-CN"/>
        </w:rPr>
        <w:t>制度</w:t>
      </w:r>
    </w:p>
    <w:p w14:paraId="43D76E7B">
      <w:pPr>
        <w:rPr>
          <w:rFonts w:cs="黑体" w:asciiTheme="minorEastAsia" w:hAnsiTheme="minorEastAsia" w:eastAsiaTheme="minorEastAsia"/>
          <w:sz w:val="52"/>
          <w:szCs w:val="52"/>
          <w:lang w:eastAsia="zh-CN"/>
        </w:rPr>
      </w:pPr>
    </w:p>
    <w:p w14:paraId="23D93266">
      <w:pPr>
        <w:rPr>
          <w:rFonts w:cs="黑体" w:asciiTheme="minorEastAsia" w:hAnsiTheme="minorEastAsia" w:eastAsiaTheme="minorEastAsia"/>
          <w:sz w:val="52"/>
          <w:szCs w:val="52"/>
          <w:lang w:eastAsia="zh-CN"/>
        </w:rPr>
      </w:pPr>
    </w:p>
    <w:p w14:paraId="7009171C">
      <w:pPr>
        <w:rPr>
          <w:rFonts w:cs="黑体" w:asciiTheme="minorEastAsia" w:hAnsiTheme="minorEastAsia" w:eastAsiaTheme="minorEastAsia"/>
          <w:sz w:val="52"/>
          <w:szCs w:val="52"/>
          <w:lang w:eastAsia="zh-CN"/>
        </w:rPr>
      </w:pPr>
    </w:p>
    <w:p w14:paraId="61FF5C23">
      <w:pPr>
        <w:rPr>
          <w:rFonts w:cs="黑体" w:asciiTheme="minorEastAsia" w:hAnsiTheme="minorEastAsia" w:eastAsiaTheme="minorEastAsia"/>
          <w:sz w:val="52"/>
          <w:szCs w:val="52"/>
          <w:lang w:eastAsia="zh-CN"/>
        </w:rPr>
      </w:pPr>
    </w:p>
    <w:p w14:paraId="7552DFDD">
      <w:pPr>
        <w:rPr>
          <w:rFonts w:cs="黑体" w:asciiTheme="minorEastAsia" w:hAnsiTheme="minorEastAsia" w:eastAsiaTheme="minorEastAsia"/>
          <w:sz w:val="52"/>
          <w:szCs w:val="52"/>
          <w:lang w:eastAsia="zh-CN"/>
        </w:rPr>
      </w:pPr>
    </w:p>
    <w:p w14:paraId="2C6C8B6A">
      <w:pPr>
        <w:rPr>
          <w:rFonts w:cs="黑体" w:asciiTheme="minorEastAsia" w:hAnsiTheme="minorEastAsia" w:eastAsiaTheme="minorEastAsia"/>
          <w:sz w:val="52"/>
          <w:szCs w:val="52"/>
          <w:lang w:eastAsia="zh-CN"/>
        </w:rPr>
      </w:pPr>
    </w:p>
    <w:p w14:paraId="05F645BF">
      <w:pPr>
        <w:tabs>
          <w:tab w:val="left" w:pos="6039"/>
        </w:tabs>
        <w:spacing w:before="355"/>
        <w:ind w:left="138" w:right="36"/>
        <w:rPr>
          <w:rFonts w:cs="黑体" w:asciiTheme="minorEastAsia" w:hAnsiTheme="minorEastAsia" w:eastAsiaTheme="minorEastAsia"/>
          <w:b/>
          <w:sz w:val="28"/>
          <w:szCs w:val="28"/>
          <w:lang w:eastAsia="zh-CN"/>
        </w:rPr>
      </w:pPr>
      <w:r>
        <w:rPr>
          <w:rFonts w:hint="eastAsia" w:cs="黑体" w:asciiTheme="minorEastAsia" w:hAnsiTheme="minorEastAsia" w:eastAsiaTheme="minorEastAsia"/>
          <w:b/>
          <w:sz w:val="28"/>
          <w:szCs w:val="28"/>
          <w:lang w:eastAsia="zh-CN"/>
        </w:rPr>
        <w:t>202</w:t>
      </w:r>
      <w:r>
        <w:rPr>
          <w:rFonts w:hint="eastAsia" w:cs="黑体" w:asciiTheme="minorEastAsia" w:hAnsiTheme="minorEastAsia" w:eastAsiaTheme="minorEastAsia"/>
          <w:b/>
          <w:sz w:val="28"/>
          <w:szCs w:val="28"/>
          <w:lang w:val="en-US" w:eastAsia="zh-CN"/>
        </w:rPr>
        <w:t>5</w:t>
      </w:r>
      <w:r>
        <w:rPr>
          <w:rFonts w:hint="eastAsia" w:cs="黑体" w:asciiTheme="minorEastAsia" w:hAnsiTheme="minorEastAsia" w:eastAsiaTheme="minorEastAsia"/>
          <w:b/>
          <w:sz w:val="28"/>
          <w:szCs w:val="28"/>
          <w:lang w:eastAsia="zh-CN"/>
        </w:rPr>
        <w:t>-</w:t>
      </w:r>
      <w:r>
        <w:rPr>
          <w:rFonts w:hint="eastAsia" w:cs="黑体" w:asciiTheme="minorEastAsia" w:hAnsiTheme="minorEastAsia" w:eastAsiaTheme="minorEastAsia"/>
          <w:b/>
          <w:sz w:val="28"/>
          <w:szCs w:val="28"/>
          <w:lang w:val="en-US" w:eastAsia="zh-CN"/>
        </w:rPr>
        <w:t>1-1</w:t>
      </w:r>
      <w:r>
        <w:rPr>
          <w:rFonts w:cs="黑体" w:asciiTheme="minorEastAsia" w:hAnsiTheme="minorEastAsia" w:eastAsiaTheme="minorEastAsia"/>
          <w:b/>
          <w:sz w:val="28"/>
          <w:szCs w:val="28"/>
          <w:lang w:eastAsia="zh-CN"/>
        </w:rPr>
        <w:t>发布</w:t>
      </w:r>
      <w:r>
        <w:rPr>
          <w:rFonts w:cs="黑体" w:asciiTheme="minorEastAsia" w:hAnsiTheme="minorEastAsia" w:eastAsiaTheme="minorEastAsia"/>
          <w:b/>
          <w:sz w:val="28"/>
          <w:szCs w:val="28"/>
          <w:lang w:eastAsia="zh-CN"/>
        </w:rPr>
        <w:tab/>
      </w:r>
      <w:r>
        <w:rPr>
          <w:rFonts w:cs="黑体" w:asciiTheme="minorEastAsia" w:hAnsiTheme="minorEastAsia" w:eastAsiaTheme="minorEastAsia"/>
          <w:b/>
          <w:sz w:val="28"/>
          <w:szCs w:val="28"/>
          <w:lang w:eastAsia="zh-CN"/>
        </w:rPr>
        <w:t>202</w:t>
      </w:r>
      <w:r>
        <w:rPr>
          <w:rFonts w:hint="eastAsia" w:cs="黑体" w:asciiTheme="minorEastAsia" w:hAnsiTheme="minorEastAsia" w:eastAsiaTheme="minorEastAsia"/>
          <w:b/>
          <w:sz w:val="28"/>
          <w:szCs w:val="28"/>
          <w:lang w:val="en-US" w:eastAsia="zh-CN"/>
        </w:rPr>
        <w:t>5</w:t>
      </w:r>
      <w:r>
        <w:rPr>
          <w:rFonts w:cs="黑体" w:asciiTheme="minorEastAsia" w:hAnsiTheme="minorEastAsia" w:eastAsiaTheme="minorEastAsia"/>
          <w:b/>
          <w:sz w:val="28"/>
          <w:szCs w:val="28"/>
          <w:lang w:eastAsia="zh-CN"/>
        </w:rPr>
        <w:t>-</w:t>
      </w:r>
      <w:r>
        <w:rPr>
          <w:rFonts w:hint="eastAsia" w:cs="黑体" w:asciiTheme="minorEastAsia" w:hAnsiTheme="minorEastAsia" w:eastAsiaTheme="minorEastAsia"/>
          <w:b/>
          <w:sz w:val="28"/>
          <w:szCs w:val="28"/>
          <w:lang w:val="en-US" w:eastAsia="zh-CN"/>
        </w:rPr>
        <w:t>1-1</w:t>
      </w:r>
      <w:r>
        <w:rPr>
          <w:rFonts w:cs="黑体" w:asciiTheme="minorEastAsia" w:hAnsiTheme="minorEastAsia" w:eastAsiaTheme="minorEastAsia"/>
          <w:b/>
          <w:spacing w:val="-3"/>
          <w:sz w:val="28"/>
          <w:szCs w:val="28"/>
          <w:lang w:eastAsia="zh-CN"/>
        </w:rPr>
        <w:t>实施</w:t>
      </w:r>
    </w:p>
    <w:p w14:paraId="7C5B0CCA">
      <w:pPr>
        <w:spacing w:line="40" w:lineRule="exact"/>
        <w:ind w:left="118"/>
        <w:rPr>
          <w:rFonts w:cs="黑体" w:asciiTheme="minorEastAsia" w:hAnsiTheme="minorEastAsia" w:eastAsiaTheme="minorEastAsia"/>
          <w:sz w:val="4"/>
          <w:szCs w:val="4"/>
        </w:rPr>
      </w:pPr>
      <w:r>
        <w:rPr>
          <w:rFonts w:cs="黑体" w:asciiTheme="minorEastAsia" w:hAnsiTheme="minorEastAsia" w:eastAsiaTheme="minorEastAsia"/>
          <w:sz w:val="4"/>
          <w:szCs w:val="4"/>
          <w:lang w:eastAsia="zh-CN"/>
        </w:rPr>
        <mc:AlternateContent>
          <mc:Choice Requires="wpg">
            <w:drawing>
              <wp:inline distT="0" distB="0" distL="114300" distR="114300">
                <wp:extent cx="5180330" cy="45085"/>
                <wp:effectExtent l="0" t="0" r="0" b="0"/>
                <wp:docPr id="5"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6"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obdI0OICAADDBwAADgAAAAAAAAABACAAAAAjAQAAZHJzL2Uyb0Rv&#10;Yy54bWxQSwUGAAAAAAYABgBZAQAAdwYAAAAA&#10;">
                <o:lock v:ext="edit" aspectratio="f"/>
                <v:group id="Group 6" o:spid="_x0000_s1026" o:spt="203" style="position:absolute;left:20;top:20;height:2;width:9000;" coordorigin="20,20" coordsize="9000,2"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p>
    <w:p w14:paraId="7F38A8BB">
      <w:pPr>
        <w:rPr>
          <w:rFonts w:cs="黑体" w:asciiTheme="minorEastAsia" w:hAnsiTheme="minorEastAsia" w:eastAsiaTheme="minorEastAsia"/>
          <w:sz w:val="24"/>
          <w:szCs w:val="24"/>
        </w:rPr>
      </w:pPr>
    </w:p>
    <w:p w14:paraId="3BDF7F79">
      <w:pPr>
        <w:spacing w:line="240" w:lineRule="auto"/>
        <w:ind w:left="0" w:right="0"/>
        <w:jc w:val="center"/>
        <w:outlineLvl w:val="0"/>
        <w:rPr>
          <w:lang w:eastAsia="zh-CN"/>
        </w:rPr>
      </w:pPr>
      <w:bookmarkStart w:id="0" w:name="_Toc30630"/>
      <w:r>
        <w:rPr>
          <w:rFonts w:hint="eastAsia" w:cs="黑体" w:asciiTheme="minorEastAsia" w:hAnsiTheme="minorEastAsia" w:eastAsiaTheme="minorEastAsia"/>
          <w:b/>
          <w:w w:val="95"/>
          <w:sz w:val="32"/>
          <w:szCs w:val="32"/>
          <w:lang w:eastAsia="zh-CN"/>
        </w:rPr>
        <w:t>宁津北控城市环境服务有限公司</w:t>
      </w:r>
      <w:bookmarkEnd w:id="0"/>
    </w:p>
    <w:p w14:paraId="4BC20A43">
      <w:pPr>
        <w:spacing w:line="387" w:lineRule="exact"/>
        <w:jc w:val="center"/>
        <w:rPr>
          <w:rFonts w:hint="eastAsia" w:cs="黑体" w:asciiTheme="minorEastAsia" w:hAnsiTheme="minorEastAsia" w:eastAsiaTheme="minorEastAsia"/>
          <w:sz w:val="30"/>
          <w:szCs w:val="30"/>
          <w:lang w:eastAsia="zh-CN"/>
        </w:rPr>
      </w:pPr>
    </w:p>
    <w:p w14:paraId="0813E375">
      <w:pPr>
        <w:spacing w:line="387" w:lineRule="exact"/>
        <w:jc w:val="center"/>
        <w:rPr>
          <w:rFonts w:hint="eastAsia" w:cs="黑体" w:asciiTheme="minorEastAsia" w:hAnsiTheme="minorEastAsia" w:eastAsiaTheme="minorEastAsia"/>
          <w:sz w:val="30"/>
          <w:szCs w:val="30"/>
          <w:lang w:eastAsia="zh-CN"/>
        </w:rPr>
      </w:pPr>
    </w:p>
    <w:p w14:paraId="682E8FDD">
      <w:pPr>
        <w:rPr>
          <w:rFonts w:hint="eastAsia" w:cs="黑体" w:asciiTheme="minorEastAsia" w:hAnsiTheme="minorEastAsia" w:eastAsiaTheme="minorEastAsia"/>
          <w:sz w:val="30"/>
          <w:szCs w:val="30"/>
          <w:lang w:eastAsia="zh-CN"/>
        </w:rPr>
      </w:pPr>
      <w:r>
        <w:rPr>
          <w:rFonts w:hint="eastAsia" w:cs="黑体" w:asciiTheme="minorEastAsia" w:hAnsiTheme="minorEastAsia" w:eastAsiaTheme="minorEastAsia"/>
          <w:sz w:val="30"/>
          <w:szCs w:val="30"/>
          <w:lang w:eastAsia="zh-CN"/>
        </w:rPr>
        <w:br w:type="page"/>
      </w:r>
    </w:p>
    <w:p w14:paraId="0C7226A4">
      <w:pPr>
        <w:spacing w:line="387" w:lineRule="exact"/>
        <w:jc w:val="center"/>
        <w:rPr>
          <w:rFonts w:hint="eastAsia" w:cs="黑体" w:asciiTheme="minorEastAsia" w:hAnsiTheme="minorEastAsia" w:eastAsiaTheme="minorEastAsia"/>
          <w:sz w:val="30"/>
          <w:szCs w:val="30"/>
          <w:lang w:eastAsia="zh-CN"/>
        </w:rPr>
      </w:pPr>
    </w:p>
    <w:p w14:paraId="1EB643E3">
      <w:pPr>
        <w:spacing w:line="387" w:lineRule="exact"/>
        <w:jc w:val="center"/>
      </w:pPr>
      <w:r>
        <w:rPr>
          <w:rFonts w:cs="黑体" w:asciiTheme="minorEastAsia" w:hAnsiTheme="minorEastAsia" w:eastAsiaTheme="minorEastAsia"/>
          <w:sz w:val="30"/>
          <w:szCs w:val="30"/>
          <w:lang w:eastAsia="zh-CN"/>
        </w:rPr>
        <w:t>制度控制表</w:t>
      </w:r>
    </w:p>
    <w:tbl>
      <w:tblPr>
        <w:tblStyle w:val="13"/>
        <w:tblW w:w="5000" w:type="pct"/>
        <w:tblInd w:w="0" w:type="dxa"/>
        <w:tblLayout w:type="autofit"/>
        <w:tblCellMar>
          <w:top w:w="0" w:type="dxa"/>
          <w:left w:w="108" w:type="dxa"/>
          <w:bottom w:w="0" w:type="dxa"/>
          <w:right w:w="108" w:type="dxa"/>
        </w:tblCellMar>
      </w:tblPr>
      <w:tblGrid>
        <w:gridCol w:w="1026"/>
        <w:gridCol w:w="834"/>
        <w:gridCol w:w="1264"/>
        <w:gridCol w:w="1235"/>
        <w:gridCol w:w="621"/>
        <w:gridCol w:w="933"/>
        <w:gridCol w:w="853"/>
        <w:gridCol w:w="991"/>
        <w:gridCol w:w="769"/>
      </w:tblGrid>
      <w:tr w14:paraId="347F0736">
        <w:tblPrEx>
          <w:tblCellMar>
            <w:top w:w="0" w:type="dxa"/>
            <w:left w:w="108" w:type="dxa"/>
            <w:bottom w:w="0" w:type="dxa"/>
            <w:right w:w="108" w:type="dxa"/>
          </w:tblCellMar>
        </w:tblPrEx>
        <w:trPr>
          <w:trHeight w:val="780" w:hRule="atLeast"/>
        </w:trPr>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14:paraId="23628EE3">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制度名称</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53DDFCE4">
            <w:pPr>
              <w:keepNext w:val="0"/>
              <w:keepLines w:val="0"/>
              <w:widowControl/>
              <w:suppressLineNumbers w:val="0"/>
              <w:spacing w:before="0" w:beforeAutospacing="0" w:after="0" w:afterAutospacing="0"/>
              <w:ind w:left="0" w:right="0"/>
              <w:rPr>
                <w:rFonts w:hint="eastAsia" w:ascii="宋体" w:hAnsi="宋体" w:eastAsia="宋体" w:cs="宋体"/>
                <w:b/>
                <w:bCs/>
                <w:sz w:val="20"/>
                <w:szCs w:val="20"/>
                <w:lang w:eastAsia="zh-CN"/>
              </w:rPr>
            </w:pPr>
            <w:r>
              <w:rPr>
                <w:rFonts w:hint="eastAsia" w:ascii="宋体" w:hAnsi="宋体" w:eastAsia="宋体" w:cs="宋体"/>
                <w:b/>
                <w:bCs/>
                <w:sz w:val="20"/>
                <w:szCs w:val="20"/>
                <w:lang w:eastAsia="zh-CN"/>
              </w:rPr>
              <w:t>宁津北控城市环境服务有限公司安全生产奖惩管理制度</w:t>
            </w:r>
          </w:p>
        </w:tc>
      </w:tr>
      <w:tr w14:paraId="3B34026E">
        <w:tblPrEx>
          <w:tblCellMar>
            <w:top w:w="0" w:type="dxa"/>
            <w:left w:w="108" w:type="dxa"/>
            <w:bottom w:w="0" w:type="dxa"/>
            <w:right w:w="108" w:type="dxa"/>
          </w:tblCellMar>
        </w:tblPrEx>
        <w:trPr>
          <w:trHeight w:val="7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4BBCF169">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制度编号</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603826D6">
            <w:pPr>
              <w:pStyle w:val="9"/>
              <w:keepNext w:val="0"/>
              <w:keepLines w:val="0"/>
              <w:suppressLineNumbers w:val="0"/>
              <w:spacing w:before="0" w:beforeAutospacing="0" w:after="0" w:afterAutospacing="0"/>
              <w:ind w:left="0" w:right="254"/>
              <w:rPr>
                <w:rFonts w:hint="eastAsia" w:cs="宋体"/>
                <w:sz w:val="20"/>
                <w:szCs w:val="20"/>
                <w:lang w:eastAsia="zh-CN"/>
              </w:rPr>
            </w:pPr>
            <w:r>
              <w:rPr>
                <w:rFonts w:hint="eastAsia" w:cs="黑体" w:asciiTheme="minorEastAsia" w:hAnsiTheme="minorEastAsia" w:eastAsiaTheme="minorEastAsia"/>
                <w:b/>
                <w:lang w:eastAsia="zh-CN"/>
              </w:rPr>
              <w:t>AH.</w:t>
            </w:r>
            <w:r>
              <w:rPr>
                <w:rFonts w:hint="eastAsia" w:cs="黑体" w:asciiTheme="minorEastAsia" w:hAnsiTheme="minorEastAsia" w:eastAsiaTheme="minorEastAsia"/>
                <w:b/>
                <w:lang w:val="en-US" w:eastAsia="zh-CN"/>
              </w:rPr>
              <w:t>02</w:t>
            </w:r>
            <w:r>
              <w:rPr>
                <w:rFonts w:hint="eastAsia" w:cs="黑体" w:asciiTheme="minorEastAsia" w:hAnsiTheme="minorEastAsia" w:eastAsiaTheme="minorEastAsia"/>
                <w:b/>
                <w:lang w:eastAsia="zh-CN"/>
              </w:rPr>
              <w:t>.202</w:t>
            </w:r>
            <w:r>
              <w:rPr>
                <w:rFonts w:hint="eastAsia" w:cs="黑体" w:asciiTheme="minorEastAsia" w:hAnsiTheme="minorEastAsia" w:eastAsiaTheme="minorEastAsia"/>
                <w:b/>
                <w:lang w:val="en-US" w:eastAsia="zh-CN"/>
              </w:rPr>
              <w:t>5</w:t>
            </w:r>
            <w:r>
              <w:rPr>
                <w:rFonts w:hint="eastAsia" w:cs="黑体" w:asciiTheme="minorEastAsia" w:hAnsiTheme="minorEastAsia" w:eastAsiaTheme="minorEastAsia"/>
                <w:b/>
                <w:lang w:eastAsia="zh-CN"/>
              </w:rPr>
              <w:t>.</w:t>
            </w:r>
            <w:r>
              <w:rPr>
                <w:rFonts w:hint="eastAsia" w:cs="黑体" w:asciiTheme="minorEastAsia" w:hAnsiTheme="minorEastAsia" w:eastAsiaTheme="minorEastAsia"/>
                <w:b/>
                <w:lang w:val="en-US" w:eastAsia="zh-CN"/>
              </w:rPr>
              <w:t>1</w:t>
            </w:r>
          </w:p>
        </w:tc>
      </w:tr>
      <w:tr w14:paraId="31B30C76">
        <w:tblPrEx>
          <w:tblCellMar>
            <w:top w:w="0" w:type="dxa"/>
            <w:left w:w="108" w:type="dxa"/>
            <w:bottom w:w="0" w:type="dxa"/>
            <w:right w:w="108" w:type="dxa"/>
          </w:tblCellMar>
        </w:tblPrEx>
        <w:trPr>
          <w:trHeight w:val="7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5AD89ADF">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版本</w:t>
            </w:r>
          </w:p>
        </w:tc>
        <w:tc>
          <w:tcPr>
            <w:tcW w:w="489" w:type="pct"/>
            <w:tcBorders>
              <w:top w:val="nil"/>
              <w:left w:val="nil"/>
              <w:bottom w:val="single" w:color="auto" w:sz="4" w:space="0"/>
              <w:right w:val="single" w:color="auto" w:sz="4" w:space="0"/>
            </w:tcBorders>
            <w:shd w:val="clear" w:color="auto" w:fill="auto"/>
            <w:vAlign w:val="center"/>
          </w:tcPr>
          <w:p w14:paraId="756A12A8">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状态</w:t>
            </w:r>
          </w:p>
        </w:tc>
        <w:tc>
          <w:tcPr>
            <w:tcW w:w="741" w:type="pct"/>
            <w:tcBorders>
              <w:top w:val="nil"/>
              <w:left w:val="nil"/>
              <w:bottom w:val="single" w:color="auto" w:sz="4" w:space="0"/>
              <w:right w:val="single" w:color="auto" w:sz="4" w:space="0"/>
            </w:tcBorders>
            <w:shd w:val="clear" w:color="auto" w:fill="auto"/>
            <w:vAlign w:val="center"/>
          </w:tcPr>
          <w:p w14:paraId="3C4B09E6">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实施日期</w:t>
            </w:r>
          </w:p>
        </w:tc>
        <w:tc>
          <w:tcPr>
            <w:tcW w:w="724" w:type="pct"/>
            <w:tcBorders>
              <w:top w:val="nil"/>
              <w:left w:val="nil"/>
              <w:bottom w:val="single" w:color="auto" w:sz="4" w:space="0"/>
              <w:right w:val="single" w:color="auto" w:sz="4" w:space="0"/>
            </w:tcBorders>
            <w:shd w:val="clear" w:color="auto" w:fill="auto"/>
            <w:vAlign w:val="center"/>
          </w:tcPr>
          <w:p w14:paraId="6AF29EE7">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起草部门</w:t>
            </w:r>
          </w:p>
        </w:tc>
        <w:tc>
          <w:tcPr>
            <w:tcW w:w="364" w:type="pct"/>
            <w:tcBorders>
              <w:top w:val="nil"/>
              <w:left w:val="nil"/>
              <w:bottom w:val="single" w:color="auto" w:sz="4" w:space="0"/>
              <w:right w:val="single" w:color="auto" w:sz="4" w:space="0"/>
            </w:tcBorders>
            <w:shd w:val="clear" w:color="auto" w:fill="auto"/>
            <w:vAlign w:val="center"/>
          </w:tcPr>
          <w:p w14:paraId="6BC949D3">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会签</w:t>
            </w:r>
          </w:p>
          <w:p w14:paraId="18710601">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部门</w:t>
            </w:r>
          </w:p>
        </w:tc>
        <w:tc>
          <w:tcPr>
            <w:tcW w:w="547" w:type="pct"/>
            <w:tcBorders>
              <w:top w:val="nil"/>
              <w:left w:val="nil"/>
              <w:bottom w:val="single" w:color="auto" w:sz="4" w:space="0"/>
              <w:right w:val="single" w:color="auto" w:sz="4" w:space="0"/>
            </w:tcBorders>
            <w:shd w:val="clear" w:color="auto" w:fill="auto"/>
            <w:vAlign w:val="center"/>
          </w:tcPr>
          <w:p w14:paraId="579B7D56">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主管领导审核</w:t>
            </w:r>
          </w:p>
        </w:tc>
        <w:tc>
          <w:tcPr>
            <w:tcW w:w="500" w:type="pct"/>
            <w:tcBorders>
              <w:top w:val="nil"/>
              <w:left w:val="nil"/>
              <w:bottom w:val="single" w:color="auto" w:sz="4" w:space="0"/>
              <w:right w:val="single" w:color="auto" w:sz="4" w:space="0"/>
            </w:tcBorders>
            <w:shd w:val="clear" w:color="auto" w:fill="auto"/>
            <w:vAlign w:val="center"/>
          </w:tcPr>
          <w:p w14:paraId="5AF89E99">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审核</w:t>
            </w:r>
          </w:p>
          <w:p w14:paraId="66A6F7D1">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部门</w:t>
            </w:r>
          </w:p>
        </w:tc>
        <w:tc>
          <w:tcPr>
            <w:tcW w:w="581" w:type="pct"/>
            <w:tcBorders>
              <w:top w:val="nil"/>
              <w:left w:val="nil"/>
              <w:bottom w:val="single" w:color="auto" w:sz="4" w:space="0"/>
              <w:right w:val="single" w:color="auto" w:sz="4" w:space="0"/>
            </w:tcBorders>
            <w:shd w:val="clear" w:color="auto" w:fill="auto"/>
            <w:vAlign w:val="center"/>
          </w:tcPr>
          <w:p w14:paraId="6EB383F4">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签发人</w:t>
            </w:r>
          </w:p>
        </w:tc>
        <w:tc>
          <w:tcPr>
            <w:tcW w:w="447" w:type="pct"/>
            <w:tcBorders>
              <w:top w:val="nil"/>
              <w:left w:val="nil"/>
              <w:bottom w:val="single" w:color="auto" w:sz="4" w:space="0"/>
              <w:right w:val="single" w:color="auto" w:sz="4" w:space="0"/>
            </w:tcBorders>
            <w:shd w:val="clear" w:color="auto" w:fill="auto"/>
            <w:vAlign w:val="center"/>
          </w:tcPr>
          <w:p w14:paraId="1BD61B0C">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是否修订</w:t>
            </w:r>
          </w:p>
        </w:tc>
      </w:tr>
      <w:tr w14:paraId="4D83CD88">
        <w:tblPrEx>
          <w:tblCellMar>
            <w:top w:w="0" w:type="dxa"/>
            <w:left w:w="108" w:type="dxa"/>
            <w:bottom w:w="0" w:type="dxa"/>
            <w:right w:w="108" w:type="dxa"/>
          </w:tblCellMar>
        </w:tblPrEx>
        <w:trPr>
          <w:trHeight w:val="7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30549D69">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sz w:val="20"/>
                <w:szCs w:val="20"/>
                <w:lang w:val="en-US" w:eastAsia="zh-CN"/>
              </w:rPr>
            </w:pPr>
            <w:r>
              <w:rPr>
                <w:rFonts w:hint="eastAsia" w:ascii="宋体" w:hAnsi="宋体" w:eastAsia="宋体" w:cs="宋体"/>
                <w:kern w:val="0"/>
                <w:sz w:val="20"/>
                <w:szCs w:val="20"/>
                <w:lang w:val="en-US" w:eastAsia="zh-CN" w:bidi="ar"/>
              </w:rPr>
              <w:t>2023.0</w:t>
            </w:r>
          </w:p>
        </w:tc>
        <w:tc>
          <w:tcPr>
            <w:tcW w:w="489" w:type="pct"/>
            <w:tcBorders>
              <w:top w:val="nil"/>
              <w:left w:val="nil"/>
              <w:bottom w:val="single" w:color="auto" w:sz="4" w:space="0"/>
              <w:right w:val="single" w:color="auto" w:sz="4" w:space="0"/>
            </w:tcBorders>
            <w:shd w:val="clear" w:color="auto" w:fill="auto"/>
            <w:vAlign w:val="center"/>
          </w:tcPr>
          <w:p w14:paraId="50455BCB">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val="en-US" w:eastAsia="zh-CN"/>
              </w:rPr>
            </w:pPr>
            <w:r>
              <w:rPr>
                <w:rFonts w:hint="eastAsia" w:ascii="宋体" w:hAnsi="宋体" w:eastAsia="宋体" w:cs="宋体"/>
                <w:kern w:val="0"/>
                <w:sz w:val="20"/>
                <w:szCs w:val="20"/>
                <w:lang w:val="en-US" w:eastAsia="zh-CN" w:bidi="ar"/>
              </w:rPr>
              <w:t>试用</w:t>
            </w:r>
          </w:p>
          <w:p w14:paraId="3B00B26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eastAsia="zh-CN"/>
              </w:rPr>
            </w:pPr>
            <w:r>
              <w:rPr>
                <w:rFonts w:hint="eastAsia" w:ascii="宋体" w:hAnsi="宋体" w:eastAsia="宋体" w:cs="宋体"/>
                <w:kern w:val="0"/>
                <w:sz w:val="20"/>
                <w:szCs w:val="20"/>
                <w:lang w:val="en-US" w:eastAsia="zh-CN" w:bidi="ar"/>
              </w:rPr>
              <w:t>执行</w:t>
            </w:r>
          </w:p>
        </w:tc>
        <w:tc>
          <w:tcPr>
            <w:tcW w:w="741" w:type="pct"/>
            <w:tcBorders>
              <w:top w:val="nil"/>
              <w:left w:val="nil"/>
              <w:bottom w:val="single" w:color="auto" w:sz="4" w:space="0"/>
              <w:right w:val="single" w:color="auto" w:sz="4" w:space="0"/>
            </w:tcBorders>
            <w:shd w:val="clear" w:color="auto" w:fill="auto"/>
            <w:vAlign w:val="center"/>
          </w:tcPr>
          <w:p w14:paraId="4B8310C2">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eastAsia="zh-CN"/>
              </w:rPr>
            </w:pPr>
            <w:r>
              <w:rPr>
                <w:rFonts w:hint="eastAsia" w:ascii="宋体" w:hAnsi="宋体" w:eastAsia="宋体" w:cs="宋体"/>
                <w:kern w:val="0"/>
                <w:sz w:val="20"/>
                <w:szCs w:val="20"/>
                <w:lang w:val="en-US" w:eastAsia="zh-CN" w:bidi="ar"/>
              </w:rPr>
              <w:t>2023.8.15</w:t>
            </w:r>
          </w:p>
        </w:tc>
        <w:tc>
          <w:tcPr>
            <w:tcW w:w="724" w:type="pct"/>
            <w:tcBorders>
              <w:top w:val="nil"/>
              <w:left w:val="nil"/>
              <w:bottom w:val="single" w:color="auto" w:sz="4" w:space="0"/>
              <w:right w:val="single" w:color="auto" w:sz="4" w:space="0"/>
            </w:tcBorders>
            <w:shd w:val="clear" w:color="auto" w:fill="auto"/>
            <w:vAlign w:val="center"/>
          </w:tcPr>
          <w:p w14:paraId="2BAFE242">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eastAsia="zh-CN"/>
              </w:rPr>
            </w:pPr>
            <w:r>
              <w:rPr>
                <w:rFonts w:hint="eastAsia" w:ascii="宋体" w:hAnsi="宋体" w:eastAsia="宋体" w:cs="宋体"/>
                <w:kern w:val="0"/>
                <w:sz w:val="20"/>
                <w:szCs w:val="20"/>
                <w:lang w:val="en-US" w:eastAsia="zh-CN" w:bidi="ar"/>
              </w:rPr>
              <w:t>安环品质部</w:t>
            </w:r>
          </w:p>
        </w:tc>
        <w:tc>
          <w:tcPr>
            <w:tcW w:w="364" w:type="pct"/>
            <w:tcBorders>
              <w:top w:val="nil"/>
              <w:left w:val="nil"/>
              <w:bottom w:val="single" w:color="auto" w:sz="4" w:space="0"/>
              <w:right w:val="single" w:color="auto" w:sz="4" w:space="0"/>
            </w:tcBorders>
            <w:shd w:val="clear" w:color="auto" w:fill="auto"/>
            <w:vAlign w:val="center"/>
          </w:tcPr>
          <w:p w14:paraId="03F33E98">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eastAsia="zh-CN"/>
              </w:rPr>
            </w:pPr>
            <w:r>
              <w:rPr>
                <w:rFonts w:hint="eastAsia" w:ascii="宋体" w:hAnsi="宋体" w:eastAsia="宋体" w:cs="宋体"/>
                <w:kern w:val="0"/>
                <w:sz w:val="20"/>
                <w:szCs w:val="20"/>
                <w:lang w:val="en-US" w:eastAsia="zh-CN" w:bidi="ar"/>
              </w:rPr>
              <w:t>是</w:t>
            </w:r>
          </w:p>
        </w:tc>
        <w:tc>
          <w:tcPr>
            <w:tcW w:w="547" w:type="pct"/>
            <w:tcBorders>
              <w:top w:val="nil"/>
              <w:left w:val="nil"/>
              <w:bottom w:val="single" w:color="auto" w:sz="4" w:space="0"/>
              <w:right w:val="single" w:color="auto" w:sz="4" w:space="0"/>
            </w:tcBorders>
            <w:shd w:val="clear" w:color="auto" w:fill="auto"/>
            <w:vAlign w:val="center"/>
          </w:tcPr>
          <w:p w14:paraId="0B0987A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eastAsia="zh-CN"/>
              </w:rPr>
            </w:pPr>
          </w:p>
        </w:tc>
        <w:tc>
          <w:tcPr>
            <w:tcW w:w="500" w:type="pct"/>
            <w:tcBorders>
              <w:top w:val="nil"/>
              <w:left w:val="nil"/>
              <w:bottom w:val="single" w:color="auto" w:sz="4" w:space="0"/>
              <w:right w:val="single" w:color="auto" w:sz="4" w:space="0"/>
            </w:tcBorders>
            <w:shd w:val="clear" w:color="auto" w:fill="auto"/>
            <w:vAlign w:val="center"/>
          </w:tcPr>
          <w:p w14:paraId="76346E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14:paraId="442155E0">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eastAsia="zh-CN"/>
              </w:rPr>
            </w:pPr>
            <w:r>
              <w:rPr>
                <w:rFonts w:hint="eastAsia" w:ascii="宋体" w:hAnsi="宋体" w:eastAsia="宋体" w:cs="宋体"/>
                <w:kern w:val="0"/>
                <w:sz w:val="20"/>
                <w:szCs w:val="20"/>
                <w:lang w:val="en-US" w:eastAsia="zh-CN" w:bidi="ar"/>
              </w:rPr>
              <w:t>尹善英</w:t>
            </w:r>
          </w:p>
        </w:tc>
        <w:tc>
          <w:tcPr>
            <w:tcW w:w="447" w:type="pct"/>
            <w:tcBorders>
              <w:top w:val="nil"/>
              <w:left w:val="nil"/>
              <w:bottom w:val="single" w:color="auto" w:sz="4" w:space="0"/>
              <w:right w:val="single" w:color="auto" w:sz="4" w:space="0"/>
            </w:tcBorders>
            <w:shd w:val="clear" w:color="auto" w:fill="auto"/>
            <w:vAlign w:val="center"/>
          </w:tcPr>
          <w:p w14:paraId="56ABBE9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eastAsia="zh-CN"/>
              </w:rPr>
            </w:pPr>
            <w:r>
              <w:rPr>
                <w:rFonts w:hint="eastAsia" w:ascii="宋体" w:hAnsi="宋体" w:eastAsia="宋体" w:cs="宋体"/>
                <w:kern w:val="0"/>
                <w:sz w:val="20"/>
                <w:szCs w:val="20"/>
                <w:lang w:val="en-US" w:eastAsia="zh-CN" w:bidi="ar"/>
              </w:rPr>
              <w:t>否</w:t>
            </w:r>
          </w:p>
        </w:tc>
      </w:tr>
      <w:tr w14:paraId="37B46ECF">
        <w:tblPrEx>
          <w:tblCellMar>
            <w:top w:w="0" w:type="dxa"/>
            <w:left w:w="108" w:type="dxa"/>
            <w:bottom w:w="0" w:type="dxa"/>
            <w:right w:w="108" w:type="dxa"/>
          </w:tblCellMar>
        </w:tblPrEx>
        <w:trPr>
          <w:trHeight w:val="7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378EF40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2025.1</w:t>
            </w:r>
          </w:p>
        </w:tc>
        <w:tc>
          <w:tcPr>
            <w:tcW w:w="489" w:type="pct"/>
            <w:tcBorders>
              <w:top w:val="nil"/>
              <w:left w:val="nil"/>
              <w:bottom w:val="single" w:color="auto" w:sz="4" w:space="0"/>
              <w:right w:val="single" w:color="auto" w:sz="4" w:space="0"/>
            </w:tcBorders>
            <w:shd w:val="clear" w:color="auto" w:fill="auto"/>
            <w:vAlign w:val="center"/>
          </w:tcPr>
          <w:p w14:paraId="257E89F0">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修订</w:t>
            </w:r>
          </w:p>
          <w:p w14:paraId="0592985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执行</w:t>
            </w:r>
          </w:p>
        </w:tc>
        <w:tc>
          <w:tcPr>
            <w:tcW w:w="741" w:type="pct"/>
            <w:tcBorders>
              <w:top w:val="nil"/>
              <w:left w:val="nil"/>
              <w:bottom w:val="single" w:color="auto" w:sz="4" w:space="0"/>
              <w:right w:val="single" w:color="auto" w:sz="4" w:space="0"/>
            </w:tcBorders>
            <w:shd w:val="clear" w:color="auto" w:fill="auto"/>
            <w:vAlign w:val="center"/>
          </w:tcPr>
          <w:p w14:paraId="601E9B64">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2025.1.1</w:t>
            </w:r>
          </w:p>
        </w:tc>
        <w:tc>
          <w:tcPr>
            <w:tcW w:w="724" w:type="pct"/>
            <w:tcBorders>
              <w:top w:val="nil"/>
              <w:left w:val="nil"/>
              <w:bottom w:val="single" w:color="auto" w:sz="4" w:space="0"/>
              <w:right w:val="single" w:color="auto" w:sz="4" w:space="0"/>
            </w:tcBorders>
            <w:shd w:val="clear" w:color="auto" w:fill="auto"/>
            <w:vAlign w:val="center"/>
          </w:tcPr>
          <w:p w14:paraId="52FE4EBF">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val="en-US" w:eastAsia="zh-CN" w:bidi="ar-SA"/>
              </w:rPr>
            </w:pPr>
            <w:r>
              <w:rPr>
                <w:rFonts w:hint="eastAsia" w:ascii="宋体" w:hAnsi="宋体" w:eastAsia="宋体" w:cs="宋体"/>
                <w:kern w:val="0"/>
                <w:sz w:val="20"/>
                <w:szCs w:val="20"/>
                <w:lang w:val="en-US" w:eastAsia="zh-CN" w:bidi="ar"/>
              </w:rPr>
              <w:t>安环品质部</w:t>
            </w:r>
          </w:p>
        </w:tc>
        <w:tc>
          <w:tcPr>
            <w:tcW w:w="364" w:type="pct"/>
            <w:tcBorders>
              <w:top w:val="nil"/>
              <w:left w:val="nil"/>
              <w:bottom w:val="single" w:color="auto" w:sz="4" w:space="0"/>
              <w:right w:val="single" w:color="auto" w:sz="4" w:space="0"/>
            </w:tcBorders>
            <w:shd w:val="clear" w:color="auto" w:fill="auto"/>
            <w:vAlign w:val="center"/>
          </w:tcPr>
          <w:p w14:paraId="474C800F">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val="en-US" w:eastAsia="zh-CN" w:bidi="ar-SA"/>
              </w:rPr>
            </w:pPr>
          </w:p>
        </w:tc>
        <w:tc>
          <w:tcPr>
            <w:tcW w:w="547" w:type="pct"/>
            <w:tcBorders>
              <w:top w:val="nil"/>
              <w:left w:val="nil"/>
              <w:bottom w:val="single" w:color="auto" w:sz="4" w:space="0"/>
              <w:right w:val="single" w:color="auto" w:sz="4" w:space="0"/>
            </w:tcBorders>
            <w:shd w:val="clear" w:color="auto" w:fill="auto"/>
            <w:vAlign w:val="center"/>
          </w:tcPr>
          <w:p w14:paraId="4920EEA8">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eastAsia="zh-CN"/>
              </w:rPr>
            </w:pPr>
          </w:p>
        </w:tc>
        <w:tc>
          <w:tcPr>
            <w:tcW w:w="500" w:type="pct"/>
            <w:tcBorders>
              <w:top w:val="nil"/>
              <w:left w:val="nil"/>
              <w:bottom w:val="single" w:color="auto" w:sz="4" w:space="0"/>
              <w:right w:val="single" w:color="auto" w:sz="4" w:space="0"/>
            </w:tcBorders>
            <w:shd w:val="clear" w:color="auto" w:fill="auto"/>
            <w:vAlign w:val="center"/>
          </w:tcPr>
          <w:p w14:paraId="02CCEBF0">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14:paraId="3C517829">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黄殿兴</w:t>
            </w:r>
          </w:p>
        </w:tc>
        <w:tc>
          <w:tcPr>
            <w:tcW w:w="447" w:type="pct"/>
            <w:tcBorders>
              <w:top w:val="nil"/>
              <w:left w:val="nil"/>
              <w:bottom w:val="single" w:color="auto" w:sz="4" w:space="0"/>
              <w:right w:val="single" w:color="auto" w:sz="4" w:space="0"/>
            </w:tcBorders>
            <w:shd w:val="clear" w:color="auto" w:fill="auto"/>
            <w:vAlign w:val="center"/>
          </w:tcPr>
          <w:p w14:paraId="631509D7">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是</w:t>
            </w:r>
          </w:p>
        </w:tc>
      </w:tr>
      <w:tr w14:paraId="1C7700B4">
        <w:tblPrEx>
          <w:tblCellMar>
            <w:top w:w="0" w:type="dxa"/>
            <w:left w:w="108" w:type="dxa"/>
            <w:bottom w:w="0" w:type="dxa"/>
            <w:right w:w="108" w:type="dxa"/>
          </w:tblCellMar>
        </w:tblPrEx>
        <w:trPr>
          <w:trHeight w:val="7264"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13BCD2E9">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此</w:t>
            </w:r>
          </w:p>
          <w:p w14:paraId="2A35606F">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p>
          <w:p w14:paraId="1982C86A">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次</w:t>
            </w:r>
          </w:p>
          <w:p w14:paraId="6036231C">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p>
          <w:p w14:paraId="4A4A5807">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修</w:t>
            </w:r>
          </w:p>
          <w:p w14:paraId="482D8FCE">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p>
          <w:p w14:paraId="6B5417BD">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改</w:t>
            </w:r>
          </w:p>
          <w:p w14:paraId="54ECFDA9">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p>
          <w:p w14:paraId="6532808F">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的</w:t>
            </w:r>
          </w:p>
          <w:p w14:paraId="21F61646">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p>
          <w:p w14:paraId="41E7BFCC">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主</w:t>
            </w:r>
          </w:p>
          <w:p w14:paraId="223D1E6A">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p>
          <w:p w14:paraId="79109801">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要</w:t>
            </w:r>
          </w:p>
          <w:p w14:paraId="3D683AAC">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p>
          <w:p w14:paraId="63425835">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内</w:t>
            </w:r>
          </w:p>
          <w:p w14:paraId="73BDF9A7">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p>
          <w:p w14:paraId="012A52A1">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容</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05410308">
            <w:pPr>
              <w:keepNext w:val="0"/>
              <w:keepLines w:val="0"/>
              <w:widowControl/>
              <w:suppressLineNumbers w:val="0"/>
              <w:spacing w:before="0" w:beforeAutospacing="0" w:after="0" w:afterAutospacing="0"/>
              <w:ind w:left="0" w:right="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此次修改主要内容：</w:t>
            </w:r>
          </w:p>
          <w:p w14:paraId="1E4375C6">
            <w:pPr>
              <w:keepNext w:val="0"/>
              <w:keepLines w:val="0"/>
              <w:widowControl/>
              <w:numPr>
                <w:ilvl w:val="0"/>
                <w:numId w:val="1"/>
              </w:numPr>
              <w:suppressLineNumbers w:val="0"/>
              <w:spacing w:before="0" w:beforeAutospacing="0" w:after="0" w:afterAutospacing="0"/>
              <w:ind w:left="0" w:right="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内容细化，增加部分处罚条款；</w:t>
            </w:r>
          </w:p>
          <w:p w14:paraId="38EEC3B1">
            <w:pPr>
              <w:keepNext w:val="0"/>
              <w:keepLines w:val="0"/>
              <w:widowControl/>
              <w:numPr>
                <w:ilvl w:val="0"/>
                <w:numId w:val="1"/>
              </w:numPr>
              <w:suppressLineNumbers w:val="0"/>
              <w:spacing w:before="0" w:beforeAutospacing="0" w:after="0" w:afterAutospacing="0"/>
              <w:ind w:left="0" w:right="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重新规定“事故等级考核标准”；</w:t>
            </w:r>
          </w:p>
          <w:p w14:paraId="35CA6B91">
            <w:pPr>
              <w:keepNext w:val="0"/>
              <w:keepLines w:val="0"/>
              <w:widowControl/>
              <w:numPr>
                <w:ilvl w:val="0"/>
                <w:numId w:val="1"/>
              </w:numPr>
              <w:suppressLineNumbers w:val="0"/>
              <w:spacing w:before="0" w:beforeAutospacing="0" w:after="0" w:afterAutospacing="0"/>
              <w:ind w:left="0" w:right="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重新制定“奖惩单”格式；</w:t>
            </w:r>
          </w:p>
          <w:p w14:paraId="44C1D96F">
            <w:pPr>
              <w:keepNext w:val="0"/>
              <w:keepLines w:val="0"/>
              <w:widowControl/>
              <w:numPr>
                <w:ilvl w:val="0"/>
                <w:numId w:val="1"/>
              </w:numPr>
              <w:suppressLineNumbers w:val="0"/>
              <w:spacing w:before="0" w:beforeAutospacing="0" w:after="0" w:afterAutospacing="0"/>
              <w:ind w:left="0" w:right="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对事故责任人的处罚：增加培训及考核机制。</w:t>
            </w:r>
          </w:p>
        </w:tc>
      </w:tr>
      <w:tr w14:paraId="7CD81124">
        <w:tblPrEx>
          <w:tblCellMar>
            <w:top w:w="0" w:type="dxa"/>
            <w:left w:w="108" w:type="dxa"/>
            <w:bottom w:w="0" w:type="dxa"/>
            <w:right w:w="108" w:type="dxa"/>
          </w:tblCellMar>
        </w:tblPrEx>
        <w:trPr>
          <w:trHeight w:val="70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63EEDA29">
            <w:pPr>
              <w:keepNext w:val="0"/>
              <w:keepLines w:val="0"/>
              <w:widowControl/>
              <w:suppressLineNumbers w:val="0"/>
              <w:spacing w:before="0" w:beforeAutospacing="0" w:after="0" w:afterAutospacing="0"/>
              <w:ind w:left="0" w:right="0"/>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解释部门</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1DADC494">
            <w:pPr>
              <w:keepNext w:val="0"/>
              <w:keepLines w:val="0"/>
              <w:widowControl/>
              <w:suppressLineNumbers w:val="0"/>
              <w:spacing w:before="0" w:beforeAutospacing="0" w:after="0" w:afterAutospacing="0"/>
              <w:ind w:left="0" w:right="0"/>
              <w:rPr>
                <w:rFonts w:hint="eastAsia" w:ascii="宋体" w:hAnsi="宋体" w:eastAsia="宋体" w:cs="宋体"/>
                <w:sz w:val="20"/>
                <w:szCs w:val="20"/>
                <w:lang w:eastAsia="zh-CN"/>
              </w:rPr>
            </w:pPr>
            <w:r>
              <w:rPr>
                <w:rFonts w:hint="eastAsia" w:ascii="宋体" w:hAnsi="宋体" w:eastAsia="宋体" w:cs="宋体"/>
                <w:sz w:val="20"/>
                <w:szCs w:val="20"/>
                <w:lang w:eastAsia="zh-CN"/>
              </w:rPr>
              <w:t>安环</w:t>
            </w:r>
            <w:r>
              <w:rPr>
                <w:rFonts w:hint="eastAsia" w:ascii="宋体" w:hAnsi="宋体" w:eastAsia="宋体" w:cs="宋体"/>
                <w:sz w:val="20"/>
                <w:szCs w:val="20"/>
                <w:lang w:val="en-US" w:eastAsia="zh-CN"/>
              </w:rPr>
              <w:t>品质</w:t>
            </w:r>
            <w:r>
              <w:rPr>
                <w:rFonts w:hint="eastAsia" w:ascii="宋体" w:hAnsi="宋体" w:eastAsia="宋体" w:cs="宋体"/>
                <w:sz w:val="20"/>
                <w:szCs w:val="20"/>
                <w:lang w:eastAsia="zh-CN"/>
              </w:rPr>
              <w:t>部</w:t>
            </w:r>
          </w:p>
        </w:tc>
      </w:tr>
    </w:tbl>
    <w:p w14:paraId="23386E4D">
      <w:pPr>
        <w:sectPr>
          <w:headerReference r:id="rId3" w:type="default"/>
          <w:footerReference r:id="rId4" w:type="default"/>
          <w:pgSz w:w="11910" w:h="16840"/>
          <w:pgMar w:top="1440" w:right="1800" w:bottom="1440" w:left="1800" w:header="820" w:footer="822" w:gutter="0"/>
          <w:pgBorders>
            <w:top w:val="none" w:sz="0" w:space="0"/>
            <w:left w:val="none" w:sz="0" w:space="0"/>
            <w:bottom w:val="none" w:sz="0" w:space="0"/>
            <w:right w:val="none" w:sz="0" w:space="0"/>
          </w:pgBorders>
          <w:cols w:space="720" w:num="1"/>
          <w:docGrid w:linePitch="299" w:charSpace="0"/>
        </w:sectPr>
      </w:pPr>
    </w:p>
    <w:sdt>
      <w:sdtPr>
        <w:rPr>
          <w:rFonts w:ascii="宋体" w:hAnsi="宋体" w:eastAsia="宋体" w:cstheme="minorBidi"/>
          <w:sz w:val="21"/>
          <w:szCs w:val="22"/>
          <w:lang w:val="en-US" w:eastAsia="en-US" w:bidi="ar-SA"/>
        </w:rPr>
        <w:id w:val="147481423"/>
        <w15:color w:val="DBDBDB"/>
        <w:docPartObj>
          <w:docPartGallery w:val="Table of Contents"/>
          <w:docPartUnique/>
        </w:docPartObj>
      </w:sdtPr>
      <w:sdtEndPr>
        <w:rPr>
          <w:rFonts w:asciiTheme="minorHAnsi" w:hAnsiTheme="minorHAnsi" w:eastAsiaTheme="minorHAnsi" w:cstheme="minorBidi"/>
          <w:sz w:val="22"/>
          <w:szCs w:val="22"/>
          <w:lang w:val="en-US" w:eastAsia="en-US" w:bidi="ar-SA"/>
        </w:rPr>
      </w:sdtEndPr>
      <w:sdtContent>
        <w:p w14:paraId="44C7D57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961C32A">
          <w:pPr>
            <w:pStyle w:val="11"/>
            <w:tabs>
              <w:tab w:val="right" w:leader="dot" w:pos="8849"/>
            </w:tabs>
          </w:pPr>
          <w:r>
            <w:fldChar w:fldCharType="begin"/>
          </w:r>
          <w:r>
            <w:instrText xml:space="preserve">TOC \o "1-1" \h \u </w:instrText>
          </w:r>
          <w:r>
            <w:fldChar w:fldCharType="separate"/>
          </w:r>
          <w:r>
            <w:fldChar w:fldCharType="begin"/>
          </w:r>
          <w:r>
            <w:instrText xml:space="preserve"> HYPERLINK \l _Toc30630 </w:instrText>
          </w:r>
          <w:r>
            <w:fldChar w:fldCharType="separate"/>
          </w:r>
          <w:r>
            <w:rPr>
              <w:rFonts w:hint="eastAsia" w:cs="黑体" w:asciiTheme="minorEastAsia" w:hAnsiTheme="minorEastAsia" w:eastAsiaTheme="minorEastAsia"/>
              <w:w w:val="95"/>
              <w:szCs w:val="32"/>
              <w:lang w:eastAsia="zh-CN"/>
            </w:rPr>
            <w:t>宁津北控城市环境服务有限公司</w:t>
          </w:r>
          <w:r>
            <w:tab/>
          </w:r>
          <w:r>
            <w:fldChar w:fldCharType="begin"/>
          </w:r>
          <w:r>
            <w:instrText xml:space="preserve"> PAGEREF _Toc30630 \h </w:instrText>
          </w:r>
          <w:r>
            <w:fldChar w:fldCharType="separate"/>
          </w:r>
          <w:r>
            <w:t>1</w:t>
          </w:r>
          <w:r>
            <w:fldChar w:fldCharType="end"/>
          </w:r>
          <w:r>
            <w:fldChar w:fldCharType="end"/>
          </w:r>
        </w:p>
        <w:p w14:paraId="3F20EA61">
          <w:pPr>
            <w:pStyle w:val="11"/>
            <w:tabs>
              <w:tab w:val="right" w:leader="dot" w:pos="8849"/>
            </w:tabs>
          </w:pPr>
          <w:r>
            <w:fldChar w:fldCharType="begin"/>
          </w:r>
          <w:r>
            <w:instrText xml:space="preserve"> HYPERLINK \l _Toc4245 </w:instrText>
          </w:r>
          <w:r>
            <w:fldChar w:fldCharType="separate"/>
          </w:r>
          <w:r>
            <w:rPr>
              <w:rFonts w:hint="eastAsia" w:ascii="仿宋" w:hAnsi="仿宋" w:eastAsia="仿宋" w:cs="仿宋"/>
              <w:szCs w:val="44"/>
              <w:lang w:eastAsia="zh-CN"/>
            </w:rPr>
            <w:t>安全生产奖惩管理制度</w:t>
          </w:r>
          <w:r>
            <w:tab/>
          </w:r>
          <w:r>
            <w:fldChar w:fldCharType="begin"/>
          </w:r>
          <w:r>
            <w:instrText xml:space="preserve"> PAGEREF _Toc4245 \h </w:instrText>
          </w:r>
          <w:r>
            <w:fldChar w:fldCharType="separate"/>
          </w:r>
          <w:r>
            <w:t>4</w:t>
          </w:r>
          <w:r>
            <w:fldChar w:fldCharType="end"/>
          </w:r>
          <w:r>
            <w:fldChar w:fldCharType="end"/>
          </w:r>
        </w:p>
        <w:p w14:paraId="01841209">
          <w:pPr>
            <w:pStyle w:val="11"/>
            <w:tabs>
              <w:tab w:val="right" w:leader="dot" w:pos="8849"/>
            </w:tabs>
          </w:pPr>
          <w:r>
            <w:fldChar w:fldCharType="begin"/>
          </w:r>
          <w:r>
            <w:instrText xml:space="preserve"> HYPERLINK \l _Toc9149 </w:instrText>
          </w:r>
          <w:r>
            <w:fldChar w:fldCharType="separate"/>
          </w:r>
          <w:r>
            <w:rPr>
              <w:rFonts w:hint="default" w:ascii="仿宋" w:hAnsi="仿宋" w:eastAsia="仿宋" w:cs="仿宋"/>
              <w:szCs w:val="28"/>
            </w:rPr>
            <w:t xml:space="preserve">1. </w:t>
          </w:r>
          <w:r>
            <w:rPr>
              <w:rFonts w:hint="eastAsia" w:ascii="仿宋" w:hAnsi="仿宋" w:eastAsia="仿宋" w:cs="仿宋"/>
              <w:szCs w:val="28"/>
            </w:rPr>
            <w:t>目的</w:t>
          </w:r>
          <w:r>
            <w:tab/>
          </w:r>
          <w:r>
            <w:fldChar w:fldCharType="begin"/>
          </w:r>
          <w:r>
            <w:instrText xml:space="preserve"> PAGEREF _Toc9149 \h </w:instrText>
          </w:r>
          <w:r>
            <w:fldChar w:fldCharType="separate"/>
          </w:r>
          <w:r>
            <w:t>4</w:t>
          </w:r>
          <w:r>
            <w:fldChar w:fldCharType="end"/>
          </w:r>
          <w:r>
            <w:fldChar w:fldCharType="end"/>
          </w:r>
        </w:p>
        <w:p w14:paraId="1F6FDD28">
          <w:pPr>
            <w:pStyle w:val="11"/>
            <w:tabs>
              <w:tab w:val="right" w:leader="dot" w:pos="8849"/>
            </w:tabs>
          </w:pPr>
          <w:r>
            <w:fldChar w:fldCharType="begin"/>
          </w:r>
          <w:r>
            <w:instrText xml:space="preserve"> HYPERLINK \l _Toc1625 </w:instrText>
          </w:r>
          <w:r>
            <w:fldChar w:fldCharType="separate"/>
          </w:r>
          <w:r>
            <w:rPr>
              <w:rFonts w:hint="default" w:ascii="仿宋" w:hAnsi="仿宋" w:eastAsia="仿宋" w:cs="仿宋"/>
              <w:szCs w:val="28"/>
              <w:lang w:eastAsia="zh-CN"/>
            </w:rPr>
            <w:t xml:space="preserve">2. </w:t>
          </w:r>
          <w:r>
            <w:rPr>
              <w:rFonts w:hint="eastAsia" w:ascii="仿宋" w:hAnsi="仿宋" w:eastAsia="仿宋" w:cs="仿宋"/>
              <w:szCs w:val="28"/>
              <w:lang w:eastAsia="zh-CN"/>
            </w:rPr>
            <w:t>术语与定义</w:t>
          </w:r>
          <w:r>
            <w:tab/>
          </w:r>
          <w:r>
            <w:fldChar w:fldCharType="begin"/>
          </w:r>
          <w:r>
            <w:instrText xml:space="preserve"> PAGEREF _Toc1625 \h </w:instrText>
          </w:r>
          <w:r>
            <w:fldChar w:fldCharType="separate"/>
          </w:r>
          <w:r>
            <w:t>4</w:t>
          </w:r>
          <w:r>
            <w:fldChar w:fldCharType="end"/>
          </w:r>
          <w:r>
            <w:fldChar w:fldCharType="end"/>
          </w:r>
        </w:p>
        <w:p w14:paraId="14E629B0">
          <w:pPr>
            <w:pStyle w:val="11"/>
            <w:tabs>
              <w:tab w:val="right" w:leader="dot" w:pos="8849"/>
            </w:tabs>
          </w:pPr>
          <w:r>
            <w:fldChar w:fldCharType="begin"/>
          </w:r>
          <w:r>
            <w:instrText xml:space="preserve"> HYPERLINK \l _Toc10368 </w:instrText>
          </w:r>
          <w:r>
            <w:fldChar w:fldCharType="separate"/>
          </w:r>
          <w:r>
            <w:rPr>
              <w:rFonts w:hint="default" w:ascii="仿宋" w:hAnsi="仿宋" w:eastAsia="仿宋" w:cs="仿宋"/>
              <w:szCs w:val="28"/>
              <w:lang w:eastAsia="zh-CN"/>
            </w:rPr>
            <w:t xml:space="preserve">3. </w:t>
          </w:r>
          <w:r>
            <w:rPr>
              <w:rFonts w:hint="eastAsia" w:ascii="仿宋" w:hAnsi="仿宋" w:eastAsia="仿宋" w:cs="仿宋"/>
              <w:szCs w:val="28"/>
              <w:lang w:eastAsia="zh-CN"/>
            </w:rPr>
            <w:t>工作职责</w:t>
          </w:r>
          <w:r>
            <w:tab/>
          </w:r>
          <w:r>
            <w:fldChar w:fldCharType="begin"/>
          </w:r>
          <w:r>
            <w:instrText xml:space="preserve"> PAGEREF _Toc10368 \h </w:instrText>
          </w:r>
          <w:r>
            <w:fldChar w:fldCharType="separate"/>
          </w:r>
          <w:r>
            <w:t>5</w:t>
          </w:r>
          <w:r>
            <w:fldChar w:fldCharType="end"/>
          </w:r>
          <w:r>
            <w:fldChar w:fldCharType="end"/>
          </w:r>
        </w:p>
        <w:p w14:paraId="61C3EC72">
          <w:pPr>
            <w:pStyle w:val="11"/>
            <w:tabs>
              <w:tab w:val="right" w:leader="dot" w:pos="8849"/>
            </w:tabs>
          </w:pPr>
          <w:r>
            <w:fldChar w:fldCharType="begin"/>
          </w:r>
          <w:r>
            <w:instrText xml:space="preserve"> HYPERLINK \l _Toc18825 </w:instrText>
          </w:r>
          <w:r>
            <w:fldChar w:fldCharType="separate"/>
          </w:r>
          <w:r>
            <w:rPr>
              <w:rFonts w:hint="default" w:ascii="仿宋" w:hAnsi="仿宋" w:eastAsia="仿宋" w:cs="仿宋"/>
              <w:szCs w:val="28"/>
              <w:lang w:eastAsia="zh-CN"/>
            </w:rPr>
            <w:t xml:space="preserve">4. </w:t>
          </w:r>
          <w:r>
            <w:rPr>
              <w:rFonts w:hint="eastAsia" w:ascii="仿宋" w:hAnsi="仿宋" w:eastAsia="仿宋" w:cs="仿宋"/>
              <w:szCs w:val="28"/>
              <w:lang w:eastAsia="zh-CN"/>
            </w:rPr>
            <w:t>安全生产奖励标准</w:t>
          </w:r>
          <w:r>
            <w:tab/>
          </w:r>
          <w:r>
            <w:fldChar w:fldCharType="begin"/>
          </w:r>
          <w:r>
            <w:instrText xml:space="preserve"> PAGEREF _Toc18825 \h </w:instrText>
          </w:r>
          <w:r>
            <w:fldChar w:fldCharType="separate"/>
          </w:r>
          <w:r>
            <w:t>5</w:t>
          </w:r>
          <w:r>
            <w:fldChar w:fldCharType="end"/>
          </w:r>
          <w:r>
            <w:fldChar w:fldCharType="end"/>
          </w:r>
        </w:p>
        <w:p w14:paraId="17D47E3A">
          <w:pPr>
            <w:pStyle w:val="11"/>
            <w:tabs>
              <w:tab w:val="right" w:leader="dot" w:pos="8849"/>
            </w:tabs>
          </w:pPr>
          <w:r>
            <w:fldChar w:fldCharType="begin"/>
          </w:r>
          <w:r>
            <w:instrText xml:space="preserve"> HYPERLINK \l _Toc24477 </w:instrText>
          </w:r>
          <w:r>
            <w:fldChar w:fldCharType="separate"/>
          </w:r>
          <w:r>
            <w:rPr>
              <w:rFonts w:hint="default" w:ascii="仿宋" w:hAnsi="仿宋" w:eastAsia="仿宋" w:cs="仿宋"/>
              <w:szCs w:val="28"/>
              <w:lang w:eastAsia="zh-CN"/>
            </w:rPr>
            <w:t xml:space="preserve">5. </w:t>
          </w:r>
          <w:r>
            <w:rPr>
              <w:rFonts w:hint="eastAsia" w:ascii="仿宋" w:hAnsi="仿宋" w:eastAsia="仿宋" w:cs="仿宋"/>
              <w:szCs w:val="28"/>
              <w:lang w:eastAsia="zh-CN"/>
            </w:rPr>
            <w:t>处罚原则</w:t>
          </w:r>
          <w:r>
            <w:tab/>
          </w:r>
          <w:r>
            <w:fldChar w:fldCharType="begin"/>
          </w:r>
          <w:r>
            <w:instrText xml:space="preserve"> PAGEREF _Toc24477 \h </w:instrText>
          </w:r>
          <w:r>
            <w:fldChar w:fldCharType="separate"/>
          </w:r>
          <w:r>
            <w:t>5</w:t>
          </w:r>
          <w:r>
            <w:fldChar w:fldCharType="end"/>
          </w:r>
          <w:r>
            <w:fldChar w:fldCharType="end"/>
          </w:r>
        </w:p>
        <w:p w14:paraId="2C600D77">
          <w:pPr>
            <w:pStyle w:val="11"/>
            <w:tabs>
              <w:tab w:val="right" w:leader="dot" w:pos="8849"/>
            </w:tabs>
          </w:pPr>
          <w:r>
            <w:fldChar w:fldCharType="begin"/>
          </w:r>
          <w:r>
            <w:instrText xml:space="preserve"> HYPERLINK \l _Toc17091 </w:instrText>
          </w:r>
          <w:r>
            <w:fldChar w:fldCharType="separate"/>
          </w:r>
          <w:r>
            <w:rPr>
              <w:rFonts w:hint="default" w:ascii="仿宋" w:hAnsi="仿宋" w:eastAsia="仿宋" w:cs="仿宋"/>
              <w:szCs w:val="28"/>
              <w:lang w:eastAsia="zh-CN"/>
            </w:rPr>
            <w:t xml:space="preserve">6. </w:t>
          </w:r>
          <w:r>
            <w:rPr>
              <w:rFonts w:hint="eastAsia" w:ascii="仿宋" w:hAnsi="仿宋" w:eastAsia="仿宋" w:cs="仿宋"/>
              <w:szCs w:val="28"/>
              <w:lang w:eastAsia="zh-CN"/>
            </w:rPr>
            <w:t>安全事故处罚</w:t>
          </w:r>
          <w:r>
            <w:tab/>
          </w:r>
          <w:r>
            <w:fldChar w:fldCharType="begin"/>
          </w:r>
          <w:r>
            <w:instrText xml:space="preserve"> PAGEREF _Toc17091 \h </w:instrText>
          </w:r>
          <w:r>
            <w:fldChar w:fldCharType="separate"/>
          </w:r>
          <w:r>
            <w:t>6</w:t>
          </w:r>
          <w:r>
            <w:fldChar w:fldCharType="end"/>
          </w:r>
          <w:r>
            <w:fldChar w:fldCharType="end"/>
          </w:r>
        </w:p>
        <w:p w14:paraId="2EE2255D">
          <w:pPr>
            <w:pStyle w:val="11"/>
            <w:tabs>
              <w:tab w:val="right" w:leader="dot" w:pos="8849"/>
            </w:tabs>
          </w:pPr>
          <w:r>
            <w:fldChar w:fldCharType="begin"/>
          </w:r>
          <w:r>
            <w:instrText xml:space="preserve"> HYPERLINK \l _Toc13917 </w:instrText>
          </w:r>
          <w:r>
            <w:fldChar w:fldCharType="separate"/>
          </w:r>
          <w:r>
            <w:rPr>
              <w:rFonts w:hint="default" w:ascii="仿宋" w:hAnsi="仿宋" w:eastAsia="仿宋" w:cs="仿宋"/>
              <w:szCs w:val="28"/>
              <w:lang w:eastAsia="zh-CN"/>
            </w:rPr>
            <w:t xml:space="preserve">7. </w:t>
          </w:r>
          <w:r>
            <w:rPr>
              <w:rFonts w:hint="eastAsia" w:ascii="仿宋" w:hAnsi="仿宋" w:eastAsia="仿宋" w:cs="仿宋"/>
              <w:szCs w:val="28"/>
              <w:lang w:eastAsia="zh-CN"/>
            </w:rPr>
            <w:t>安全管理处罚</w:t>
          </w:r>
          <w:r>
            <w:tab/>
          </w:r>
          <w:r>
            <w:fldChar w:fldCharType="begin"/>
          </w:r>
          <w:r>
            <w:instrText xml:space="preserve"> PAGEREF _Toc13917 \h </w:instrText>
          </w:r>
          <w:r>
            <w:fldChar w:fldCharType="separate"/>
          </w:r>
          <w:r>
            <w:t>7</w:t>
          </w:r>
          <w:r>
            <w:fldChar w:fldCharType="end"/>
          </w:r>
          <w:r>
            <w:fldChar w:fldCharType="end"/>
          </w:r>
        </w:p>
        <w:p w14:paraId="43C3D749">
          <w:pPr>
            <w:pStyle w:val="11"/>
            <w:tabs>
              <w:tab w:val="right" w:leader="dot" w:pos="8849"/>
            </w:tabs>
          </w:pPr>
          <w:r>
            <w:fldChar w:fldCharType="begin"/>
          </w:r>
          <w:r>
            <w:instrText xml:space="preserve"> HYPERLINK \l _Toc7388 </w:instrText>
          </w:r>
          <w:r>
            <w:fldChar w:fldCharType="separate"/>
          </w:r>
          <w:r>
            <w:rPr>
              <w:rFonts w:hint="default" w:ascii="仿宋" w:hAnsi="仿宋" w:eastAsia="仿宋" w:cs="仿宋"/>
              <w:szCs w:val="28"/>
              <w:lang w:eastAsia="zh-CN"/>
            </w:rPr>
            <w:t xml:space="preserve">8. </w:t>
          </w:r>
          <w:r>
            <w:rPr>
              <w:rFonts w:hint="eastAsia" w:ascii="仿宋" w:hAnsi="仿宋" w:eastAsia="仿宋" w:cs="仿宋"/>
              <w:szCs w:val="28"/>
              <w:lang w:eastAsia="zh-CN"/>
            </w:rPr>
            <w:t>员工违章处罚</w:t>
          </w:r>
          <w:r>
            <w:tab/>
          </w:r>
          <w:r>
            <w:fldChar w:fldCharType="begin"/>
          </w:r>
          <w:r>
            <w:instrText xml:space="preserve"> PAGEREF _Toc7388 \h </w:instrText>
          </w:r>
          <w:r>
            <w:fldChar w:fldCharType="separate"/>
          </w:r>
          <w:r>
            <w:t>10</w:t>
          </w:r>
          <w:r>
            <w:fldChar w:fldCharType="end"/>
          </w:r>
          <w:r>
            <w:fldChar w:fldCharType="end"/>
          </w:r>
        </w:p>
        <w:p w14:paraId="05EA3168">
          <w:pPr>
            <w:pStyle w:val="11"/>
            <w:tabs>
              <w:tab w:val="right" w:leader="dot" w:pos="8849"/>
            </w:tabs>
          </w:pPr>
          <w:r>
            <w:fldChar w:fldCharType="begin"/>
          </w:r>
          <w:r>
            <w:instrText xml:space="preserve"> HYPERLINK \l _Toc7205 </w:instrText>
          </w:r>
          <w:r>
            <w:fldChar w:fldCharType="separate"/>
          </w:r>
          <w:r>
            <w:rPr>
              <w:rFonts w:hint="default" w:ascii="仿宋" w:hAnsi="仿宋" w:eastAsia="仿宋" w:cs="仿宋"/>
              <w:szCs w:val="28"/>
              <w:lang w:eastAsia="zh-CN"/>
            </w:rPr>
            <w:t xml:space="preserve">9. </w:t>
          </w:r>
          <w:r>
            <w:rPr>
              <w:rFonts w:hint="eastAsia" w:ascii="仿宋" w:hAnsi="仿宋" w:eastAsia="仿宋" w:cs="仿宋"/>
              <w:szCs w:val="28"/>
              <w:lang w:eastAsia="zh-CN"/>
            </w:rPr>
            <w:t>车辆安全管理处罚</w:t>
          </w:r>
          <w:r>
            <w:tab/>
          </w:r>
          <w:r>
            <w:fldChar w:fldCharType="begin"/>
          </w:r>
          <w:r>
            <w:instrText xml:space="preserve"> PAGEREF _Toc7205 \h </w:instrText>
          </w:r>
          <w:r>
            <w:fldChar w:fldCharType="separate"/>
          </w:r>
          <w:r>
            <w:t>14</w:t>
          </w:r>
          <w:r>
            <w:fldChar w:fldCharType="end"/>
          </w:r>
          <w:r>
            <w:fldChar w:fldCharType="end"/>
          </w:r>
        </w:p>
        <w:p w14:paraId="0D21C89B">
          <w:pPr>
            <w:pStyle w:val="11"/>
            <w:tabs>
              <w:tab w:val="right" w:leader="dot" w:pos="8849"/>
            </w:tabs>
          </w:pPr>
          <w:r>
            <w:fldChar w:fldCharType="begin"/>
          </w:r>
          <w:r>
            <w:instrText xml:space="preserve"> HYPERLINK \l _Toc25064 </w:instrText>
          </w:r>
          <w:r>
            <w:fldChar w:fldCharType="separate"/>
          </w:r>
          <w:r>
            <w:rPr>
              <w:rFonts w:hint="default" w:ascii="仿宋" w:hAnsi="仿宋" w:eastAsia="仿宋" w:cs="仿宋"/>
              <w:szCs w:val="28"/>
              <w:lang w:eastAsia="zh-CN"/>
            </w:rPr>
            <w:t xml:space="preserve">10. </w:t>
          </w:r>
          <w:r>
            <w:rPr>
              <w:rFonts w:hint="eastAsia" w:ascii="仿宋" w:hAnsi="仿宋" w:eastAsia="仿宋" w:cs="仿宋"/>
              <w:szCs w:val="28"/>
              <w:lang w:eastAsia="zh-CN"/>
            </w:rPr>
            <w:t>工作环境的安全、清洁违规处罚</w:t>
          </w:r>
          <w:r>
            <w:tab/>
          </w:r>
          <w:r>
            <w:fldChar w:fldCharType="begin"/>
          </w:r>
          <w:r>
            <w:instrText xml:space="preserve"> PAGEREF _Toc25064 \h </w:instrText>
          </w:r>
          <w:r>
            <w:fldChar w:fldCharType="separate"/>
          </w:r>
          <w:r>
            <w:t>19</w:t>
          </w:r>
          <w:r>
            <w:fldChar w:fldCharType="end"/>
          </w:r>
          <w:r>
            <w:fldChar w:fldCharType="end"/>
          </w:r>
        </w:p>
        <w:p w14:paraId="3AF3A22C">
          <w:pPr>
            <w:pStyle w:val="11"/>
            <w:tabs>
              <w:tab w:val="right" w:leader="dot" w:pos="8849"/>
            </w:tabs>
          </w:pPr>
          <w:r>
            <w:fldChar w:fldCharType="begin"/>
          </w:r>
          <w:r>
            <w:instrText xml:space="preserve"> HYPERLINK \l _Toc29176 </w:instrText>
          </w:r>
          <w:r>
            <w:fldChar w:fldCharType="separate"/>
          </w:r>
          <w:r>
            <w:rPr>
              <w:rFonts w:hint="default" w:ascii="仿宋" w:hAnsi="仿宋" w:eastAsia="仿宋" w:cs="仿宋"/>
              <w:szCs w:val="28"/>
              <w:lang w:eastAsia="zh-CN"/>
            </w:rPr>
            <w:t xml:space="preserve">11. </w:t>
          </w:r>
          <w:r>
            <w:rPr>
              <w:rFonts w:hint="eastAsia" w:ascii="仿宋" w:hAnsi="仿宋" w:eastAsia="仿宋" w:cs="仿宋"/>
              <w:szCs w:val="28"/>
              <w:lang w:eastAsia="zh-CN"/>
            </w:rPr>
            <w:t>危险作业、特殊作业违规处罚</w:t>
          </w:r>
          <w:r>
            <w:tab/>
          </w:r>
          <w:r>
            <w:fldChar w:fldCharType="begin"/>
          </w:r>
          <w:r>
            <w:instrText xml:space="preserve"> PAGEREF _Toc29176 \h </w:instrText>
          </w:r>
          <w:r>
            <w:fldChar w:fldCharType="separate"/>
          </w:r>
          <w:r>
            <w:t>21</w:t>
          </w:r>
          <w:r>
            <w:fldChar w:fldCharType="end"/>
          </w:r>
          <w:r>
            <w:fldChar w:fldCharType="end"/>
          </w:r>
        </w:p>
        <w:p w14:paraId="0F8110AC">
          <w:pPr>
            <w:pStyle w:val="11"/>
            <w:tabs>
              <w:tab w:val="right" w:leader="dot" w:pos="8849"/>
            </w:tabs>
          </w:pPr>
          <w:r>
            <w:fldChar w:fldCharType="begin"/>
          </w:r>
          <w:r>
            <w:instrText xml:space="preserve"> HYPERLINK \l _Toc22833 </w:instrText>
          </w:r>
          <w:r>
            <w:fldChar w:fldCharType="separate"/>
          </w:r>
          <w:r>
            <w:rPr>
              <w:rFonts w:hint="default" w:ascii="仿宋" w:hAnsi="仿宋" w:eastAsia="仿宋" w:cs="仿宋"/>
              <w:szCs w:val="28"/>
              <w:lang w:eastAsia="zh-CN"/>
            </w:rPr>
            <w:t xml:space="preserve">12. </w:t>
          </w:r>
          <w:r>
            <w:rPr>
              <w:rFonts w:hint="eastAsia" w:ascii="仿宋" w:hAnsi="仿宋" w:eastAsia="仿宋" w:cs="仿宋"/>
              <w:szCs w:val="28"/>
              <w:lang w:eastAsia="zh-CN"/>
            </w:rPr>
            <w:t>环境保护</w:t>
          </w:r>
          <w:r>
            <w:tab/>
          </w:r>
          <w:r>
            <w:fldChar w:fldCharType="begin"/>
          </w:r>
          <w:r>
            <w:instrText xml:space="preserve"> PAGEREF _Toc22833 \h </w:instrText>
          </w:r>
          <w:r>
            <w:fldChar w:fldCharType="separate"/>
          </w:r>
          <w:r>
            <w:t>21</w:t>
          </w:r>
          <w:r>
            <w:fldChar w:fldCharType="end"/>
          </w:r>
          <w:r>
            <w:fldChar w:fldCharType="end"/>
          </w:r>
        </w:p>
        <w:p w14:paraId="5694167D">
          <w:pPr>
            <w:pStyle w:val="11"/>
            <w:tabs>
              <w:tab w:val="right" w:leader="dot" w:pos="8849"/>
            </w:tabs>
          </w:pPr>
          <w:r>
            <w:fldChar w:fldCharType="begin"/>
          </w:r>
          <w:r>
            <w:instrText xml:space="preserve"> HYPERLINK \l _Toc27390 </w:instrText>
          </w:r>
          <w:r>
            <w:fldChar w:fldCharType="separate"/>
          </w:r>
          <w:r>
            <w:rPr>
              <w:rFonts w:hint="default" w:ascii="仿宋" w:hAnsi="仿宋" w:eastAsia="仿宋" w:cs="仿宋"/>
              <w:szCs w:val="28"/>
              <w:lang w:eastAsia="zh-CN"/>
            </w:rPr>
            <w:t xml:space="preserve">13. </w:t>
          </w:r>
          <w:r>
            <w:rPr>
              <w:rFonts w:hint="eastAsia" w:ascii="仿宋" w:hAnsi="仿宋" w:eastAsia="仿宋" w:cs="仿宋"/>
              <w:szCs w:val="28"/>
              <w:lang w:eastAsia="zh-CN"/>
            </w:rPr>
            <w:t>严重违纪处罚</w:t>
          </w:r>
          <w:r>
            <w:tab/>
          </w:r>
          <w:r>
            <w:fldChar w:fldCharType="begin"/>
          </w:r>
          <w:r>
            <w:instrText xml:space="preserve"> PAGEREF _Toc27390 \h </w:instrText>
          </w:r>
          <w:r>
            <w:fldChar w:fldCharType="separate"/>
          </w:r>
          <w:r>
            <w:t>21</w:t>
          </w:r>
          <w:r>
            <w:fldChar w:fldCharType="end"/>
          </w:r>
          <w:r>
            <w:fldChar w:fldCharType="end"/>
          </w:r>
        </w:p>
        <w:p w14:paraId="64602821">
          <w:pPr>
            <w:pStyle w:val="11"/>
            <w:tabs>
              <w:tab w:val="right" w:leader="dot" w:pos="8849"/>
            </w:tabs>
          </w:pPr>
          <w:r>
            <w:fldChar w:fldCharType="begin"/>
          </w:r>
          <w:r>
            <w:instrText xml:space="preserve"> HYPERLINK \l _Toc30235 </w:instrText>
          </w:r>
          <w:r>
            <w:fldChar w:fldCharType="separate"/>
          </w:r>
          <w:r>
            <w:rPr>
              <w:rFonts w:hint="default" w:ascii="仿宋" w:hAnsi="仿宋" w:eastAsia="仿宋" w:cs="仿宋"/>
              <w:szCs w:val="28"/>
              <w:lang w:eastAsia="zh-CN"/>
            </w:rPr>
            <w:t xml:space="preserve">14. </w:t>
          </w:r>
          <w:r>
            <w:rPr>
              <w:rFonts w:hint="eastAsia" w:ascii="仿宋" w:hAnsi="仿宋" w:eastAsia="仿宋" w:cs="仿宋"/>
              <w:szCs w:val="28"/>
              <w:lang w:eastAsia="zh-CN"/>
            </w:rPr>
            <w:t>附则</w:t>
          </w:r>
          <w:r>
            <w:tab/>
          </w:r>
          <w:r>
            <w:fldChar w:fldCharType="begin"/>
          </w:r>
          <w:r>
            <w:instrText xml:space="preserve"> PAGEREF _Toc30235 \h </w:instrText>
          </w:r>
          <w:r>
            <w:fldChar w:fldCharType="separate"/>
          </w:r>
          <w:r>
            <w:t>22</w:t>
          </w:r>
          <w:r>
            <w:fldChar w:fldCharType="end"/>
          </w:r>
          <w:r>
            <w:fldChar w:fldCharType="end"/>
          </w:r>
        </w:p>
        <w:p w14:paraId="54148A90">
          <w:pPr>
            <w:pStyle w:val="11"/>
            <w:tabs>
              <w:tab w:val="right" w:leader="dot" w:pos="8849"/>
            </w:tabs>
          </w:pPr>
          <w:r>
            <w:fldChar w:fldCharType="begin"/>
          </w:r>
          <w:r>
            <w:instrText xml:space="preserve"> HYPERLINK \l _Toc3685 </w:instrText>
          </w:r>
          <w:r>
            <w:fldChar w:fldCharType="separate"/>
          </w:r>
          <w:r>
            <w:rPr>
              <w:rFonts w:hint="eastAsia" w:ascii="仿宋" w:hAnsi="仿宋" w:eastAsia="仿宋" w:cs="仿宋"/>
              <w:bCs w:val="0"/>
              <w:kern w:val="0"/>
              <w:szCs w:val="28"/>
              <w:lang w:val="en-US" w:eastAsia="zh-CN" w:bidi="ar"/>
            </w:rPr>
            <w:t>附件1：事故等级考核标准</w:t>
          </w:r>
          <w:r>
            <w:tab/>
          </w:r>
          <w:r>
            <w:fldChar w:fldCharType="begin"/>
          </w:r>
          <w:r>
            <w:instrText xml:space="preserve"> PAGEREF _Toc3685 \h </w:instrText>
          </w:r>
          <w:r>
            <w:fldChar w:fldCharType="separate"/>
          </w:r>
          <w:r>
            <w:t>23</w:t>
          </w:r>
          <w:r>
            <w:fldChar w:fldCharType="end"/>
          </w:r>
          <w:r>
            <w:fldChar w:fldCharType="end"/>
          </w:r>
        </w:p>
        <w:p w14:paraId="3F8F7B3D">
          <w:pPr>
            <w:pStyle w:val="11"/>
            <w:tabs>
              <w:tab w:val="right" w:leader="dot" w:pos="8849"/>
            </w:tabs>
          </w:pPr>
          <w:r>
            <w:fldChar w:fldCharType="begin"/>
          </w:r>
          <w:r>
            <w:instrText xml:space="preserve"> HYPERLINK \l _Toc26388 </w:instrText>
          </w:r>
          <w:r>
            <w:fldChar w:fldCharType="separate"/>
          </w:r>
          <w:r>
            <w:rPr>
              <w:rFonts w:hint="eastAsia" w:ascii="仿宋" w:hAnsi="仿宋" w:eastAsia="仿宋" w:cs="仿宋"/>
              <w:bCs w:val="0"/>
              <w:kern w:val="0"/>
              <w:szCs w:val="28"/>
              <w:lang w:val="en-US" w:eastAsia="zh-CN" w:bidi="ar"/>
            </w:rPr>
            <w:t>附件2：HSE违章承诺书</w:t>
          </w:r>
          <w:r>
            <w:tab/>
          </w:r>
          <w:r>
            <w:fldChar w:fldCharType="begin"/>
          </w:r>
          <w:r>
            <w:instrText xml:space="preserve"> PAGEREF _Toc26388 \h </w:instrText>
          </w:r>
          <w:r>
            <w:fldChar w:fldCharType="separate"/>
          </w:r>
          <w:r>
            <w:t>24</w:t>
          </w:r>
          <w:r>
            <w:fldChar w:fldCharType="end"/>
          </w:r>
          <w:r>
            <w:fldChar w:fldCharType="end"/>
          </w:r>
        </w:p>
        <w:p w14:paraId="54BCDC39">
          <w:pPr>
            <w:pStyle w:val="11"/>
            <w:tabs>
              <w:tab w:val="right" w:leader="dot" w:pos="8849"/>
            </w:tabs>
          </w:pPr>
          <w:r>
            <w:fldChar w:fldCharType="begin"/>
          </w:r>
          <w:r>
            <w:instrText xml:space="preserve"> HYPERLINK \l _Toc19728 </w:instrText>
          </w:r>
          <w:r>
            <w:fldChar w:fldCharType="separate"/>
          </w:r>
          <w:r>
            <w:rPr>
              <w:rFonts w:hint="eastAsia" w:ascii="仿宋" w:hAnsi="仿宋" w:eastAsia="仿宋" w:cs="仿宋"/>
              <w:bCs w:val="0"/>
              <w:kern w:val="0"/>
              <w:szCs w:val="28"/>
              <w:lang w:val="en-US" w:eastAsia="zh-CN" w:bidi="ar"/>
            </w:rPr>
            <w:t>附件3：员工违规违纪处罚单</w:t>
          </w:r>
          <w:r>
            <w:tab/>
          </w:r>
          <w:r>
            <w:fldChar w:fldCharType="begin"/>
          </w:r>
          <w:r>
            <w:instrText xml:space="preserve"> PAGEREF _Toc19728 \h </w:instrText>
          </w:r>
          <w:r>
            <w:fldChar w:fldCharType="separate"/>
          </w:r>
          <w:r>
            <w:t>25</w:t>
          </w:r>
          <w:r>
            <w:fldChar w:fldCharType="end"/>
          </w:r>
          <w:r>
            <w:fldChar w:fldCharType="end"/>
          </w:r>
        </w:p>
        <w:p w14:paraId="76351F06">
          <w:pPr>
            <w:rPr>
              <w:rFonts w:asciiTheme="minorHAnsi" w:hAnsiTheme="minorHAnsi" w:eastAsiaTheme="minorHAnsi" w:cstheme="minorBidi"/>
              <w:sz w:val="22"/>
              <w:szCs w:val="22"/>
              <w:lang w:val="en-US" w:eastAsia="en-US" w:bidi="ar-SA"/>
            </w:rPr>
          </w:pPr>
          <w:r>
            <w:fldChar w:fldCharType="end"/>
          </w:r>
        </w:p>
      </w:sdtContent>
    </w:sdt>
    <w:p w14:paraId="147F2846">
      <w:pPr>
        <w:rPr>
          <w:rFonts w:asciiTheme="minorHAnsi" w:hAnsiTheme="minorHAnsi" w:eastAsiaTheme="minorHAnsi" w:cstheme="minorBidi"/>
          <w:sz w:val="22"/>
          <w:szCs w:val="22"/>
          <w:lang w:val="en-US" w:eastAsia="en-US" w:bidi="ar-SA"/>
        </w:rPr>
      </w:pPr>
    </w:p>
    <w:p w14:paraId="52515BC3">
      <w:pPr>
        <w:rPr>
          <w:rFonts w:hint="eastAsia" w:ascii="仿宋" w:hAnsi="仿宋" w:eastAsia="仿宋" w:cs="仿宋"/>
          <w:sz w:val="44"/>
          <w:szCs w:val="44"/>
          <w:lang w:eastAsia="zh-CN"/>
        </w:rPr>
      </w:pPr>
      <w:r>
        <w:rPr>
          <w:rFonts w:hint="eastAsia" w:ascii="仿宋" w:hAnsi="仿宋" w:eastAsia="仿宋" w:cs="仿宋"/>
          <w:sz w:val="44"/>
          <w:szCs w:val="44"/>
          <w:lang w:eastAsia="zh-CN"/>
        </w:rPr>
        <w:br w:type="page"/>
      </w:r>
    </w:p>
    <w:p w14:paraId="75BD9141">
      <w:pPr>
        <w:jc w:val="both"/>
        <w:rPr>
          <w:rFonts w:hint="eastAsia" w:ascii="仿宋" w:hAnsi="仿宋" w:eastAsia="仿宋" w:cs="仿宋"/>
          <w:sz w:val="44"/>
          <w:szCs w:val="44"/>
          <w:lang w:eastAsia="zh-CN"/>
        </w:rPr>
      </w:pPr>
    </w:p>
    <w:p w14:paraId="506F9339">
      <w:pPr>
        <w:spacing w:line="360" w:lineRule="auto"/>
        <w:jc w:val="center"/>
        <w:outlineLvl w:val="0"/>
        <w:rPr>
          <w:rFonts w:hint="eastAsia" w:ascii="仿宋" w:hAnsi="仿宋" w:eastAsia="仿宋" w:cs="仿宋"/>
          <w:sz w:val="44"/>
          <w:szCs w:val="44"/>
          <w:lang w:eastAsia="zh-CN"/>
        </w:rPr>
      </w:pPr>
      <w:bookmarkStart w:id="1" w:name="_Toc4245"/>
      <w:bookmarkStart w:id="2" w:name="_Toc31201"/>
      <w:r>
        <w:rPr>
          <w:rFonts w:hint="eastAsia" w:ascii="仿宋" w:hAnsi="仿宋" w:eastAsia="仿宋" w:cs="仿宋"/>
          <w:sz w:val="44"/>
          <w:szCs w:val="44"/>
          <w:lang w:eastAsia="zh-CN"/>
        </w:rPr>
        <w:t>安全生产奖惩管理制度</w:t>
      </w:r>
      <w:bookmarkEnd w:id="1"/>
      <w:bookmarkEnd w:id="2"/>
    </w:p>
    <w:p w14:paraId="38A896C4">
      <w:pPr>
        <w:spacing w:line="360" w:lineRule="auto"/>
        <w:ind w:firstLine="640" w:firstLineChars="200"/>
        <w:rPr>
          <w:rFonts w:hint="eastAsia" w:ascii="仿宋" w:hAnsi="仿宋" w:eastAsia="仿宋" w:cs="仿宋"/>
          <w:sz w:val="32"/>
          <w:szCs w:val="32"/>
        </w:rPr>
      </w:pPr>
      <w:bookmarkStart w:id="3" w:name="_Toc11559"/>
      <w:bookmarkStart w:id="4" w:name="_Toc2747"/>
    </w:p>
    <w:p w14:paraId="4D051CD9">
      <w:pPr>
        <w:pStyle w:val="7"/>
        <w:numPr>
          <w:ilvl w:val="0"/>
          <w:numId w:val="2"/>
        </w:numPr>
        <w:outlineLvl w:val="0"/>
        <w:rPr>
          <w:rFonts w:hint="eastAsia" w:ascii="仿宋" w:hAnsi="仿宋" w:eastAsia="仿宋" w:cs="仿宋"/>
          <w:sz w:val="28"/>
          <w:szCs w:val="28"/>
        </w:rPr>
      </w:pPr>
      <w:bookmarkStart w:id="5" w:name="_Toc9149"/>
      <w:r>
        <w:rPr>
          <w:rFonts w:hint="eastAsia" w:ascii="仿宋" w:hAnsi="仿宋" w:eastAsia="仿宋" w:cs="仿宋"/>
          <w:sz w:val="28"/>
          <w:szCs w:val="28"/>
        </w:rPr>
        <w:t>目的</w:t>
      </w:r>
      <w:bookmarkEnd w:id="3"/>
      <w:bookmarkEnd w:id="4"/>
      <w:bookmarkEnd w:id="5"/>
    </w:p>
    <w:p w14:paraId="6E58226F">
      <w:pPr>
        <w:spacing w:line="360" w:lineRule="auto"/>
        <w:ind w:firstLine="480" w:firstLineChars="200"/>
        <w:rPr>
          <w:rFonts w:hint="eastAsia" w:ascii="仿宋" w:hAnsi="仿宋" w:eastAsia="仿宋" w:cs="仿宋"/>
          <w:sz w:val="24"/>
          <w:szCs w:val="24"/>
          <w:lang w:eastAsia="zh-CN"/>
        </w:rPr>
      </w:pPr>
      <w:r>
        <w:rPr>
          <w:rFonts w:hint="eastAsia" w:ascii="仿宋" w:hAnsi="仿宋" w:eastAsia="仿宋" w:cs="仿宋"/>
          <w:sz w:val="24"/>
          <w:szCs w:val="24"/>
          <w:lang w:eastAsia="zh-CN"/>
        </w:rPr>
        <w:t>为进一步提升公司安全管理水平，落实公司各级安全责任和规章制度；规范公司各级履行安全管理职责，杜绝和减少安全事故的发生，实现安全生产。</w:t>
      </w:r>
    </w:p>
    <w:p w14:paraId="40B88050">
      <w:pPr>
        <w:pStyle w:val="7"/>
        <w:numPr>
          <w:ilvl w:val="0"/>
          <w:numId w:val="2"/>
        </w:numPr>
        <w:outlineLvl w:val="0"/>
        <w:rPr>
          <w:rFonts w:hint="eastAsia" w:ascii="仿宋" w:hAnsi="仿宋" w:eastAsia="仿宋" w:cs="仿宋"/>
          <w:sz w:val="28"/>
          <w:szCs w:val="28"/>
          <w:lang w:eastAsia="zh-CN"/>
        </w:rPr>
      </w:pPr>
      <w:bookmarkStart w:id="6" w:name="_Toc1625"/>
      <w:r>
        <w:rPr>
          <w:rFonts w:hint="eastAsia" w:ascii="仿宋" w:hAnsi="仿宋" w:eastAsia="仿宋" w:cs="仿宋"/>
          <w:sz w:val="28"/>
          <w:szCs w:val="28"/>
          <w:lang w:eastAsia="zh-CN"/>
        </w:rPr>
        <w:t>术语与定义</w:t>
      </w:r>
      <w:bookmarkEnd w:id="6"/>
      <w:r>
        <w:rPr>
          <w:rFonts w:hint="eastAsia" w:ascii="仿宋" w:hAnsi="仿宋" w:eastAsia="仿宋" w:cs="仿宋"/>
          <w:sz w:val="28"/>
          <w:szCs w:val="28"/>
          <w:lang w:eastAsia="zh-CN"/>
        </w:rPr>
        <w:t xml:space="preserve"> </w:t>
      </w:r>
    </w:p>
    <w:p w14:paraId="24090AAB">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责任主体，</w:t>
      </w:r>
      <w:r>
        <w:rPr>
          <w:rFonts w:hint="eastAsia" w:ascii="仿宋" w:hAnsi="仿宋" w:eastAsia="仿宋" w:cs="仿宋"/>
          <w:lang w:eastAsia="zh-CN"/>
        </w:rPr>
        <w:t>生产经营单位是安全生产责任主体，项目公司是安全生产责任主体。单位负责人（总经理、主持工作的副总经理或总经理助理）是本单位安全生产第一责任人，分别对本单位安全生产全面负责，其他负责人对职责范围内的安全生产工作负责。</w:t>
      </w:r>
    </w:p>
    <w:p w14:paraId="76794A81">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直线责任，</w:t>
      </w:r>
      <w:r>
        <w:rPr>
          <w:rFonts w:hint="eastAsia" w:ascii="仿宋" w:hAnsi="仿宋" w:eastAsia="仿宋" w:cs="仿宋"/>
          <w:lang w:eastAsia="zh-CN"/>
        </w:rPr>
        <w:t>各分管领导对分管工作范围内的安全工作直接负责；各职能/业务部门负责人对分管业务范围内的安全工作负责；班组长对本班组的安全工作负责。</w:t>
      </w:r>
    </w:p>
    <w:p w14:paraId="6FDCB814">
      <w:pPr>
        <w:pStyle w:val="9"/>
        <w:numPr>
          <w:ilvl w:val="1"/>
          <w:numId w:val="2"/>
        </w:numPr>
        <w:spacing w:line="360" w:lineRule="auto"/>
        <w:ind w:left="0" w:firstLine="0"/>
        <w:rPr>
          <w:rFonts w:hint="eastAsia" w:ascii="仿宋" w:hAnsi="仿宋" w:eastAsia="仿宋" w:cs="仿宋"/>
          <w:b/>
          <w:bCs/>
          <w:lang w:eastAsia="zh-CN"/>
        </w:rPr>
      </w:pPr>
      <w:r>
        <w:rPr>
          <w:rFonts w:hint="eastAsia" w:ascii="仿宋" w:hAnsi="仿宋" w:eastAsia="仿宋" w:cs="仿宋"/>
          <w:b/>
          <w:bCs/>
          <w:lang w:eastAsia="zh-CN"/>
        </w:rPr>
        <w:t>事故责任人员</w:t>
      </w:r>
    </w:p>
    <w:p w14:paraId="12CEDAF6">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根据事故调查所确认的事实，</w:t>
      </w:r>
      <w:r>
        <w:rPr>
          <w:rFonts w:hint="eastAsia" w:ascii="仿宋" w:hAnsi="仿宋" w:eastAsia="仿宋" w:cs="仿宋"/>
          <w:b/>
          <w:bCs/>
          <w:lang w:eastAsia="zh-CN"/>
        </w:rPr>
        <w:t>通过对直接原因和间接原因分析，确定事故中的直接责任者和领导责任者</w:t>
      </w:r>
      <w:r>
        <w:rPr>
          <w:rFonts w:hint="eastAsia" w:ascii="仿宋" w:hAnsi="仿宋" w:eastAsia="仿宋" w:cs="仿宋"/>
          <w:lang w:eastAsia="zh-CN"/>
        </w:rPr>
        <w:t>。</w:t>
      </w:r>
    </w:p>
    <w:p w14:paraId="212AD23F">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直接责任，</w:t>
      </w:r>
      <w:r>
        <w:rPr>
          <w:rFonts w:hint="eastAsia" w:ascii="仿宋" w:hAnsi="仿宋" w:eastAsia="仿宋" w:cs="仿宋"/>
          <w:lang w:eastAsia="zh-CN"/>
        </w:rPr>
        <w:t>指其行为与事故的发生有直接关系，在其职责范围内，不履行或者不正确履行自己的职责，对事故的发生起决定性作用的责任人。根据在事故过程中作用的大小，可分为重要责任、主要责任、次要责任。</w:t>
      </w:r>
    </w:p>
    <w:p w14:paraId="170E22F2">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领导责任，</w:t>
      </w:r>
      <w:r>
        <w:rPr>
          <w:rFonts w:hint="eastAsia" w:ascii="仿宋" w:hAnsi="仿宋" w:eastAsia="仿宋" w:cs="仿宋"/>
          <w:lang w:eastAsia="zh-CN"/>
        </w:rPr>
        <w:t>是指在其职责范围内，对直接主管的工作不履行或者不正确履行职责，对事故的发生负直接领导责任。根据在事故过程中作用的大小，可分为重要责任、主要责任、次要责任。</w:t>
      </w:r>
    </w:p>
    <w:p w14:paraId="3E059D66">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事故中负有直接责任的人员可能为与事故发生有直接关系的任何一名员工。</w:t>
      </w:r>
    </w:p>
    <w:p w14:paraId="0538C4FB">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事故中可能负有重要领导责任的有分管领导</w:t>
      </w:r>
      <w:r>
        <w:rPr>
          <w:rFonts w:hint="eastAsia" w:ascii="仿宋" w:hAnsi="仿宋" w:eastAsia="仿宋" w:cs="仿宋"/>
          <w:lang w:val="en-US" w:eastAsia="zh-CN"/>
        </w:rPr>
        <w:t>、</w:t>
      </w:r>
      <w:r>
        <w:rPr>
          <w:rFonts w:hint="eastAsia" w:ascii="仿宋" w:hAnsi="仿宋" w:eastAsia="仿宋" w:cs="仿宋"/>
          <w:lang w:eastAsia="zh-CN"/>
        </w:rPr>
        <w:t>业务部门负责人；负有主要领导责任的可能有</w:t>
      </w:r>
      <w:r>
        <w:rPr>
          <w:rFonts w:hint="eastAsia" w:ascii="仿宋" w:hAnsi="仿宋" w:eastAsia="仿宋" w:cs="仿宋"/>
          <w:lang w:val="en-US" w:eastAsia="zh-CN"/>
        </w:rPr>
        <w:t>各乡镇作业中心负责人</w:t>
      </w:r>
      <w:r>
        <w:rPr>
          <w:rFonts w:hint="eastAsia" w:ascii="仿宋" w:hAnsi="仿宋" w:eastAsia="仿宋" w:cs="仿宋"/>
          <w:lang w:eastAsia="zh-CN"/>
        </w:rPr>
        <w:t>；负有次要责任的可能有</w:t>
      </w:r>
      <w:r>
        <w:rPr>
          <w:rFonts w:hint="eastAsia" w:ascii="仿宋" w:hAnsi="仿宋" w:eastAsia="仿宋" w:cs="仿宋"/>
          <w:lang w:val="en-US" w:eastAsia="zh-CN"/>
        </w:rPr>
        <w:t>乡镇管理员</w:t>
      </w:r>
      <w:r>
        <w:rPr>
          <w:rFonts w:hint="eastAsia" w:ascii="仿宋" w:hAnsi="仿宋" w:eastAsia="仿宋" w:cs="仿宋"/>
          <w:lang w:eastAsia="zh-CN"/>
        </w:rPr>
        <w:t>、片区（车队）负责人等直线责任人员。</w:t>
      </w:r>
    </w:p>
    <w:p w14:paraId="7FF38E5A">
      <w:pPr>
        <w:pStyle w:val="7"/>
        <w:numPr>
          <w:ilvl w:val="0"/>
          <w:numId w:val="2"/>
        </w:numPr>
        <w:outlineLvl w:val="0"/>
        <w:rPr>
          <w:rFonts w:hint="eastAsia" w:ascii="仿宋" w:hAnsi="仿宋" w:eastAsia="仿宋" w:cs="仿宋"/>
          <w:sz w:val="28"/>
          <w:szCs w:val="28"/>
          <w:lang w:eastAsia="zh-CN"/>
        </w:rPr>
      </w:pPr>
      <w:bookmarkStart w:id="7" w:name="_Toc17463"/>
      <w:bookmarkStart w:id="8" w:name="_Toc14913"/>
      <w:bookmarkStart w:id="9" w:name="_Toc10368"/>
      <w:r>
        <w:rPr>
          <w:rFonts w:hint="eastAsia" w:ascii="仿宋" w:hAnsi="仿宋" w:eastAsia="仿宋" w:cs="仿宋"/>
          <w:sz w:val="28"/>
          <w:szCs w:val="28"/>
          <w:lang w:eastAsia="zh-CN"/>
        </w:rPr>
        <w:t>工作职责</w:t>
      </w:r>
      <w:bookmarkEnd w:id="7"/>
      <w:bookmarkEnd w:id="8"/>
      <w:bookmarkEnd w:id="9"/>
      <w:bookmarkStart w:id="10" w:name="_Toc15966"/>
    </w:p>
    <w:p w14:paraId="1C9C2B8A">
      <w:pPr>
        <w:pStyle w:val="9"/>
        <w:numPr>
          <w:ilvl w:val="1"/>
          <w:numId w:val="2"/>
        </w:numPr>
        <w:spacing w:line="360" w:lineRule="auto"/>
        <w:rPr>
          <w:rFonts w:hint="eastAsia" w:ascii="仿宋" w:hAnsi="仿宋" w:eastAsia="仿宋" w:cs="仿宋"/>
          <w:lang w:eastAsia="zh-CN"/>
        </w:rPr>
      </w:pPr>
      <w:r>
        <w:rPr>
          <w:rFonts w:hint="eastAsia" w:ascii="仿宋" w:hAnsi="仿宋" w:eastAsia="仿宋" w:cs="仿宋"/>
          <w:lang w:eastAsia="zh-CN"/>
        </w:rPr>
        <w:t>公司主要负责人负责组织制定并实施安全奖惩管理办法。</w:t>
      </w:r>
    </w:p>
    <w:p w14:paraId="16988EB0">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安环</w:t>
      </w:r>
      <w:r>
        <w:rPr>
          <w:rFonts w:hint="eastAsia" w:ascii="仿宋" w:hAnsi="仿宋" w:eastAsia="仿宋" w:cs="仿宋"/>
          <w:lang w:val="en-US" w:eastAsia="zh-CN"/>
        </w:rPr>
        <w:t>品质</w:t>
      </w:r>
      <w:r>
        <w:rPr>
          <w:rFonts w:hint="eastAsia" w:ascii="仿宋" w:hAnsi="仿宋" w:eastAsia="仿宋" w:cs="仿宋"/>
          <w:lang w:eastAsia="zh-CN"/>
        </w:rPr>
        <w:t>部负责安全奖惩管理办法的拟定、解释和修订，并监督实施。</w:t>
      </w:r>
    </w:p>
    <w:p w14:paraId="17C8EF8C">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人力综合部负责按照“员工违规违纪处罚单”，进行通报、统计、汇总，根据奖惩情况在工资中予以体现。</w:t>
      </w:r>
    </w:p>
    <w:p w14:paraId="3394FBCA">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财务部负责根据工资核算情况，进行奖金的支出与罚款的扣缴。</w:t>
      </w:r>
    </w:p>
    <w:p w14:paraId="535E5B8D">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各部门、中心、队、站（以下简称“各单位”）负责按照本制度相关规定落实执行。</w:t>
      </w:r>
    </w:p>
    <w:bookmarkEnd w:id="10"/>
    <w:p w14:paraId="10A1FC36">
      <w:pPr>
        <w:pStyle w:val="7"/>
        <w:numPr>
          <w:ilvl w:val="0"/>
          <w:numId w:val="2"/>
        </w:numPr>
        <w:outlineLvl w:val="0"/>
        <w:rPr>
          <w:rFonts w:hint="eastAsia" w:ascii="仿宋" w:hAnsi="仿宋" w:eastAsia="仿宋" w:cs="仿宋"/>
          <w:sz w:val="28"/>
          <w:szCs w:val="28"/>
          <w:lang w:eastAsia="zh-CN"/>
        </w:rPr>
      </w:pPr>
      <w:bookmarkStart w:id="11" w:name="_Toc18825"/>
      <w:r>
        <w:rPr>
          <w:rFonts w:hint="eastAsia" w:ascii="仿宋" w:hAnsi="仿宋" w:eastAsia="仿宋" w:cs="仿宋"/>
          <w:sz w:val="28"/>
          <w:szCs w:val="28"/>
          <w:lang w:eastAsia="zh-CN"/>
        </w:rPr>
        <w:t>安全生产奖励标准</w:t>
      </w:r>
      <w:bookmarkEnd w:id="11"/>
    </w:p>
    <w:p w14:paraId="0179B414">
      <w:pPr>
        <w:pStyle w:val="9"/>
        <w:numPr>
          <w:ilvl w:val="1"/>
          <w:numId w:val="2"/>
        </w:numPr>
        <w:spacing w:line="360" w:lineRule="auto"/>
        <w:ind w:left="7" w:hanging="7"/>
        <w:rPr>
          <w:rFonts w:hint="eastAsia" w:ascii="仿宋" w:hAnsi="仿宋" w:eastAsia="仿宋" w:cs="仿宋"/>
          <w:lang w:eastAsia="zh-CN"/>
        </w:rPr>
      </w:pPr>
      <w:bookmarkStart w:id="12" w:name="_Hlk185019042"/>
      <w:r>
        <w:rPr>
          <w:rFonts w:hint="eastAsia" w:ascii="仿宋" w:hAnsi="仿宋" w:eastAsia="仿宋" w:cs="仿宋"/>
          <w:lang w:eastAsia="zh-CN"/>
        </w:rPr>
        <w:t>积极主动排查、治理安全事故隐患，避免各类生产安全事故发生的，视情况给予通报表扬，予以50元以上奖励。</w:t>
      </w:r>
    </w:p>
    <w:p w14:paraId="1363046A">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在劳动保护、安全生产方面，有创新发明、技术改进或提出合理化建议被采纳，经实施后效果显著的，予以100元以上奖励。</w:t>
      </w:r>
    </w:p>
    <w:p w14:paraId="69980FD6">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对及时发现事故隐患，并果断采取措施，发生事故抢救及时(或汇报及时),避免发生重大事故或避免事故扩大的有功人员，予以200元以上奖励。</w:t>
      </w:r>
    </w:p>
    <w:p w14:paraId="37B09332">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在生产作业过程中，认真执行安全生产管理制度和操作规程，及时制止违章指挥、违章作业、违反劳动纪律现象，有效避免发生安全事故的，予以通报表扬，并予以50以上奖励。</w:t>
      </w:r>
    </w:p>
    <w:p w14:paraId="2304D663">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举报违章指挥、违章作业、违反交通规则等行为，避免引发安全事故的，经公司查实后给予50元以上奖励。</w:t>
      </w:r>
    </w:p>
    <w:p w14:paraId="64CC5307">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发现、</w:t>
      </w:r>
      <w:r>
        <w:rPr>
          <w:rFonts w:hint="eastAsia" w:ascii="仿宋" w:hAnsi="仿宋" w:eastAsia="仿宋" w:cs="仿宋"/>
          <w:lang w:val="en-US" w:eastAsia="zh-CN"/>
        </w:rPr>
        <w:t>举报</w:t>
      </w:r>
      <w:r>
        <w:rPr>
          <w:rFonts w:hint="eastAsia" w:ascii="仿宋" w:hAnsi="仿宋" w:eastAsia="仿宋" w:cs="仿宋"/>
          <w:lang w:eastAsia="zh-CN"/>
        </w:rPr>
        <w:t>员工酒后上岗（有照片或视频为证），予以200元以上奖励。</w:t>
      </w:r>
    </w:p>
    <w:p w14:paraId="3DB905DF">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鼓励公司一线作业人员考取D证，根据实际情况，报销部分比例或全部比例报名、考试费用。</w:t>
      </w:r>
    </w:p>
    <w:p w14:paraId="2691817F">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其他可以进行奖励的事件或行为。</w:t>
      </w:r>
    </w:p>
    <w:p w14:paraId="5FAE89F6">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奖励形式：口头表扬、通报表彰、物质奖励或现金奖励等</w:t>
      </w:r>
      <w:bookmarkEnd w:id="12"/>
      <w:r>
        <w:rPr>
          <w:rFonts w:hint="eastAsia" w:ascii="仿宋" w:hAnsi="仿宋" w:eastAsia="仿宋" w:cs="仿宋"/>
          <w:lang w:eastAsia="zh-CN"/>
        </w:rPr>
        <w:t>。</w:t>
      </w:r>
    </w:p>
    <w:p w14:paraId="22AED50A">
      <w:pPr>
        <w:pStyle w:val="7"/>
        <w:numPr>
          <w:ilvl w:val="0"/>
          <w:numId w:val="2"/>
        </w:numPr>
        <w:outlineLvl w:val="0"/>
        <w:rPr>
          <w:rFonts w:hint="eastAsia" w:ascii="仿宋" w:hAnsi="仿宋" w:eastAsia="仿宋" w:cs="仿宋"/>
          <w:sz w:val="28"/>
          <w:szCs w:val="28"/>
          <w:lang w:eastAsia="zh-CN"/>
        </w:rPr>
      </w:pPr>
      <w:bookmarkStart w:id="13" w:name="_Toc23670"/>
      <w:bookmarkStart w:id="14" w:name="_Toc24477"/>
      <w:r>
        <w:rPr>
          <w:rFonts w:hint="eastAsia" w:ascii="仿宋" w:hAnsi="仿宋" w:eastAsia="仿宋" w:cs="仿宋"/>
          <w:sz w:val="28"/>
          <w:szCs w:val="28"/>
          <w:lang w:eastAsia="zh-CN"/>
        </w:rPr>
        <w:t>处罚原则</w:t>
      </w:r>
      <w:bookmarkEnd w:id="13"/>
      <w:bookmarkEnd w:id="14"/>
    </w:p>
    <w:p w14:paraId="0096227C">
      <w:pPr>
        <w:pStyle w:val="9"/>
        <w:numPr>
          <w:ilvl w:val="0"/>
          <w:numId w:val="0"/>
        </w:numPr>
        <w:spacing w:line="360" w:lineRule="auto"/>
        <w:ind w:left="0" w:leftChars="0" w:firstLine="439" w:firstLineChars="183"/>
        <w:rPr>
          <w:rFonts w:hint="eastAsia" w:ascii="仿宋" w:hAnsi="仿宋" w:eastAsia="仿宋" w:cs="仿宋"/>
          <w:lang w:eastAsia="zh-CN"/>
        </w:rPr>
      </w:pPr>
      <w:r>
        <w:rPr>
          <w:rFonts w:hint="eastAsia" w:ascii="仿宋" w:hAnsi="仿宋" w:eastAsia="仿宋" w:cs="仿宋"/>
          <w:lang w:eastAsia="zh-CN"/>
        </w:rPr>
        <w:t>对违章责任单位或个人的处理原则：</w:t>
      </w:r>
    </w:p>
    <w:p w14:paraId="2C2CF325">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b/>
          <w:bCs/>
          <w:lang w:val="en-US" w:eastAsia="zh-CN"/>
        </w:rPr>
        <w:t>尽职免责原则</w:t>
      </w:r>
      <w:r>
        <w:rPr>
          <w:rFonts w:hint="eastAsia" w:ascii="仿宋" w:hAnsi="仿宋" w:eastAsia="仿宋" w:cs="仿宋"/>
          <w:lang w:val="en-US" w:eastAsia="zh-CN"/>
        </w:rPr>
        <w:t>。对职责范围内发生生产/交通安全事故，经查实已经全</w:t>
      </w:r>
      <w:r>
        <w:rPr>
          <w:rFonts w:hint="default" w:ascii="仿宋" w:hAnsi="仿宋" w:eastAsia="仿宋" w:cs="仿宋"/>
          <w:lang w:val="en-US" w:eastAsia="zh-CN"/>
        </w:rPr>
        <w:t>面履行了本岗位安全生产职责和工作职责，并全面落实了有关工作部署的，不予追究责任。</w:t>
      </w:r>
    </w:p>
    <w:p w14:paraId="70FD466D">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b/>
          <w:bCs/>
          <w:lang w:val="en-US" w:eastAsia="zh-CN"/>
        </w:rPr>
        <w:t>失职追责原则。</w:t>
      </w:r>
      <w:r>
        <w:rPr>
          <w:rFonts w:hint="eastAsia" w:ascii="仿宋" w:hAnsi="仿宋" w:eastAsia="仿宋" w:cs="仿宋"/>
          <w:lang w:val="en-US" w:eastAsia="zh-CN"/>
        </w:rPr>
        <w:t>依据事故等级和事故责任认定结果进行责任追究。</w:t>
      </w:r>
    </w:p>
    <w:p w14:paraId="23052A11">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b/>
          <w:bCs/>
          <w:lang w:eastAsia="zh-CN"/>
        </w:rPr>
        <w:t>以责以损论处的原则：</w:t>
      </w:r>
      <w:r>
        <w:rPr>
          <w:rFonts w:hint="eastAsia" w:ascii="仿宋" w:hAnsi="仿宋" w:eastAsia="仿宋" w:cs="仿宋"/>
          <w:lang w:eastAsia="zh-CN"/>
        </w:rPr>
        <w:t>根据当事人在违章中责任的轻重和违章损失与影响的大小给予相应的处分和处罚。</w:t>
      </w:r>
    </w:p>
    <w:p w14:paraId="2D78E9D0">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b/>
          <w:bCs/>
          <w:lang w:eastAsia="zh-CN"/>
        </w:rPr>
        <w:t>屡犯从重的原则：</w:t>
      </w:r>
      <w:r>
        <w:rPr>
          <w:rFonts w:hint="eastAsia" w:ascii="仿宋" w:hAnsi="仿宋" w:eastAsia="仿宋" w:cs="仿宋"/>
          <w:lang w:eastAsia="zh-CN"/>
        </w:rPr>
        <w:t>对一年以内重复发生相同违章的部门和人员从严从重处罚。</w:t>
      </w:r>
    </w:p>
    <w:p w14:paraId="466FD47E">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b/>
          <w:bCs/>
          <w:lang w:eastAsia="zh-CN"/>
        </w:rPr>
        <w:t>连带责任处罚原则：</w:t>
      </w:r>
      <w:r>
        <w:rPr>
          <w:rFonts w:hint="eastAsia" w:ascii="仿宋" w:hAnsi="仿宋" w:eastAsia="仿宋" w:cs="仿宋"/>
          <w:lang w:eastAsia="zh-CN"/>
        </w:rPr>
        <w:t>对违章事件人员负责的管理者（乡镇管理员、乡镇作业中心经理、</w:t>
      </w:r>
      <w:r>
        <w:rPr>
          <w:rFonts w:hint="eastAsia" w:ascii="仿宋" w:hAnsi="仿宋" w:eastAsia="仿宋" w:cs="仿宋"/>
          <w:lang w:val="en-US" w:eastAsia="zh-CN"/>
        </w:rPr>
        <w:t>作业中心/</w:t>
      </w:r>
      <w:r>
        <w:rPr>
          <w:rFonts w:hint="eastAsia" w:ascii="仿宋" w:hAnsi="仿宋" w:eastAsia="仿宋" w:cs="仿宋"/>
          <w:lang w:eastAsia="zh-CN"/>
        </w:rPr>
        <w:t>生产经理等人员）进行连带处罚。</w:t>
      </w:r>
    </w:p>
    <w:p w14:paraId="4E2C2874">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b/>
          <w:bCs/>
          <w:lang w:eastAsia="zh-CN"/>
        </w:rPr>
        <w:t>可以并处的原则：</w:t>
      </w:r>
      <w:r>
        <w:rPr>
          <w:rFonts w:hint="eastAsia" w:ascii="仿宋" w:hAnsi="仿宋" w:eastAsia="仿宋" w:cs="仿宋"/>
          <w:lang w:eastAsia="zh-CN"/>
        </w:rPr>
        <w:t>对违章责任人视情况分别或同时予以口头警告、书面通报、经济处罚、</w:t>
      </w:r>
      <w:r>
        <w:rPr>
          <w:rFonts w:hint="eastAsia" w:ascii="仿宋" w:hAnsi="仿宋" w:eastAsia="仿宋" w:cs="仿宋"/>
          <w:lang w:val="en-US" w:eastAsia="zh-CN"/>
        </w:rPr>
        <w:t>调岗调薪、</w:t>
      </w:r>
      <w:r>
        <w:rPr>
          <w:rFonts w:hint="eastAsia" w:ascii="仿宋" w:hAnsi="仿宋" w:eastAsia="仿宋" w:cs="仿宋"/>
          <w:lang w:eastAsia="zh-CN"/>
        </w:rPr>
        <w:t>停岗停薪和劝退的处罚。</w:t>
      </w:r>
    </w:p>
    <w:p w14:paraId="46B17E9B">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对“员工违规违纪处罚单”无故拒签，但证据确凿者，加倍处罚。</w:t>
      </w:r>
    </w:p>
    <w:p w14:paraId="43F9F533">
      <w:pPr>
        <w:pStyle w:val="9"/>
        <w:numPr>
          <w:ilvl w:val="1"/>
          <w:numId w:val="2"/>
        </w:numPr>
        <w:spacing w:line="360" w:lineRule="auto"/>
        <w:ind w:left="7" w:hanging="7"/>
        <w:rPr>
          <w:rFonts w:hint="eastAsia" w:ascii="仿宋" w:hAnsi="仿宋" w:eastAsia="仿宋" w:cs="仿宋"/>
          <w:lang w:eastAsia="zh-CN"/>
        </w:rPr>
      </w:pPr>
      <w:r>
        <w:rPr>
          <w:rFonts w:hint="eastAsia" w:ascii="仿宋" w:hAnsi="仿宋" w:eastAsia="仿宋" w:cs="仿宋"/>
          <w:lang w:eastAsia="zh-CN"/>
        </w:rPr>
        <w:t>对处罚有异议的，可在3个工作日内逐级上报，进行复议。</w:t>
      </w:r>
    </w:p>
    <w:p w14:paraId="60B99E75">
      <w:pPr>
        <w:pStyle w:val="7"/>
        <w:numPr>
          <w:ilvl w:val="0"/>
          <w:numId w:val="2"/>
        </w:numPr>
        <w:outlineLvl w:val="0"/>
        <w:rPr>
          <w:rFonts w:hint="eastAsia" w:ascii="仿宋" w:hAnsi="仿宋" w:eastAsia="仿宋" w:cs="仿宋"/>
          <w:color w:val="auto"/>
          <w:sz w:val="28"/>
          <w:szCs w:val="28"/>
          <w:lang w:eastAsia="zh-CN"/>
        </w:rPr>
      </w:pPr>
      <w:bookmarkStart w:id="15" w:name="_Toc17091"/>
      <w:r>
        <w:rPr>
          <w:rFonts w:hint="eastAsia" w:ascii="仿宋" w:hAnsi="仿宋" w:eastAsia="仿宋" w:cs="仿宋"/>
          <w:color w:val="auto"/>
          <w:sz w:val="28"/>
          <w:szCs w:val="28"/>
          <w:lang w:eastAsia="zh-CN"/>
        </w:rPr>
        <w:t>安全事故处罚</w:t>
      </w:r>
      <w:bookmarkEnd w:id="15"/>
    </w:p>
    <w:p w14:paraId="42764236">
      <w:pPr>
        <w:pStyle w:val="9"/>
        <w:numPr>
          <w:ilvl w:val="1"/>
          <w:numId w:val="2"/>
        </w:numPr>
        <w:spacing w:line="360" w:lineRule="auto"/>
        <w:ind w:left="7" w:hanging="7"/>
        <w:rPr>
          <w:rFonts w:hint="eastAsia" w:ascii="仿宋" w:hAnsi="仿宋" w:eastAsia="仿宋" w:cs="仿宋"/>
          <w:b/>
          <w:bCs/>
          <w:lang w:eastAsia="zh-CN"/>
        </w:rPr>
      </w:pPr>
      <w:r>
        <w:rPr>
          <w:rFonts w:hint="eastAsia" w:ascii="仿宋" w:hAnsi="仿宋" w:eastAsia="仿宋" w:cs="仿宋"/>
          <w:b/>
          <w:bCs/>
          <w:lang w:eastAsia="zh-CN"/>
        </w:rPr>
        <w:t>安全事故类别：生产安全事故、交通事故、职业病。</w:t>
      </w:r>
    </w:p>
    <w:p w14:paraId="5442BBE0">
      <w:pPr>
        <w:pStyle w:val="9"/>
        <w:numPr>
          <w:ilvl w:val="1"/>
          <w:numId w:val="2"/>
        </w:numPr>
        <w:spacing w:line="360" w:lineRule="auto"/>
        <w:ind w:left="7" w:hanging="7"/>
        <w:rPr>
          <w:rFonts w:hint="eastAsia" w:ascii="仿宋" w:hAnsi="仿宋" w:eastAsia="仿宋" w:cs="仿宋"/>
          <w:b/>
          <w:bCs/>
          <w:lang w:eastAsia="zh-CN"/>
        </w:rPr>
      </w:pPr>
      <w:r>
        <w:rPr>
          <w:rFonts w:hint="eastAsia" w:ascii="仿宋" w:hAnsi="仿宋" w:eastAsia="仿宋" w:cs="仿宋"/>
          <w:b/>
          <w:bCs/>
          <w:lang w:eastAsia="zh-CN"/>
        </w:rPr>
        <w:t>事故等级：依据人员受伤害程度或直接经济损失判定</w:t>
      </w:r>
      <w:r>
        <w:rPr>
          <w:rFonts w:hint="eastAsia" w:eastAsia="宋体"/>
          <w:b/>
          <w:color w:val="000000" w:themeColor="text1"/>
          <w:szCs w:val="28"/>
          <w:highlight w:val="none"/>
          <w:lang w:eastAsia="zh-CN"/>
          <w14:textFill>
            <w14:solidFill>
              <w14:schemeClr w14:val="tx1"/>
            </w14:solidFill>
          </w14:textFill>
        </w:rPr>
        <w:t>（</w:t>
      </w:r>
      <w:r>
        <w:rPr>
          <w:rFonts w:hint="eastAsia" w:eastAsia="宋体"/>
          <w:b/>
          <w:color w:val="000000" w:themeColor="text1"/>
          <w:szCs w:val="28"/>
          <w:highlight w:val="none"/>
          <w:lang w:val="en-US" w:eastAsia="zh-CN"/>
          <w14:textFill>
            <w14:solidFill>
              <w14:schemeClr w14:val="tx1"/>
            </w14:solidFill>
          </w14:textFill>
        </w:rPr>
        <w:t>表1</w:t>
      </w:r>
      <w:r>
        <w:rPr>
          <w:rFonts w:hint="eastAsia" w:eastAsia="宋体"/>
          <w:b/>
          <w:color w:val="000000" w:themeColor="text1"/>
          <w:szCs w:val="28"/>
          <w:highlight w:val="none"/>
          <w:lang w:eastAsia="zh-CN"/>
          <w14:textFill>
            <w14:solidFill>
              <w14:schemeClr w14:val="tx1"/>
            </w14:solidFill>
          </w14:textFill>
        </w:rPr>
        <w:t>）</w:t>
      </w:r>
      <w:r>
        <w:rPr>
          <w:rFonts w:hint="eastAsia" w:ascii="仿宋" w:hAnsi="仿宋" w:eastAsia="仿宋" w:cs="仿宋"/>
          <w:b/>
          <w:bCs/>
          <w:lang w:eastAsia="zh-CN"/>
        </w:rPr>
        <w:t>。</w:t>
      </w:r>
    </w:p>
    <w:p w14:paraId="095E3828">
      <w:pPr>
        <w:topLinePunct/>
        <w:jc w:val="center"/>
        <w:rPr>
          <w:rFonts w:hint="eastAsia" w:eastAsia="宋体"/>
          <w:b/>
          <w:color w:val="000000" w:themeColor="text1"/>
          <w:szCs w:val="28"/>
          <w:highlight w:val="none"/>
          <w:lang w:eastAsia="zh-CN"/>
          <w14:textFill>
            <w14:solidFill>
              <w14:schemeClr w14:val="tx1"/>
            </w14:solidFill>
          </w14:textFill>
        </w:rPr>
      </w:pPr>
      <w:r>
        <w:rPr>
          <w:b/>
          <w:color w:val="000000" w:themeColor="text1"/>
          <w:szCs w:val="28"/>
          <w:highlight w:val="none"/>
          <w14:textFill>
            <w14:solidFill>
              <w14:schemeClr w14:val="tx1"/>
            </w14:solidFill>
          </w14:textFill>
        </w:rPr>
        <w:t>事故分级划分标准</w:t>
      </w:r>
      <w:r>
        <w:rPr>
          <w:rFonts w:hint="eastAsia" w:eastAsia="宋体"/>
          <w:b/>
          <w:color w:val="000000" w:themeColor="text1"/>
          <w:szCs w:val="28"/>
          <w:highlight w:val="none"/>
          <w:lang w:eastAsia="zh-CN"/>
          <w14:textFill>
            <w14:solidFill>
              <w14:schemeClr w14:val="tx1"/>
            </w14:solidFill>
          </w14:textFill>
        </w:rPr>
        <w:t>（</w:t>
      </w:r>
      <w:r>
        <w:rPr>
          <w:rFonts w:hint="eastAsia" w:eastAsia="宋体"/>
          <w:b/>
          <w:color w:val="000000" w:themeColor="text1"/>
          <w:szCs w:val="28"/>
          <w:highlight w:val="none"/>
          <w:lang w:val="en-US" w:eastAsia="zh-CN"/>
          <w14:textFill>
            <w14:solidFill>
              <w14:schemeClr w14:val="tx1"/>
            </w14:solidFill>
          </w14:textFill>
        </w:rPr>
        <w:t>表1</w:t>
      </w:r>
      <w:r>
        <w:rPr>
          <w:rFonts w:hint="eastAsia" w:eastAsia="宋体"/>
          <w:b/>
          <w:color w:val="000000" w:themeColor="text1"/>
          <w:szCs w:val="28"/>
          <w:highlight w:val="none"/>
          <w:lang w:eastAsia="zh-CN"/>
          <w14:textFill>
            <w14:solidFill>
              <w14:schemeClr w14:val="tx1"/>
            </w14:solidFill>
          </w14:textFill>
        </w:rPr>
        <w:t>）</w:t>
      </w:r>
    </w:p>
    <w:tbl>
      <w:tblPr>
        <w:tblStyle w:val="1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7134"/>
      </w:tblGrid>
      <w:tr w14:paraId="0F45B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064" w:type="pct"/>
            <w:tcBorders>
              <w:top w:val="single" w:color="auto" w:sz="12" w:space="0"/>
              <w:left w:val="single" w:color="auto" w:sz="12" w:space="0"/>
              <w:bottom w:val="single" w:color="auto" w:sz="12" w:space="0"/>
              <w:right w:val="single" w:color="auto" w:sz="6" w:space="0"/>
            </w:tcBorders>
            <w:shd w:val="clear" w:color="auto" w:fill="5B9BD5" w:themeFill="accent1"/>
            <w:vAlign w:val="center"/>
          </w:tcPr>
          <w:p w14:paraId="2D39B064">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b/>
                <w:bCs/>
                <w:color w:val="auto"/>
                <w:sz w:val="18"/>
                <w:szCs w:val="18"/>
                <w:highlight w:val="none"/>
                <w:vertAlign w:val="baseline"/>
                <w:lang w:val="en-US" w:eastAsia="zh-CN"/>
              </w:rPr>
            </w:pPr>
            <w:r>
              <w:rPr>
                <w:rFonts w:hint="default" w:ascii="Times New Roman" w:hAnsi="Times New Roman" w:eastAsia="宋体" w:cs="Times New Roman"/>
                <w:b/>
                <w:bCs/>
                <w:color w:val="auto"/>
                <w:sz w:val="18"/>
                <w:szCs w:val="18"/>
                <w:highlight w:val="none"/>
                <w:vertAlign w:val="baseline"/>
                <w:lang w:val="en-US" w:eastAsia="zh-CN"/>
              </w:rPr>
              <w:t>事故等级</w:t>
            </w:r>
          </w:p>
        </w:tc>
        <w:tc>
          <w:tcPr>
            <w:tcW w:w="3935" w:type="pct"/>
            <w:tcBorders>
              <w:top w:val="single" w:color="auto" w:sz="12" w:space="0"/>
              <w:left w:val="single" w:color="auto" w:sz="6" w:space="0"/>
              <w:bottom w:val="single" w:color="auto" w:sz="12" w:space="0"/>
              <w:right w:val="single" w:color="auto" w:sz="12" w:space="0"/>
            </w:tcBorders>
            <w:shd w:val="clear" w:color="auto" w:fill="5B9BD5" w:themeFill="accent1"/>
            <w:vAlign w:val="center"/>
          </w:tcPr>
          <w:p w14:paraId="6E30F83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b/>
                <w:bCs/>
                <w:color w:val="auto"/>
                <w:sz w:val="18"/>
                <w:szCs w:val="18"/>
                <w:highlight w:val="none"/>
                <w:vertAlign w:val="baseline"/>
                <w:lang w:val="en-US" w:eastAsia="zh-CN"/>
              </w:rPr>
            </w:pPr>
            <w:r>
              <w:rPr>
                <w:rFonts w:hint="default" w:ascii="Times New Roman" w:hAnsi="Times New Roman" w:eastAsia="宋体" w:cs="Times New Roman"/>
                <w:b/>
                <w:bCs/>
                <w:color w:val="auto"/>
                <w:sz w:val="18"/>
                <w:szCs w:val="18"/>
                <w:highlight w:val="none"/>
                <w:vertAlign w:val="baseline"/>
                <w:lang w:val="en-US" w:eastAsia="zh-CN"/>
              </w:rPr>
              <w:t>分级定义</w:t>
            </w:r>
          </w:p>
        </w:tc>
      </w:tr>
      <w:tr w14:paraId="2C8D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4" w:type="pct"/>
            <w:tcBorders>
              <w:top w:val="single" w:color="auto" w:sz="12" w:space="0"/>
              <w:left w:val="single" w:color="auto" w:sz="12" w:space="0"/>
              <w:bottom w:val="single" w:color="auto" w:sz="6" w:space="0"/>
              <w:right w:val="single" w:color="auto" w:sz="6" w:space="0"/>
            </w:tcBorders>
            <w:vAlign w:val="center"/>
          </w:tcPr>
          <w:p w14:paraId="3AD2A13F">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sz w:val="20"/>
                <w:szCs w:val="20"/>
                <w:highlight w:val="none"/>
                <w:vertAlign w:val="baseline"/>
              </w:rPr>
            </w:pPr>
            <w:r>
              <w:rPr>
                <w:rFonts w:hint="eastAsia" w:ascii="仿宋" w:hAnsi="仿宋" w:eastAsia="仿宋" w:cs="仿宋"/>
                <w:color w:val="auto"/>
                <w:sz w:val="20"/>
                <w:szCs w:val="20"/>
                <w:highlight w:val="none"/>
              </w:rPr>
              <w:t>一级</w:t>
            </w:r>
          </w:p>
        </w:tc>
        <w:tc>
          <w:tcPr>
            <w:tcW w:w="3935" w:type="pct"/>
            <w:tcBorders>
              <w:top w:val="single" w:color="auto" w:sz="12" w:space="0"/>
              <w:left w:val="single" w:color="auto" w:sz="6" w:space="0"/>
              <w:bottom w:val="single" w:color="auto" w:sz="6" w:space="0"/>
              <w:right w:val="single" w:color="auto" w:sz="12" w:space="0"/>
            </w:tcBorders>
            <w:vAlign w:val="center"/>
          </w:tcPr>
          <w:p w14:paraId="2B46A83C">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（1）造成死亡2人；</w:t>
            </w:r>
          </w:p>
          <w:p w14:paraId="0057BE3D">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sz w:val="20"/>
                <w:szCs w:val="20"/>
                <w:highlight w:val="none"/>
                <w:vertAlign w:val="baseline"/>
              </w:rPr>
            </w:pPr>
            <w:r>
              <w:rPr>
                <w:rFonts w:hint="eastAsia" w:ascii="仿宋" w:hAnsi="仿宋" w:eastAsia="仿宋" w:cs="仿宋"/>
                <w:color w:val="auto"/>
                <w:kern w:val="2"/>
                <w:sz w:val="20"/>
                <w:szCs w:val="20"/>
                <w:highlight w:val="none"/>
                <w:lang w:val="en-US" w:eastAsia="zh-CN" w:bidi="ar"/>
              </w:rPr>
              <w:t>（2）重伤5人以上10人以下</w:t>
            </w:r>
          </w:p>
          <w:p w14:paraId="17CCDF38">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sz w:val="20"/>
                <w:szCs w:val="20"/>
                <w:highlight w:val="none"/>
                <w:vertAlign w:val="baseline"/>
              </w:rPr>
            </w:pPr>
            <w:r>
              <w:rPr>
                <w:rFonts w:hint="eastAsia" w:ascii="仿宋" w:hAnsi="仿宋" w:eastAsia="仿宋" w:cs="仿宋"/>
                <w:color w:val="auto"/>
                <w:kern w:val="2"/>
                <w:sz w:val="20"/>
                <w:szCs w:val="20"/>
                <w:highlight w:val="none"/>
                <w:lang w:val="en-US" w:eastAsia="zh-CN" w:bidi="ar"/>
              </w:rPr>
              <w:t>（3）轻伤20人以上30人以下；</w:t>
            </w:r>
          </w:p>
          <w:p w14:paraId="5BFEA294">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（4）造成直接经济损失500万元以上1000万元以下；</w:t>
            </w:r>
          </w:p>
          <w:p w14:paraId="103C108C">
            <w:pPr>
              <w:keepNext w:val="0"/>
              <w:keepLines w:val="0"/>
              <w:widowControl/>
              <w:suppressLineNumbers w:val="0"/>
              <w:spacing w:before="0" w:beforeAutospacing="0" w:after="0" w:afterAutospacing="0"/>
              <w:ind w:left="0" w:right="0"/>
              <w:jc w:val="left"/>
              <w:rPr>
                <w:rFonts w:hint="eastAsia" w:ascii="仿宋" w:hAnsi="仿宋" w:eastAsia="仿宋" w:cs="仿宋"/>
                <w:color w:val="auto"/>
                <w:sz w:val="20"/>
                <w:szCs w:val="20"/>
                <w:highlight w:val="none"/>
                <w:lang w:bidi="ar"/>
              </w:rPr>
            </w:pPr>
            <w:r>
              <w:rPr>
                <w:rFonts w:hint="eastAsia" w:ascii="仿宋" w:hAnsi="仿宋" w:eastAsia="仿宋" w:cs="仿宋"/>
                <w:color w:val="auto"/>
                <w:kern w:val="2"/>
                <w:sz w:val="20"/>
                <w:szCs w:val="20"/>
                <w:highlight w:val="none"/>
                <w:lang w:val="en-US" w:eastAsia="zh-CN" w:bidi="ar"/>
              </w:rPr>
              <w:t>（5）疏散转移群众500人以上1000人以下；</w:t>
            </w:r>
          </w:p>
          <w:p w14:paraId="22506AE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（6）属地政府部门高度关注，新闻媒体广泛报道，造成重大社会影响和企业声誉影响的。</w:t>
            </w:r>
          </w:p>
        </w:tc>
      </w:tr>
      <w:tr w14:paraId="6EBD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4" w:type="pct"/>
            <w:tcBorders>
              <w:top w:val="single" w:color="auto" w:sz="6" w:space="0"/>
              <w:left w:val="single" w:color="auto" w:sz="12" w:space="0"/>
              <w:bottom w:val="single" w:color="auto" w:sz="6" w:space="0"/>
              <w:right w:val="single" w:color="auto" w:sz="6" w:space="0"/>
            </w:tcBorders>
            <w:vAlign w:val="center"/>
          </w:tcPr>
          <w:p w14:paraId="10E54604">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sz w:val="20"/>
                <w:szCs w:val="20"/>
                <w:highlight w:val="none"/>
                <w:lang w:val="en-US" w:eastAsia="zh-CN"/>
              </w:rPr>
            </w:pPr>
            <w:r>
              <w:rPr>
                <w:rFonts w:hint="eastAsia" w:ascii="仿宋" w:hAnsi="仿宋" w:eastAsia="仿宋" w:cs="仿宋"/>
                <w:color w:val="auto"/>
                <w:sz w:val="20"/>
                <w:szCs w:val="20"/>
                <w:highlight w:val="none"/>
                <w:lang w:val="en-US" w:eastAsia="zh-CN"/>
              </w:rPr>
              <w:t>二级</w:t>
            </w:r>
          </w:p>
        </w:tc>
        <w:tc>
          <w:tcPr>
            <w:tcW w:w="3935" w:type="pct"/>
            <w:tcBorders>
              <w:top w:val="single" w:color="auto" w:sz="6" w:space="0"/>
              <w:left w:val="single" w:color="auto" w:sz="6" w:space="0"/>
              <w:bottom w:val="single" w:color="auto" w:sz="6" w:space="0"/>
              <w:right w:val="single" w:color="auto" w:sz="12" w:space="0"/>
            </w:tcBorders>
            <w:vAlign w:val="center"/>
          </w:tcPr>
          <w:p w14:paraId="2D4CCAF9">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sz w:val="20"/>
                <w:szCs w:val="20"/>
                <w:highlight w:val="none"/>
                <w:vertAlign w:val="baseline"/>
              </w:rPr>
            </w:pPr>
            <w:r>
              <w:rPr>
                <w:rFonts w:hint="eastAsia" w:ascii="仿宋" w:hAnsi="仿宋" w:eastAsia="仿宋" w:cs="仿宋"/>
                <w:color w:val="auto"/>
                <w:kern w:val="2"/>
                <w:sz w:val="20"/>
                <w:szCs w:val="20"/>
                <w:highlight w:val="none"/>
                <w:lang w:val="en-US" w:eastAsia="zh-CN" w:bidi="ar"/>
              </w:rPr>
              <w:t>（1）造成死亡1人；</w:t>
            </w:r>
          </w:p>
          <w:p w14:paraId="3A283933">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（2）重伤3人以上5人以下；</w:t>
            </w:r>
          </w:p>
          <w:p w14:paraId="2FF792ED">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（3）轻伤10人以上20人以下</w:t>
            </w:r>
          </w:p>
          <w:p w14:paraId="532109B4">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（4）造成直接经济损失100万元以上500万元以下；</w:t>
            </w:r>
          </w:p>
          <w:p w14:paraId="78A7AF4B">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（5）疏散转移群众100人以上500人以下；</w:t>
            </w:r>
          </w:p>
          <w:p w14:paraId="452D071D">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（6）属地政府主管部门高度关注，造成较大社会影响和企业声誉影响的。</w:t>
            </w:r>
          </w:p>
        </w:tc>
      </w:tr>
      <w:tr w14:paraId="33C0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4" w:type="pct"/>
            <w:tcBorders>
              <w:top w:val="single" w:color="auto" w:sz="6" w:space="0"/>
              <w:left w:val="single" w:color="auto" w:sz="12" w:space="0"/>
              <w:bottom w:val="single" w:color="auto" w:sz="6" w:space="0"/>
              <w:right w:val="single" w:color="auto" w:sz="6" w:space="0"/>
            </w:tcBorders>
            <w:vAlign w:val="center"/>
          </w:tcPr>
          <w:p w14:paraId="16BB6DDE">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sz w:val="20"/>
                <w:szCs w:val="20"/>
                <w:highlight w:val="none"/>
                <w:lang w:val="en-US" w:eastAsia="zh-CN"/>
              </w:rPr>
            </w:pPr>
            <w:r>
              <w:rPr>
                <w:rFonts w:hint="eastAsia" w:ascii="仿宋" w:hAnsi="仿宋" w:eastAsia="仿宋" w:cs="仿宋"/>
                <w:color w:val="auto"/>
                <w:sz w:val="20"/>
                <w:szCs w:val="20"/>
                <w:highlight w:val="none"/>
                <w:lang w:val="en-US" w:eastAsia="zh-CN"/>
              </w:rPr>
              <w:t>三级</w:t>
            </w:r>
          </w:p>
        </w:tc>
        <w:tc>
          <w:tcPr>
            <w:tcW w:w="3935" w:type="pct"/>
            <w:tcBorders>
              <w:top w:val="single" w:color="auto" w:sz="6" w:space="0"/>
              <w:left w:val="single" w:color="auto" w:sz="6" w:space="0"/>
              <w:bottom w:val="single" w:color="auto" w:sz="6" w:space="0"/>
              <w:right w:val="single" w:color="auto" w:sz="12" w:space="0"/>
            </w:tcBorders>
            <w:vAlign w:val="center"/>
          </w:tcPr>
          <w:p w14:paraId="7E419054">
            <w:pPr>
              <w:keepNext w:val="0"/>
              <w:keepLines w:val="0"/>
              <w:widowControl/>
              <w:numPr>
                <w:ilvl w:val="0"/>
                <w:numId w:val="0"/>
              </w:numPr>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（1）造成重伤1人以上3人以下；</w:t>
            </w:r>
          </w:p>
          <w:p w14:paraId="0BA63A1A">
            <w:pPr>
              <w:keepNext w:val="0"/>
              <w:keepLines w:val="0"/>
              <w:widowControl/>
              <w:numPr>
                <w:ilvl w:val="0"/>
                <w:numId w:val="0"/>
              </w:numPr>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（2）造成轻伤5人以上10人以下；</w:t>
            </w:r>
          </w:p>
          <w:p w14:paraId="4668936A">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（3）造成直接经济损失 50 万元以上 100 万元以下；</w:t>
            </w:r>
          </w:p>
          <w:p w14:paraId="18402847">
            <w:pPr>
              <w:keepNext w:val="0"/>
              <w:keepLines w:val="0"/>
              <w:widowControl/>
              <w:numPr>
                <w:ilvl w:val="0"/>
                <w:numId w:val="0"/>
              </w:numPr>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（4）疏散转移群众 50 人以上 100 人以下；</w:t>
            </w:r>
          </w:p>
          <w:p w14:paraId="3766EB7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（5）</w:t>
            </w:r>
            <w:r>
              <w:rPr>
                <w:rFonts w:hint="eastAsia" w:ascii="仿宋" w:hAnsi="仿宋" w:eastAsia="仿宋" w:cs="仿宋"/>
                <w:color w:val="auto"/>
                <w:kern w:val="0"/>
                <w:sz w:val="20"/>
                <w:szCs w:val="20"/>
                <w:highlight w:val="none"/>
                <w:lang w:val="en-US" w:eastAsia="zh-CN" w:bidi="ar"/>
              </w:rPr>
              <w:t>造成一定社会影响和企业声誉影响的。</w:t>
            </w:r>
          </w:p>
        </w:tc>
      </w:tr>
      <w:tr w14:paraId="4F66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jc w:val="center"/>
        </w:trPr>
        <w:tc>
          <w:tcPr>
            <w:tcW w:w="1064" w:type="pct"/>
            <w:tcBorders>
              <w:top w:val="single" w:color="auto" w:sz="6" w:space="0"/>
              <w:left w:val="single" w:color="auto" w:sz="12" w:space="0"/>
              <w:bottom w:val="single" w:color="auto" w:sz="12" w:space="0"/>
              <w:right w:val="single" w:color="auto" w:sz="6" w:space="0"/>
            </w:tcBorders>
            <w:vAlign w:val="center"/>
          </w:tcPr>
          <w:p w14:paraId="6FF0E06C">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sz w:val="20"/>
                <w:szCs w:val="20"/>
                <w:highlight w:val="none"/>
                <w:lang w:val="en-US" w:eastAsia="zh-CN"/>
              </w:rPr>
            </w:pPr>
            <w:r>
              <w:rPr>
                <w:rFonts w:hint="eastAsia" w:ascii="仿宋" w:hAnsi="仿宋" w:eastAsia="仿宋" w:cs="仿宋"/>
                <w:color w:val="auto"/>
                <w:sz w:val="20"/>
                <w:szCs w:val="20"/>
                <w:highlight w:val="none"/>
                <w:lang w:val="en-US" w:eastAsia="zh-CN"/>
              </w:rPr>
              <w:t>四级</w:t>
            </w:r>
          </w:p>
        </w:tc>
        <w:tc>
          <w:tcPr>
            <w:tcW w:w="3935" w:type="pct"/>
            <w:tcBorders>
              <w:top w:val="single" w:color="auto" w:sz="6" w:space="0"/>
              <w:left w:val="single" w:color="auto" w:sz="6" w:space="0"/>
              <w:bottom w:val="single" w:color="auto" w:sz="12" w:space="0"/>
              <w:right w:val="single" w:color="auto" w:sz="12" w:space="0"/>
            </w:tcBorders>
            <w:vAlign w:val="center"/>
          </w:tcPr>
          <w:p w14:paraId="6CD886EE">
            <w:pPr>
              <w:keepNext w:val="0"/>
              <w:keepLines w:val="0"/>
              <w:widowControl/>
              <w:numPr>
                <w:ilvl w:val="0"/>
                <w:numId w:val="0"/>
              </w:numPr>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（1）造成轻伤1人以上5人以下；</w:t>
            </w:r>
          </w:p>
          <w:p w14:paraId="76F6415E">
            <w:pPr>
              <w:keepNext w:val="0"/>
              <w:keepLines w:val="0"/>
              <w:widowControl/>
              <w:numPr>
                <w:ilvl w:val="0"/>
                <w:numId w:val="0"/>
              </w:numPr>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（2）造成直接经济损失50万元以下；</w:t>
            </w:r>
          </w:p>
          <w:p w14:paraId="6671C9A3">
            <w:pPr>
              <w:keepNext w:val="0"/>
              <w:keepLines w:val="0"/>
              <w:widowControl/>
              <w:numPr>
                <w:ilvl w:val="0"/>
                <w:numId w:val="0"/>
              </w:numPr>
              <w:suppressLineNumbers w:val="0"/>
              <w:spacing w:before="0" w:beforeAutospacing="0" w:after="0" w:afterAutospacing="0" w:line="240" w:lineRule="auto"/>
              <w:ind w:left="0" w:right="0"/>
              <w:jc w:val="left"/>
              <w:rPr>
                <w:rFonts w:hint="eastAsia" w:ascii="仿宋" w:hAnsi="仿宋" w:eastAsia="仿宋" w:cs="仿宋"/>
                <w:color w:val="auto"/>
                <w:kern w:val="2"/>
                <w:sz w:val="20"/>
                <w:szCs w:val="20"/>
                <w:highlight w:val="none"/>
                <w:lang w:val="en-US" w:eastAsia="zh-CN" w:bidi="ar"/>
              </w:rPr>
            </w:pPr>
            <w:r>
              <w:rPr>
                <w:rFonts w:hint="eastAsia" w:ascii="仿宋" w:hAnsi="仿宋" w:eastAsia="仿宋" w:cs="仿宋"/>
                <w:color w:val="auto"/>
                <w:kern w:val="2"/>
                <w:sz w:val="20"/>
                <w:szCs w:val="20"/>
                <w:highlight w:val="none"/>
                <w:lang w:val="en-US" w:eastAsia="zh-CN" w:bidi="ar"/>
              </w:rPr>
              <w:t>（3）疏散转移群众 50 人以下的。</w:t>
            </w:r>
          </w:p>
        </w:tc>
      </w:tr>
      <w:tr w14:paraId="44CA6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5000" w:type="pct"/>
            <w:gridSpan w:val="2"/>
            <w:tcBorders>
              <w:top w:val="single" w:color="auto" w:sz="12" w:space="0"/>
              <w:left w:val="single" w:color="auto" w:sz="12" w:space="0"/>
              <w:bottom w:val="single" w:color="auto" w:sz="12" w:space="0"/>
              <w:right w:val="single" w:color="auto" w:sz="12" w:space="0"/>
            </w:tcBorders>
            <w:vAlign w:val="center"/>
          </w:tcPr>
          <w:p w14:paraId="5B2E9CFF">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b/>
                <w:bCs/>
                <w:color w:val="auto"/>
                <w:sz w:val="20"/>
                <w:szCs w:val="20"/>
                <w:highlight w:val="none"/>
                <w:lang w:val="en-US" w:eastAsia="zh-CN"/>
              </w:rPr>
            </w:pPr>
            <w:r>
              <w:rPr>
                <w:rFonts w:hint="eastAsia" w:ascii="仿宋" w:hAnsi="仿宋" w:eastAsia="仿宋" w:cs="仿宋"/>
                <w:b/>
                <w:bCs/>
                <w:color w:val="auto"/>
                <w:sz w:val="20"/>
                <w:szCs w:val="20"/>
                <w:highlight w:val="none"/>
                <w:lang w:val="en-US" w:eastAsia="zh-CN"/>
              </w:rPr>
              <w:t>说明：</w:t>
            </w:r>
          </w:p>
          <w:p w14:paraId="18524A70">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b w:val="0"/>
                <w:bCs w:val="0"/>
                <w:color w:val="auto"/>
                <w:sz w:val="20"/>
                <w:szCs w:val="20"/>
                <w:highlight w:val="none"/>
                <w:lang w:eastAsia="zh-CN"/>
              </w:rPr>
            </w:pPr>
            <w:r>
              <w:rPr>
                <w:rFonts w:hint="eastAsia" w:ascii="仿宋" w:hAnsi="仿宋" w:eastAsia="仿宋" w:cs="仿宋"/>
                <w:b w:val="0"/>
                <w:bCs w:val="0"/>
                <w:color w:val="auto"/>
                <w:sz w:val="20"/>
                <w:szCs w:val="20"/>
                <w:highlight w:val="none"/>
                <w:lang w:val="en-US" w:eastAsia="zh-CN"/>
              </w:rPr>
              <w:t>1.</w:t>
            </w:r>
            <w:r>
              <w:rPr>
                <w:rFonts w:hint="eastAsia" w:ascii="仿宋" w:hAnsi="仿宋" w:eastAsia="仿宋" w:cs="仿宋"/>
                <w:b w:val="0"/>
                <w:bCs w:val="0"/>
                <w:color w:val="auto"/>
                <w:sz w:val="20"/>
                <w:szCs w:val="20"/>
                <w:highlight w:val="none"/>
              </w:rPr>
              <w:t>上述条款所称“以上”包括本数，“以下”不包括本数</w:t>
            </w:r>
            <w:r>
              <w:rPr>
                <w:rFonts w:hint="eastAsia" w:ascii="仿宋" w:hAnsi="仿宋" w:eastAsia="仿宋" w:cs="仿宋"/>
                <w:b w:val="0"/>
                <w:bCs w:val="0"/>
                <w:color w:val="auto"/>
                <w:sz w:val="20"/>
                <w:szCs w:val="20"/>
                <w:highlight w:val="none"/>
                <w:lang w:eastAsia="zh-CN"/>
              </w:rPr>
              <w:t>。</w:t>
            </w:r>
          </w:p>
          <w:p w14:paraId="5F69608D">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b/>
                <w:bCs/>
                <w:color w:val="auto"/>
                <w:sz w:val="20"/>
                <w:szCs w:val="20"/>
                <w:highlight w:val="none"/>
                <w:lang w:val="en-US" w:eastAsia="zh-CN"/>
              </w:rPr>
            </w:pPr>
            <w:r>
              <w:rPr>
                <w:rFonts w:hint="eastAsia" w:ascii="仿宋" w:hAnsi="仿宋" w:eastAsia="仿宋" w:cs="仿宋"/>
                <w:b w:val="0"/>
                <w:bCs w:val="0"/>
                <w:color w:val="auto"/>
                <w:sz w:val="20"/>
                <w:szCs w:val="20"/>
                <w:highlight w:val="none"/>
                <w:lang w:val="en-US" w:eastAsia="zh-CN"/>
              </w:rPr>
              <w:t>2.等级划分符合人员伤亡程度、直接经济损失和社会影响中任一条件即可定义为相应事故等级。</w:t>
            </w:r>
          </w:p>
        </w:tc>
      </w:tr>
    </w:tbl>
    <w:p w14:paraId="5F97798D">
      <w:pPr>
        <w:rPr>
          <w:rFonts w:hint="eastAsia" w:ascii="仿宋" w:hAnsi="仿宋" w:eastAsia="仿宋" w:cs="仿宋"/>
          <w:b/>
          <w:bCs/>
          <w:sz w:val="32"/>
          <w:szCs w:val="32"/>
          <w:lang w:eastAsia="zh-CN"/>
        </w:rPr>
      </w:pPr>
      <w:r>
        <w:rPr>
          <w:rFonts w:hint="eastAsia" w:ascii="仿宋" w:hAnsi="仿宋" w:eastAsia="仿宋" w:cs="仿宋"/>
          <w:b/>
          <w:bCs/>
          <w:sz w:val="32"/>
          <w:szCs w:val="32"/>
          <w:lang w:eastAsia="zh-CN"/>
        </w:rPr>
        <w:br w:type="page"/>
      </w:r>
    </w:p>
    <w:p w14:paraId="73A62F18">
      <w:pPr>
        <w:spacing w:line="360" w:lineRule="auto"/>
        <w:ind w:firstLine="643" w:firstLineChars="200"/>
        <w:jc w:val="center"/>
        <w:rPr>
          <w:rFonts w:hint="eastAsia" w:ascii="仿宋" w:hAnsi="仿宋" w:eastAsia="仿宋" w:cs="仿宋"/>
          <w:sz w:val="24"/>
          <w:szCs w:val="24"/>
          <w:lang w:eastAsia="zh-CN"/>
        </w:rPr>
      </w:pPr>
      <w:r>
        <w:rPr>
          <w:rFonts w:hint="eastAsia" w:ascii="仿宋" w:hAnsi="仿宋" w:eastAsia="仿宋" w:cs="仿宋"/>
          <w:b/>
          <w:bCs/>
          <w:sz w:val="32"/>
          <w:szCs w:val="32"/>
          <w:lang w:eastAsia="zh-CN"/>
        </w:rPr>
        <w:t>事故等级考核标准</w:t>
      </w:r>
    </w:p>
    <w:tbl>
      <w:tblPr>
        <w:tblStyle w:val="13"/>
        <w:tblW w:w="10681" w:type="dxa"/>
        <w:jc w:val="center"/>
        <w:tblLayout w:type="autofit"/>
        <w:tblCellMar>
          <w:top w:w="0" w:type="dxa"/>
          <w:left w:w="108" w:type="dxa"/>
          <w:bottom w:w="0" w:type="dxa"/>
          <w:right w:w="108" w:type="dxa"/>
        </w:tblCellMar>
      </w:tblPr>
      <w:tblGrid>
        <w:gridCol w:w="993"/>
        <w:gridCol w:w="993"/>
        <w:gridCol w:w="1858"/>
        <w:gridCol w:w="1525"/>
        <w:gridCol w:w="1328"/>
        <w:gridCol w:w="1328"/>
        <w:gridCol w:w="1328"/>
        <w:gridCol w:w="1328"/>
      </w:tblGrid>
      <w:tr w14:paraId="3355A5F0">
        <w:tblPrEx>
          <w:tblCellMar>
            <w:top w:w="0" w:type="dxa"/>
            <w:left w:w="108" w:type="dxa"/>
            <w:bottom w:w="0" w:type="dxa"/>
            <w:right w:w="108" w:type="dxa"/>
          </w:tblCellMar>
        </w:tblPrEx>
        <w:trPr>
          <w:trHeight w:val="615" w:hRule="atLeast"/>
          <w:jc w:val="center"/>
        </w:trPr>
        <w:tc>
          <w:tcPr>
            <w:tcW w:w="993"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526AB72D">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事故等级</w:t>
            </w:r>
          </w:p>
        </w:tc>
        <w:tc>
          <w:tcPr>
            <w:tcW w:w="993" w:type="dxa"/>
            <w:vMerge w:val="restart"/>
            <w:tcBorders>
              <w:top w:val="single" w:color="000000" w:sz="8" w:space="0"/>
              <w:left w:val="single" w:color="000000" w:sz="8" w:space="0"/>
              <w:bottom w:val="single" w:color="000000" w:sz="8" w:space="0"/>
              <w:right w:val="single" w:color="000000" w:sz="8" w:space="0"/>
            </w:tcBorders>
            <w:shd w:val="clear" w:color="auto" w:fill="9CC2E5"/>
            <w:vAlign w:val="center"/>
          </w:tcPr>
          <w:p w14:paraId="35855DB5">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事故责任</w:t>
            </w:r>
          </w:p>
        </w:tc>
        <w:tc>
          <w:tcPr>
            <w:tcW w:w="1858" w:type="dxa"/>
            <w:vMerge w:val="restart"/>
            <w:tcBorders>
              <w:top w:val="single" w:color="000000" w:sz="8" w:space="0"/>
              <w:left w:val="single" w:color="000000" w:sz="8" w:space="0"/>
              <w:bottom w:val="single" w:color="000000" w:sz="8" w:space="0"/>
              <w:right w:val="single" w:color="000000" w:sz="8" w:space="0"/>
            </w:tcBorders>
            <w:shd w:val="clear" w:color="auto" w:fill="9CC2E5"/>
            <w:vAlign w:val="center"/>
          </w:tcPr>
          <w:p w14:paraId="2250EED3">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一级</w:t>
            </w:r>
          </w:p>
        </w:tc>
        <w:tc>
          <w:tcPr>
            <w:tcW w:w="1525" w:type="dxa"/>
            <w:vMerge w:val="restart"/>
            <w:tcBorders>
              <w:top w:val="single" w:color="000000" w:sz="8" w:space="0"/>
              <w:left w:val="single" w:color="000000" w:sz="8" w:space="0"/>
              <w:bottom w:val="single" w:color="000000" w:sz="8" w:space="0"/>
              <w:right w:val="single" w:color="000000" w:sz="8" w:space="0"/>
            </w:tcBorders>
            <w:shd w:val="clear" w:color="auto" w:fill="9CC2E5"/>
            <w:vAlign w:val="center"/>
          </w:tcPr>
          <w:p w14:paraId="54ECBFA8">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二级</w:t>
            </w:r>
          </w:p>
        </w:tc>
        <w:tc>
          <w:tcPr>
            <w:tcW w:w="2656" w:type="dxa"/>
            <w:gridSpan w:val="2"/>
            <w:tcBorders>
              <w:top w:val="single" w:color="000000" w:sz="8" w:space="0"/>
              <w:left w:val="single" w:color="000000" w:sz="8" w:space="0"/>
              <w:bottom w:val="single" w:color="000000" w:sz="8" w:space="0"/>
              <w:right w:val="single" w:color="000000" w:sz="8" w:space="0"/>
            </w:tcBorders>
            <w:shd w:val="clear" w:color="auto" w:fill="9CC2E5"/>
            <w:vAlign w:val="center"/>
          </w:tcPr>
          <w:p w14:paraId="047F4CBF">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三级</w:t>
            </w:r>
          </w:p>
        </w:tc>
        <w:tc>
          <w:tcPr>
            <w:tcW w:w="2656" w:type="dxa"/>
            <w:gridSpan w:val="2"/>
            <w:tcBorders>
              <w:top w:val="single" w:color="000000" w:sz="8" w:space="0"/>
              <w:left w:val="single" w:color="000000" w:sz="8" w:space="0"/>
              <w:bottom w:val="single" w:color="000000" w:sz="8" w:space="0"/>
              <w:right w:val="single" w:color="000000" w:sz="8" w:space="0"/>
            </w:tcBorders>
            <w:shd w:val="clear" w:color="auto" w:fill="9CC2E5"/>
            <w:vAlign w:val="center"/>
          </w:tcPr>
          <w:p w14:paraId="6E8D3C8C">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四级</w:t>
            </w:r>
          </w:p>
        </w:tc>
      </w:tr>
      <w:tr w14:paraId="6C72891A">
        <w:tblPrEx>
          <w:tblCellMar>
            <w:top w:w="0" w:type="dxa"/>
            <w:left w:w="108" w:type="dxa"/>
            <w:bottom w:w="0" w:type="dxa"/>
            <w:right w:w="108" w:type="dxa"/>
          </w:tblCellMar>
        </w:tblPrEx>
        <w:trPr>
          <w:trHeight w:val="615" w:hRule="atLeast"/>
          <w:jc w:val="center"/>
        </w:trPr>
        <w:tc>
          <w:tcPr>
            <w:tcW w:w="993"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661C75E4">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事故类型</w:t>
            </w:r>
          </w:p>
        </w:tc>
        <w:tc>
          <w:tcPr>
            <w:tcW w:w="993" w:type="dxa"/>
            <w:vMerge w:val="continue"/>
            <w:tcBorders>
              <w:top w:val="single" w:color="000000" w:sz="8" w:space="0"/>
              <w:left w:val="single" w:color="000000" w:sz="8" w:space="0"/>
              <w:bottom w:val="single" w:color="000000" w:sz="8" w:space="0"/>
              <w:right w:val="single" w:color="000000" w:sz="8" w:space="0"/>
            </w:tcBorders>
            <w:vAlign w:val="center"/>
          </w:tcPr>
          <w:p w14:paraId="0139E378">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1858" w:type="dxa"/>
            <w:vMerge w:val="continue"/>
            <w:tcBorders>
              <w:top w:val="single" w:color="000000" w:sz="8" w:space="0"/>
              <w:left w:val="single" w:color="000000" w:sz="8" w:space="0"/>
              <w:bottom w:val="single" w:color="000000" w:sz="8" w:space="0"/>
              <w:right w:val="single" w:color="000000" w:sz="8" w:space="0"/>
            </w:tcBorders>
            <w:vAlign w:val="center"/>
          </w:tcPr>
          <w:p w14:paraId="14FD13C6">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1525" w:type="dxa"/>
            <w:vMerge w:val="continue"/>
            <w:tcBorders>
              <w:top w:val="single" w:color="000000" w:sz="8" w:space="0"/>
              <w:left w:val="single" w:color="000000" w:sz="8" w:space="0"/>
              <w:bottom w:val="single" w:color="000000" w:sz="8" w:space="0"/>
              <w:right w:val="single" w:color="000000" w:sz="8" w:space="0"/>
            </w:tcBorders>
            <w:vAlign w:val="center"/>
          </w:tcPr>
          <w:p w14:paraId="7A6731D4">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1328"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30CB92BA">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财产损失</w:t>
            </w:r>
          </w:p>
        </w:tc>
        <w:tc>
          <w:tcPr>
            <w:tcW w:w="1328"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0B11991D">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人伤</w:t>
            </w:r>
          </w:p>
        </w:tc>
        <w:tc>
          <w:tcPr>
            <w:tcW w:w="1328"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108867FA">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财产损失</w:t>
            </w:r>
          </w:p>
        </w:tc>
        <w:tc>
          <w:tcPr>
            <w:tcW w:w="1328"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6AE31E0E">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人伤</w:t>
            </w:r>
          </w:p>
        </w:tc>
      </w:tr>
      <w:tr w14:paraId="78AAACAA">
        <w:tblPrEx>
          <w:tblCellMar>
            <w:top w:w="0" w:type="dxa"/>
            <w:left w:w="108" w:type="dxa"/>
            <w:bottom w:w="0" w:type="dxa"/>
            <w:right w:w="108" w:type="dxa"/>
          </w:tblCellMar>
        </w:tblPrEx>
        <w:trPr>
          <w:trHeight w:val="600" w:hRule="atLeast"/>
          <w:jc w:val="center"/>
        </w:trPr>
        <w:tc>
          <w:tcPr>
            <w:tcW w:w="993" w:type="dxa"/>
            <w:vMerge w:val="restart"/>
            <w:tcBorders>
              <w:top w:val="single" w:color="000000" w:sz="8" w:space="0"/>
              <w:left w:val="single" w:color="000000" w:sz="8" w:space="0"/>
              <w:bottom w:val="single" w:color="000000" w:sz="8" w:space="0"/>
              <w:right w:val="single" w:color="000000" w:sz="8" w:space="0"/>
            </w:tcBorders>
            <w:shd w:val="clear" w:color="auto" w:fill="C5E0B3"/>
            <w:vAlign w:val="center"/>
          </w:tcPr>
          <w:p w14:paraId="4B84CAB5">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生产安全事故</w:t>
            </w:r>
          </w:p>
        </w:tc>
        <w:tc>
          <w:tcPr>
            <w:tcW w:w="993" w:type="dxa"/>
            <w:tcBorders>
              <w:top w:val="single" w:color="000000" w:sz="8" w:space="0"/>
              <w:left w:val="single" w:color="000000" w:sz="8" w:space="0"/>
              <w:bottom w:val="single" w:color="000000" w:sz="8" w:space="0"/>
              <w:right w:val="single" w:color="000000" w:sz="8" w:space="0"/>
            </w:tcBorders>
            <w:shd w:val="clear" w:color="auto" w:fill="C5E0B3"/>
            <w:vAlign w:val="center"/>
          </w:tcPr>
          <w:p w14:paraId="301FE964">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责任</w:t>
            </w:r>
          </w:p>
        </w:tc>
        <w:tc>
          <w:tcPr>
            <w:tcW w:w="1858" w:type="dxa"/>
            <w:tcBorders>
              <w:top w:val="single" w:color="000000" w:sz="8" w:space="0"/>
              <w:left w:val="single" w:color="000000" w:sz="8" w:space="0"/>
              <w:bottom w:val="single" w:color="000000" w:sz="8" w:space="0"/>
              <w:right w:val="single" w:color="000000" w:sz="8" w:space="0"/>
            </w:tcBorders>
            <w:shd w:val="clear" w:color="auto" w:fill="C5E0B3"/>
            <w:vAlign w:val="center"/>
          </w:tcPr>
          <w:p w14:paraId="3D46BF28">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525" w:type="dxa"/>
            <w:tcBorders>
              <w:top w:val="single" w:color="000000" w:sz="8" w:space="0"/>
              <w:left w:val="single" w:color="000000" w:sz="8" w:space="0"/>
              <w:bottom w:val="single" w:color="000000" w:sz="8" w:space="0"/>
              <w:right w:val="single" w:color="000000" w:sz="8" w:space="0"/>
            </w:tcBorders>
            <w:shd w:val="clear" w:color="auto" w:fill="C5E0B3"/>
            <w:vAlign w:val="center"/>
          </w:tcPr>
          <w:p w14:paraId="0680E804">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2656" w:type="dxa"/>
            <w:gridSpan w:val="2"/>
            <w:tcBorders>
              <w:top w:val="single" w:color="000000" w:sz="8" w:space="0"/>
              <w:left w:val="single" w:color="000000" w:sz="8" w:space="0"/>
              <w:bottom w:val="single" w:color="000000" w:sz="8" w:space="0"/>
              <w:right w:val="single" w:color="000000" w:sz="8" w:space="0"/>
            </w:tcBorders>
            <w:shd w:val="clear" w:color="auto" w:fill="C5E0B3"/>
            <w:noWrap/>
            <w:vAlign w:val="center"/>
          </w:tcPr>
          <w:p w14:paraId="5FBD1E98">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2000</w:t>
            </w:r>
          </w:p>
        </w:tc>
        <w:tc>
          <w:tcPr>
            <w:tcW w:w="2656" w:type="dxa"/>
            <w:gridSpan w:val="2"/>
            <w:tcBorders>
              <w:top w:val="single" w:color="000000" w:sz="8" w:space="0"/>
              <w:left w:val="single" w:color="000000" w:sz="8" w:space="0"/>
              <w:bottom w:val="single" w:color="000000" w:sz="8" w:space="0"/>
              <w:right w:val="single" w:color="000000" w:sz="8" w:space="0"/>
            </w:tcBorders>
            <w:shd w:val="clear" w:color="auto" w:fill="C5E0B3"/>
            <w:vAlign w:val="center"/>
          </w:tcPr>
          <w:p w14:paraId="4332297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1000</w:t>
            </w:r>
          </w:p>
        </w:tc>
      </w:tr>
      <w:tr w14:paraId="6102A7DF">
        <w:tblPrEx>
          <w:tblCellMar>
            <w:top w:w="0" w:type="dxa"/>
            <w:left w:w="108" w:type="dxa"/>
            <w:bottom w:w="0" w:type="dxa"/>
            <w:right w:w="108" w:type="dxa"/>
          </w:tblCellMar>
        </w:tblPrEx>
        <w:trPr>
          <w:trHeight w:val="600" w:hRule="atLeast"/>
          <w:jc w:val="center"/>
        </w:trPr>
        <w:tc>
          <w:tcPr>
            <w:tcW w:w="993" w:type="dxa"/>
            <w:vMerge w:val="continue"/>
            <w:tcBorders>
              <w:top w:val="single" w:color="000000" w:sz="8" w:space="0"/>
              <w:left w:val="single" w:color="000000" w:sz="8" w:space="0"/>
              <w:bottom w:val="single" w:color="auto" w:sz="8" w:space="0"/>
              <w:right w:val="single" w:color="000000" w:sz="8" w:space="0"/>
            </w:tcBorders>
            <w:vAlign w:val="center"/>
          </w:tcPr>
          <w:p w14:paraId="48DD0D85">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993" w:type="dxa"/>
            <w:tcBorders>
              <w:top w:val="single" w:color="000000" w:sz="8" w:space="0"/>
              <w:left w:val="single" w:color="000000" w:sz="8" w:space="0"/>
              <w:bottom w:val="single" w:color="auto" w:sz="8" w:space="0"/>
              <w:right w:val="single" w:color="000000" w:sz="8" w:space="0"/>
            </w:tcBorders>
            <w:shd w:val="clear" w:color="auto" w:fill="C5E0B3"/>
            <w:vAlign w:val="center"/>
          </w:tcPr>
          <w:p w14:paraId="75056E27">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非责任</w:t>
            </w:r>
          </w:p>
        </w:tc>
        <w:tc>
          <w:tcPr>
            <w:tcW w:w="1858" w:type="dxa"/>
            <w:tcBorders>
              <w:top w:val="single" w:color="000000" w:sz="8" w:space="0"/>
              <w:left w:val="single" w:color="000000" w:sz="8" w:space="0"/>
              <w:bottom w:val="single" w:color="auto" w:sz="8" w:space="0"/>
              <w:right w:val="single" w:color="000000" w:sz="8" w:space="0"/>
            </w:tcBorders>
            <w:shd w:val="clear" w:color="auto" w:fill="C5E0B3"/>
            <w:vAlign w:val="center"/>
          </w:tcPr>
          <w:p w14:paraId="68C97311">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c>
          <w:tcPr>
            <w:tcW w:w="1525" w:type="dxa"/>
            <w:tcBorders>
              <w:top w:val="single" w:color="000000" w:sz="8" w:space="0"/>
              <w:left w:val="single" w:color="000000" w:sz="8" w:space="0"/>
              <w:bottom w:val="single" w:color="auto" w:sz="8" w:space="0"/>
              <w:right w:val="single" w:color="000000" w:sz="8" w:space="0"/>
            </w:tcBorders>
            <w:shd w:val="clear" w:color="auto" w:fill="C5E0B3"/>
            <w:vAlign w:val="center"/>
          </w:tcPr>
          <w:p w14:paraId="0C33C964">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c>
          <w:tcPr>
            <w:tcW w:w="1328" w:type="dxa"/>
            <w:tcBorders>
              <w:top w:val="single" w:color="000000" w:sz="8" w:space="0"/>
              <w:left w:val="single" w:color="000000" w:sz="8" w:space="0"/>
              <w:bottom w:val="single" w:color="auto" w:sz="8" w:space="0"/>
              <w:right w:val="single" w:color="000000" w:sz="8" w:space="0"/>
            </w:tcBorders>
            <w:shd w:val="clear" w:color="auto" w:fill="C5E0B3"/>
            <w:vAlign w:val="center"/>
          </w:tcPr>
          <w:p w14:paraId="7BDC1E8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c>
          <w:tcPr>
            <w:tcW w:w="1328" w:type="dxa"/>
            <w:tcBorders>
              <w:top w:val="single" w:color="000000" w:sz="8" w:space="0"/>
              <w:left w:val="single" w:color="000000" w:sz="8" w:space="0"/>
              <w:bottom w:val="single" w:color="auto" w:sz="8" w:space="0"/>
              <w:right w:val="single" w:color="000000" w:sz="8" w:space="0"/>
            </w:tcBorders>
            <w:shd w:val="clear" w:color="auto" w:fill="C5E0B3"/>
            <w:vAlign w:val="center"/>
          </w:tcPr>
          <w:p w14:paraId="22F17FA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c>
          <w:tcPr>
            <w:tcW w:w="1328" w:type="dxa"/>
            <w:tcBorders>
              <w:top w:val="single" w:color="000000" w:sz="8" w:space="0"/>
              <w:left w:val="single" w:color="000000" w:sz="8" w:space="0"/>
              <w:bottom w:val="single" w:color="auto" w:sz="8" w:space="0"/>
              <w:right w:val="single" w:color="000000" w:sz="8" w:space="0"/>
            </w:tcBorders>
            <w:shd w:val="clear" w:color="auto" w:fill="C5E0B3"/>
            <w:vAlign w:val="center"/>
          </w:tcPr>
          <w:p w14:paraId="59F991D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c>
          <w:tcPr>
            <w:tcW w:w="1328" w:type="dxa"/>
            <w:tcBorders>
              <w:top w:val="single" w:color="000000" w:sz="8" w:space="0"/>
              <w:left w:val="single" w:color="000000" w:sz="8" w:space="0"/>
              <w:bottom w:val="single" w:color="auto" w:sz="8" w:space="0"/>
              <w:right w:val="single" w:color="000000" w:sz="8" w:space="0"/>
            </w:tcBorders>
            <w:shd w:val="clear" w:color="auto" w:fill="C5E0B3"/>
            <w:vAlign w:val="center"/>
          </w:tcPr>
          <w:p w14:paraId="6148E908">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r>
      <w:tr w14:paraId="2A199D8D">
        <w:tblPrEx>
          <w:tblCellMar>
            <w:top w:w="0" w:type="dxa"/>
            <w:left w:w="108" w:type="dxa"/>
            <w:bottom w:w="0" w:type="dxa"/>
            <w:right w:w="108" w:type="dxa"/>
          </w:tblCellMar>
        </w:tblPrEx>
        <w:trPr>
          <w:trHeight w:val="600" w:hRule="atLeast"/>
          <w:jc w:val="center"/>
        </w:trPr>
        <w:tc>
          <w:tcPr>
            <w:tcW w:w="993" w:type="dxa"/>
            <w:vMerge w:val="restart"/>
            <w:tcBorders>
              <w:top w:val="single" w:color="auto" w:sz="8" w:space="0"/>
              <w:left w:val="single" w:color="auto" w:sz="8" w:space="0"/>
              <w:bottom w:val="single" w:color="auto" w:sz="8" w:space="0"/>
              <w:right w:val="single" w:color="auto" w:sz="8" w:space="0"/>
            </w:tcBorders>
            <w:shd w:val="clear" w:color="auto" w:fill="FEF2CC"/>
            <w:vAlign w:val="center"/>
          </w:tcPr>
          <w:p w14:paraId="4DC8C8DB">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交通事故</w:t>
            </w:r>
          </w:p>
        </w:tc>
        <w:tc>
          <w:tcPr>
            <w:tcW w:w="993" w:type="dxa"/>
            <w:tcBorders>
              <w:top w:val="single" w:color="auto" w:sz="8" w:space="0"/>
              <w:left w:val="single" w:color="auto" w:sz="8" w:space="0"/>
              <w:bottom w:val="single" w:color="auto" w:sz="8" w:space="0"/>
              <w:right w:val="single" w:color="auto" w:sz="8" w:space="0"/>
            </w:tcBorders>
            <w:shd w:val="clear" w:color="auto" w:fill="FEF2CC"/>
            <w:vAlign w:val="center"/>
          </w:tcPr>
          <w:p w14:paraId="76D32E18">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全部责任</w:t>
            </w:r>
          </w:p>
        </w:tc>
        <w:tc>
          <w:tcPr>
            <w:tcW w:w="1858" w:type="dxa"/>
            <w:tcBorders>
              <w:top w:val="single" w:color="auto" w:sz="8" w:space="0"/>
              <w:left w:val="single" w:color="auto" w:sz="8" w:space="0"/>
              <w:bottom w:val="single" w:color="auto" w:sz="8" w:space="0"/>
              <w:right w:val="single" w:color="auto" w:sz="8" w:space="0"/>
            </w:tcBorders>
            <w:shd w:val="clear" w:color="auto" w:fill="FEF2CC"/>
            <w:vAlign w:val="center"/>
          </w:tcPr>
          <w:p w14:paraId="69FF1355">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525" w:type="dxa"/>
            <w:tcBorders>
              <w:top w:val="single" w:color="auto" w:sz="8" w:space="0"/>
              <w:left w:val="single" w:color="auto" w:sz="8" w:space="0"/>
              <w:bottom w:val="single" w:color="auto" w:sz="8" w:space="0"/>
              <w:right w:val="single" w:color="auto" w:sz="8" w:space="0"/>
            </w:tcBorders>
            <w:shd w:val="clear" w:color="auto" w:fill="FEF2CC"/>
            <w:vAlign w:val="center"/>
          </w:tcPr>
          <w:p w14:paraId="7228B0D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5F7A225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2500-3000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733FB80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179199B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1000-1500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33BCBD08">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1500-2000</w:t>
            </w:r>
          </w:p>
        </w:tc>
      </w:tr>
      <w:tr w14:paraId="1D37CAA1">
        <w:tblPrEx>
          <w:tblCellMar>
            <w:top w:w="0" w:type="dxa"/>
            <w:left w:w="108" w:type="dxa"/>
            <w:bottom w:w="0" w:type="dxa"/>
            <w:right w:w="108" w:type="dxa"/>
          </w:tblCellMar>
        </w:tblPrEx>
        <w:trPr>
          <w:trHeight w:val="600" w:hRule="atLeast"/>
          <w:jc w:val="center"/>
        </w:trPr>
        <w:tc>
          <w:tcPr>
            <w:tcW w:w="993" w:type="dxa"/>
            <w:vMerge w:val="continue"/>
            <w:tcBorders>
              <w:top w:val="single" w:color="auto" w:sz="8" w:space="0"/>
              <w:left w:val="single" w:color="auto" w:sz="8" w:space="0"/>
              <w:bottom w:val="single" w:color="auto" w:sz="8" w:space="0"/>
              <w:right w:val="single" w:color="auto" w:sz="8" w:space="0"/>
            </w:tcBorders>
            <w:vAlign w:val="center"/>
          </w:tcPr>
          <w:p w14:paraId="67A70FCE">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993" w:type="dxa"/>
            <w:tcBorders>
              <w:top w:val="single" w:color="auto" w:sz="8" w:space="0"/>
              <w:left w:val="single" w:color="auto" w:sz="8" w:space="0"/>
              <w:bottom w:val="single" w:color="auto" w:sz="8" w:space="0"/>
              <w:right w:val="single" w:color="auto" w:sz="8" w:space="0"/>
            </w:tcBorders>
            <w:shd w:val="clear" w:color="auto" w:fill="FEF2CC"/>
            <w:vAlign w:val="center"/>
          </w:tcPr>
          <w:p w14:paraId="7056298B">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主要责任</w:t>
            </w:r>
          </w:p>
        </w:tc>
        <w:tc>
          <w:tcPr>
            <w:tcW w:w="1858" w:type="dxa"/>
            <w:tcBorders>
              <w:top w:val="single" w:color="auto" w:sz="8" w:space="0"/>
              <w:left w:val="single" w:color="auto" w:sz="8" w:space="0"/>
              <w:bottom w:val="single" w:color="auto" w:sz="8" w:space="0"/>
              <w:right w:val="single" w:color="auto" w:sz="8" w:space="0"/>
            </w:tcBorders>
            <w:shd w:val="clear" w:color="auto" w:fill="FEF2CC"/>
            <w:vAlign w:val="center"/>
          </w:tcPr>
          <w:p w14:paraId="1E966EFD">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525" w:type="dxa"/>
            <w:tcBorders>
              <w:top w:val="single" w:color="auto" w:sz="8" w:space="0"/>
              <w:left w:val="single" w:color="auto" w:sz="8" w:space="0"/>
              <w:bottom w:val="single" w:color="auto" w:sz="8" w:space="0"/>
              <w:right w:val="single" w:color="auto" w:sz="8" w:space="0"/>
            </w:tcBorders>
            <w:shd w:val="clear" w:color="auto" w:fill="FEF2CC"/>
            <w:vAlign w:val="center"/>
          </w:tcPr>
          <w:p w14:paraId="2D77F27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7E447E0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2000-2500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185ED75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2500-3000+</w:t>
            </w:r>
            <w:r>
              <w:rPr>
                <w:rFonts w:hint="default" w:ascii="宋体" w:hAnsi="宋体" w:eastAsia="宋体" w:cs="Times New Roman"/>
                <w:color w:val="000000"/>
                <w:sz w:val="18"/>
                <w:szCs w:val="18"/>
                <w:lang w:eastAsia="zh-CN"/>
              </w:rPr>
              <w:t>劝退</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62C8B884">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800-1300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52D78C4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1300-1800</w:t>
            </w:r>
          </w:p>
        </w:tc>
      </w:tr>
      <w:tr w14:paraId="148BDCC4">
        <w:tblPrEx>
          <w:tblCellMar>
            <w:top w:w="0" w:type="dxa"/>
            <w:left w:w="108" w:type="dxa"/>
            <w:bottom w:w="0" w:type="dxa"/>
            <w:right w:w="108" w:type="dxa"/>
          </w:tblCellMar>
        </w:tblPrEx>
        <w:trPr>
          <w:trHeight w:val="600" w:hRule="atLeast"/>
          <w:jc w:val="center"/>
        </w:trPr>
        <w:tc>
          <w:tcPr>
            <w:tcW w:w="993" w:type="dxa"/>
            <w:vMerge w:val="continue"/>
            <w:tcBorders>
              <w:top w:val="single" w:color="auto" w:sz="8" w:space="0"/>
              <w:left w:val="single" w:color="auto" w:sz="8" w:space="0"/>
              <w:bottom w:val="single" w:color="auto" w:sz="8" w:space="0"/>
              <w:right w:val="single" w:color="auto" w:sz="8" w:space="0"/>
            </w:tcBorders>
            <w:vAlign w:val="center"/>
          </w:tcPr>
          <w:p w14:paraId="172D16D1">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993" w:type="dxa"/>
            <w:tcBorders>
              <w:top w:val="single" w:color="auto" w:sz="8" w:space="0"/>
              <w:left w:val="single" w:color="auto" w:sz="8" w:space="0"/>
              <w:bottom w:val="single" w:color="auto" w:sz="8" w:space="0"/>
              <w:right w:val="single" w:color="auto" w:sz="8" w:space="0"/>
            </w:tcBorders>
            <w:shd w:val="clear" w:color="auto" w:fill="FEF2CC"/>
            <w:vAlign w:val="center"/>
          </w:tcPr>
          <w:p w14:paraId="417260B3">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同等责任</w:t>
            </w:r>
          </w:p>
        </w:tc>
        <w:tc>
          <w:tcPr>
            <w:tcW w:w="1858" w:type="dxa"/>
            <w:tcBorders>
              <w:top w:val="single" w:color="auto" w:sz="8" w:space="0"/>
              <w:left w:val="single" w:color="auto" w:sz="8" w:space="0"/>
              <w:bottom w:val="single" w:color="auto" w:sz="8" w:space="0"/>
              <w:right w:val="single" w:color="auto" w:sz="8" w:space="0"/>
            </w:tcBorders>
            <w:shd w:val="clear" w:color="auto" w:fill="FEF2CC"/>
            <w:vAlign w:val="center"/>
          </w:tcPr>
          <w:p w14:paraId="478FE7BA">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525" w:type="dxa"/>
            <w:tcBorders>
              <w:top w:val="single" w:color="auto" w:sz="8" w:space="0"/>
              <w:left w:val="single" w:color="auto" w:sz="8" w:space="0"/>
              <w:bottom w:val="single" w:color="auto" w:sz="8" w:space="0"/>
              <w:right w:val="single" w:color="auto" w:sz="8" w:space="0"/>
            </w:tcBorders>
            <w:shd w:val="clear" w:color="auto" w:fill="FEF2CC"/>
            <w:vAlign w:val="center"/>
          </w:tcPr>
          <w:p w14:paraId="3EE3AD4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2500-3000+</w:t>
            </w:r>
            <w:r>
              <w:rPr>
                <w:rFonts w:hint="default" w:ascii="宋体" w:hAnsi="宋体" w:eastAsia="宋体" w:cs="Times New Roman"/>
                <w:color w:val="000000"/>
                <w:sz w:val="18"/>
                <w:szCs w:val="18"/>
                <w:lang w:eastAsia="zh-CN"/>
              </w:rPr>
              <w:t>劝退</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34FCC3A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1500-2000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1613762E">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2000-2500+</w:t>
            </w:r>
            <w:r>
              <w:rPr>
                <w:rFonts w:hint="default" w:ascii="宋体" w:hAnsi="宋体" w:eastAsia="宋体" w:cs="Times New Roman"/>
                <w:color w:val="000000"/>
                <w:sz w:val="18"/>
                <w:szCs w:val="18"/>
                <w:lang w:eastAsia="zh-CN"/>
              </w:rPr>
              <w:t>劝退</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49532EA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500-1000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392A35F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800-1500</w:t>
            </w:r>
          </w:p>
        </w:tc>
      </w:tr>
      <w:tr w14:paraId="6D91A904">
        <w:tblPrEx>
          <w:tblCellMar>
            <w:top w:w="0" w:type="dxa"/>
            <w:left w:w="108" w:type="dxa"/>
            <w:bottom w:w="0" w:type="dxa"/>
            <w:right w:w="108" w:type="dxa"/>
          </w:tblCellMar>
        </w:tblPrEx>
        <w:trPr>
          <w:trHeight w:val="600" w:hRule="atLeast"/>
          <w:jc w:val="center"/>
        </w:trPr>
        <w:tc>
          <w:tcPr>
            <w:tcW w:w="993" w:type="dxa"/>
            <w:vMerge w:val="continue"/>
            <w:tcBorders>
              <w:top w:val="single" w:color="auto" w:sz="8" w:space="0"/>
              <w:left w:val="single" w:color="auto" w:sz="8" w:space="0"/>
              <w:bottom w:val="single" w:color="auto" w:sz="8" w:space="0"/>
              <w:right w:val="single" w:color="auto" w:sz="8" w:space="0"/>
            </w:tcBorders>
            <w:vAlign w:val="center"/>
          </w:tcPr>
          <w:p w14:paraId="3BF6905E">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993" w:type="dxa"/>
            <w:tcBorders>
              <w:top w:val="single" w:color="auto" w:sz="8" w:space="0"/>
              <w:left w:val="single" w:color="auto" w:sz="8" w:space="0"/>
              <w:bottom w:val="single" w:color="auto" w:sz="8" w:space="0"/>
              <w:right w:val="single" w:color="auto" w:sz="8" w:space="0"/>
            </w:tcBorders>
            <w:shd w:val="clear" w:color="auto" w:fill="FEF2CC"/>
            <w:vAlign w:val="center"/>
          </w:tcPr>
          <w:p w14:paraId="6577E080">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次要责任</w:t>
            </w:r>
          </w:p>
        </w:tc>
        <w:tc>
          <w:tcPr>
            <w:tcW w:w="1858" w:type="dxa"/>
            <w:tcBorders>
              <w:top w:val="single" w:color="auto" w:sz="8" w:space="0"/>
              <w:left w:val="single" w:color="auto" w:sz="8" w:space="0"/>
              <w:bottom w:val="single" w:color="auto" w:sz="8" w:space="0"/>
              <w:right w:val="single" w:color="auto" w:sz="8" w:space="0"/>
            </w:tcBorders>
            <w:shd w:val="clear" w:color="auto" w:fill="FEF2CC"/>
            <w:vAlign w:val="center"/>
          </w:tcPr>
          <w:p w14:paraId="0AC90D91">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2500-3000+</w:t>
            </w:r>
            <w:r>
              <w:rPr>
                <w:rFonts w:hint="default" w:ascii="宋体" w:hAnsi="宋体" w:eastAsia="宋体" w:cs="Times New Roman"/>
                <w:color w:val="000000"/>
                <w:sz w:val="18"/>
                <w:szCs w:val="18"/>
                <w:lang w:eastAsia="zh-CN"/>
              </w:rPr>
              <w:t>调岗、劝退</w:t>
            </w:r>
          </w:p>
        </w:tc>
        <w:tc>
          <w:tcPr>
            <w:tcW w:w="1525" w:type="dxa"/>
            <w:tcBorders>
              <w:top w:val="single" w:color="auto" w:sz="8" w:space="0"/>
              <w:left w:val="single" w:color="auto" w:sz="8" w:space="0"/>
              <w:bottom w:val="single" w:color="auto" w:sz="8" w:space="0"/>
              <w:right w:val="single" w:color="auto" w:sz="8" w:space="0"/>
            </w:tcBorders>
            <w:shd w:val="clear" w:color="auto" w:fill="FEF2CC"/>
            <w:vAlign w:val="center"/>
          </w:tcPr>
          <w:p w14:paraId="3A90850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2000-2500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0A824DD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800-1500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3548D92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1500-2000+</w:t>
            </w:r>
            <w:r>
              <w:rPr>
                <w:rFonts w:hint="default" w:ascii="宋体" w:hAnsi="宋体" w:eastAsia="宋体" w:cs="Times New Roman"/>
                <w:color w:val="000000"/>
                <w:sz w:val="18"/>
                <w:szCs w:val="18"/>
                <w:lang w:eastAsia="zh-CN"/>
              </w:rPr>
              <w:t>劝退</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1216FFB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300-800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23D974B4">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500-1000</w:t>
            </w:r>
          </w:p>
        </w:tc>
      </w:tr>
      <w:tr w14:paraId="5E4DCAF6">
        <w:tblPrEx>
          <w:tblCellMar>
            <w:top w:w="0" w:type="dxa"/>
            <w:left w:w="108" w:type="dxa"/>
            <w:bottom w:w="0" w:type="dxa"/>
            <w:right w:w="108" w:type="dxa"/>
          </w:tblCellMar>
        </w:tblPrEx>
        <w:trPr>
          <w:trHeight w:val="600" w:hRule="atLeast"/>
          <w:jc w:val="center"/>
        </w:trPr>
        <w:tc>
          <w:tcPr>
            <w:tcW w:w="993" w:type="dxa"/>
            <w:vMerge w:val="continue"/>
            <w:tcBorders>
              <w:top w:val="single" w:color="auto" w:sz="8" w:space="0"/>
              <w:left w:val="single" w:color="auto" w:sz="8" w:space="0"/>
              <w:bottom w:val="single" w:color="auto" w:sz="8" w:space="0"/>
              <w:right w:val="single" w:color="auto" w:sz="8" w:space="0"/>
            </w:tcBorders>
            <w:vAlign w:val="center"/>
          </w:tcPr>
          <w:p w14:paraId="0FB1A207">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993" w:type="dxa"/>
            <w:tcBorders>
              <w:top w:val="single" w:color="auto" w:sz="8" w:space="0"/>
              <w:left w:val="single" w:color="auto" w:sz="8" w:space="0"/>
              <w:bottom w:val="single" w:color="auto" w:sz="8" w:space="0"/>
              <w:right w:val="single" w:color="auto" w:sz="8" w:space="0"/>
            </w:tcBorders>
            <w:shd w:val="clear" w:color="auto" w:fill="FEF2CC"/>
            <w:vAlign w:val="center"/>
          </w:tcPr>
          <w:p w14:paraId="37A4349B">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无责任</w:t>
            </w:r>
          </w:p>
        </w:tc>
        <w:tc>
          <w:tcPr>
            <w:tcW w:w="1858" w:type="dxa"/>
            <w:tcBorders>
              <w:top w:val="single" w:color="auto" w:sz="8" w:space="0"/>
              <w:left w:val="single" w:color="auto" w:sz="8" w:space="0"/>
              <w:bottom w:val="single" w:color="auto" w:sz="8" w:space="0"/>
              <w:right w:val="single" w:color="auto" w:sz="8" w:space="0"/>
            </w:tcBorders>
            <w:shd w:val="clear" w:color="auto" w:fill="FEF2CC"/>
            <w:vAlign w:val="center"/>
          </w:tcPr>
          <w:p w14:paraId="6B77EA1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eastAsia" w:ascii="Times New Roman" w:hAnsi="Times New Roman" w:eastAsia="宋体" w:cs="Times New Roman"/>
                <w:color w:val="000000"/>
                <w:sz w:val="18"/>
                <w:szCs w:val="18"/>
                <w:lang w:eastAsia="zh-CN"/>
              </w:rPr>
              <w:t>0</w:t>
            </w:r>
          </w:p>
        </w:tc>
        <w:tc>
          <w:tcPr>
            <w:tcW w:w="1525" w:type="dxa"/>
            <w:tcBorders>
              <w:top w:val="single" w:color="auto" w:sz="8" w:space="0"/>
              <w:left w:val="single" w:color="auto" w:sz="8" w:space="0"/>
              <w:bottom w:val="single" w:color="auto" w:sz="8" w:space="0"/>
              <w:right w:val="single" w:color="auto" w:sz="8" w:space="0"/>
            </w:tcBorders>
            <w:shd w:val="clear" w:color="auto" w:fill="FEF2CC"/>
            <w:vAlign w:val="center"/>
          </w:tcPr>
          <w:p w14:paraId="3070DC97">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c>
          <w:tcPr>
            <w:tcW w:w="2656" w:type="dxa"/>
            <w:gridSpan w:val="2"/>
            <w:tcBorders>
              <w:top w:val="single" w:color="auto" w:sz="8" w:space="0"/>
              <w:left w:val="single" w:color="auto" w:sz="8" w:space="0"/>
              <w:bottom w:val="single" w:color="auto" w:sz="8" w:space="0"/>
              <w:right w:val="single" w:color="auto" w:sz="8" w:space="0"/>
            </w:tcBorders>
            <w:shd w:val="clear" w:color="auto" w:fill="FEF2CC"/>
            <w:vAlign w:val="center"/>
          </w:tcPr>
          <w:p w14:paraId="2408EC51">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c>
          <w:tcPr>
            <w:tcW w:w="2656" w:type="dxa"/>
            <w:gridSpan w:val="2"/>
            <w:tcBorders>
              <w:top w:val="single" w:color="auto" w:sz="8" w:space="0"/>
              <w:left w:val="single" w:color="auto" w:sz="8" w:space="0"/>
              <w:bottom w:val="single" w:color="auto" w:sz="8" w:space="0"/>
              <w:right w:val="single" w:color="auto" w:sz="8" w:space="0"/>
            </w:tcBorders>
            <w:shd w:val="clear" w:color="auto" w:fill="FEF2CC"/>
            <w:vAlign w:val="center"/>
          </w:tcPr>
          <w:p w14:paraId="3541BEB3">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r>
      <w:tr w14:paraId="73CE26FB">
        <w:tblPrEx>
          <w:tblCellMar>
            <w:top w:w="0" w:type="dxa"/>
            <w:left w:w="108" w:type="dxa"/>
            <w:bottom w:w="0" w:type="dxa"/>
            <w:right w:w="108" w:type="dxa"/>
          </w:tblCellMar>
        </w:tblPrEx>
        <w:trPr>
          <w:trHeight w:val="600" w:hRule="atLeast"/>
          <w:jc w:val="center"/>
        </w:trPr>
        <w:tc>
          <w:tcPr>
            <w:tcW w:w="993" w:type="dxa"/>
            <w:vMerge w:val="restart"/>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668B073B">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环境污染事故</w:t>
            </w:r>
          </w:p>
        </w:tc>
        <w:tc>
          <w:tcPr>
            <w:tcW w:w="993"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0DDA638F">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责任</w:t>
            </w:r>
          </w:p>
        </w:tc>
        <w:tc>
          <w:tcPr>
            <w:tcW w:w="1858"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11342242">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525"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4638AAC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2656" w:type="dxa"/>
            <w:gridSpan w:val="2"/>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0DDCFD4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p>
        </w:tc>
        <w:tc>
          <w:tcPr>
            <w:tcW w:w="2656" w:type="dxa"/>
            <w:gridSpan w:val="2"/>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5E69E62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eastAsia" w:ascii="Times New Roman" w:hAnsi="Times New Roman" w:eastAsia="宋体" w:cs="Times New Roman"/>
                <w:color w:val="000000"/>
                <w:sz w:val="18"/>
                <w:szCs w:val="18"/>
                <w:lang w:eastAsia="zh-CN"/>
              </w:rPr>
              <w:t>1500-2000</w:t>
            </w:r>
          </w:p>
        </w:tc>
      </w:tr>
      <w:tr w14:paraId="6D8B426D">
        <w:tblPrEx>
          <w:tblCellMar>
            <w:top w:w="0" w:type="dxa"/>
            <w:left w:w="108" w:type="dxa"/>
            <w:bottom w:w="0" w:type="dxa"/>
            <w:right w:w="108" w:type="dxa"/>
          </w:tblCellMar>
        </w:tblPrEx>
        <w:trPr>
          <w:trHeight w:val="600" w:hRule="atLeast"/>
          <w:jc w:val="center"/>
        </w:trPr>
        <w:tc>
          <w:tcPr>
            <w:tcW w:w="993" w:type="dxa"/>
            <w:vMerge w:val="continue"/>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23A8637F">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p>
        </w:tc>
        <w:tc>
          <w:tcPr>
            <w:tcW w:w="993"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0E81E1DA">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非责任</w:t>
            </w:r>
          </w:p>
        </w:tc>
        <w:tc>
          <w:tcPr>
            <w:tcW w:w="1858"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3550C8F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eastAsia" w:ascii="Times New Roman" w:hAnsi="Times New Roman" w:eastAsia="宋体" w:cs="Times New Roman"/>
                <w:color w:val="000000"/>
                <w:sz w:val="18"/>
                <w:szCs w:val="18"/>
                <w:lang w:eastAsia="zh-CN"/>
              </w:rPr>
              <w:t>0</w:t>
            </w:r>
          </w:p>
        </w:tc>
        <w:tc>
          <w:tcPr>
            <w:tcW w:w="1525"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1530DCCF">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c>
          <w:tcPr>
            <w:tcW w:w="2656" w:type="dxa"/>
            <w:gridSpan w:val="2"/>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424CF803">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c>
          <w:tcPr>
            <w:tcW w:w="2656" w:type="dxa"/>
            <w:gridSpan w:val="2"/>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18474C3A">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r>
    </w:tbl>
    <w:p w14:paraId="3E981185">
      <w:pPr>
        <w:rPr>
          <w:rFonts w:hint="eastAsia" w:ascii="仿宋" w:hAnsi="仿宋" w:eastAsia="仿宋" w:cs="仿宋"/>
          <w:lang w:eastAsia="zh-CN"/>
        </w:rPr>
      </w:pPr>
    </w:p>
    <w:p w14:paraId="729219AF">
      <w:pPr>
        <w:pStyle w:val="9"/>
        <w:numPr>
          <w:ilvl w:val="1"/>
          <w:numId w:val="2"/>
        </w:numPr>
        <w:spacing w:line="360" w:lineRule="auto"/>
        <w:ind w:left="7" w:hanging="7"/>
        <w:rPr>
          <w:rFonts w:hint="eastAsia" w:ascii="仿宋" w:hAnsi="仿宋" w:eastAsia="仿宋" w:cs="仿宋"/>
          <w:b/>
          <w:bCs/>
          <w:lang w:eastAsia="zh-CN"/>
        </w:rPr>
      </w:pPr>
      <w:r>
        <w:rPr>
          <w:rFonts w:hint="eastAsia" w:ascii="仿宋" w:hAnsi="仿宋" w:eastAsia="仿宋" w:cs="仿宋"/>
          <w:b/>
          <w:bCs/>
          <w:lang w:eastAsia="zh-CN"/>
        </w:rPr>
        <w:t>安全事故处罚</w:t>
      </w:r>
    </w:p>
    <w:p w14:paraId="36AFC94D">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val="en-US" w:eastAsia="zh-CN"/>
        </w:rPr>
        <w:t>发生生产安全事故，直线负责人</w:t>
      </w:r>
      <w:r>
        <w:rPr>
          <w:rFonts w:hint="eastAsia" w:ascii="仿宋" w:hAnsi="仿宋" w:eastAsia="仿宋" w:cs="仿宋"/>
          <w:lang w:eastAsia="zh-CN"/>
        </w:rPr>
        <w:t>予以</w:t>
      </w:r>
      <w:r>
        <w:rPr>
          <w:rFonts w:hint="eastAsia" w:ascii="仿宋" w:hAnsi="仿宋" w:eastAsia="仿宋" w:cs="仿宋"/>
          <w:lang w:val="en-US" w:eastAsia="zh-CN"/>
        </w:rPr>
        <w:t>调</w:t>
      </w:r>
      <w:r>
        <w:rPr>
          <w:rFonts w:hint="eastAsia" w:ascii="仿宋" w:hAnsi="仿宋" w:eastAsia="仿宋" w:cs="仿宋"/>
          <w:lang w:eastAsia="zh-CN"/>
        </w:rPr>
        <w:t>薪、降职、调岗、</w:t>
      </w:r>
      <w:r>
        <w:rPr>
          <w:rFonts w:hint="eastAsia" w:ascii="仿宋" w:hAnsi="仿宋" w:eastAsia="仿宋" w:cs="仿宋"/>
          <w:lang w:val="en-US" w:eastAsia="zh-CN"/>
        </w:rPr>
        <w:t>停岗或辞退。</w:t>
      </w:r>
      <w:bookmarkStart w:id="31" w:name="_GoBack"/>
      <w:bookmarkEnd w:id="31"/>
    </w:p>
    <w:p w14:paraId="20773017">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直接经济损失5000元(含)以上的，</w:t>
      </w:r>
      <w:r>
        <w:rPr>
          <w:rFonts w:hint="eastAsia" w:ascii="仿宋" w:hAnsi="仿宋" w:eastAsia="仿宋" w:cs="仿宋"/>
          <w:lang w:val="en-US" w:eastAsia="zh-CN"/>
        </w:rPr>
        <w:t>除根据“事故登记考核标准”考核</w:t>
      </w:r>
      <w:r>
        <w:rPr>
          <w:rFonts w:hint="eastAsia" w:ascii="仿宋" w:hAnsi="仿宋" w:eastAsia="仿宋" w:cs="仿宋"/>
          <w:lang w:eastAsia="zh-CN"/>
        </w:rPr>
        <w:t>，视情节严重予以</w:t>
      </w:r>
      <w:r>
        <w:rPr>
          <w:rFonts w:hint="eastAsia" w:ascii="仿宋" w:hAnsi="仿宋" w:eastAsia="仿宋" w:cs="仿宋"/>
          <w:lang w:val="en-US" w:eastAsia="zh-CN"/>
        </w:rPr>
        <w:t>调</w:t>
      </w:r>
      <w:r>
        <w:rPr>
          <w:rFonts w:hint="eastAsia" w:ascii="仿宋" w:hAnsi="仿宋" w:eastAsia="仿宋" w:cs="仿宋"/>
          <w:lang w:eastAsia="zh-CN"/>
        </w:rPr>
        <w:t>薪、降职、调岗、</w:t>
      </w:r>
      <w:r>
        <w:rPr>
          <w:rFonts w:hint="eastAsia" w:ascii="仿宋" w:hAnsi="仿宋" w:eastAsia="仿宋" w:cs="仿宋"/>
          <w:lang w:val="en-US" w:eastAsia="zh-CN"/>
        </w:rPr>
        <w:t>停岗</w:t>
      </w:r>
      <w:r>
        <w:rPr>
          <w:rFonts w:hint="eastAsia" w:ascii="仿宋" w:hAnsi="仿宋" w:eastAsia="仿宋" w:cs="仿宋"/>
          <w:lang w:eastAsia="zh-CN"/>
        </w:rPr>
        <w:t>或按严重违纪直接辞退。</w:t>
      </w:r>
    </w:p>
    <w:p w14:paraId="37CEB520">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直接经济损失2000元(含)以上-5000元以下的，根据公司规定进行处罚，视情节严重予以</w:t>
      </w:r>
      <w:r>
        <w:rPr>
          <w:rFonts w:hint="eastAsia" w:ascii="仿宋" w:hAnsi="仿宋" w:eastAsia="仿宋" w:cs="仿宋"/>
          <w:lang w:val="en-US" w:eastAsia="zh-CN"/>
        </w:rPr>
        <w:t>调薪、</w:t>
      </w:r>
      <w:r>
        <w:rPr>
          <w:rFonts w:hint="eastAsia" w:ascii="仿宋" w:hAnsi="仿宋" w:eastAsia="仿宋" w:cs="仿宋"/>
          <w:lang w:eastAsia="zh-CN"/>
        </w:rPr>
        <w:t>降职、调岗</w:t>
      </w:r>
      <w:r>
        <w:rPr>
          <w:rFonts w:hint="eastAsia" w:ascii="仿宋" w:hAnsi="仿宋" w:eastAsia="仿宋" w:cs="仿宋"/>
          <w:lang w:val="en-US" w:eastAsia="zh-CN"/>
        </w:rPr>
        <w:t>或停岗</w:t>
      </w:r>
      <w:r>
        <w:rPr>
          <w:rFonts w:hint="eastAsia" w:ascii="仿宋" w:hAnsi="仿宋" w:eastAsia="仿宋" w:cs="仿宋"/>
          <w:lang w:eastAsia="zh-CN"/>
        </w:rPr>
        <w:t>。</w:t>
      </w:r>
    </w:p>
    <w:p w14:paraId="465AA0EA">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直接经济损失2000元以下的，由事故当事人自行处理。</w:t>
      </w:r>
    </w:p>
    <w:p w14:paraId="1E14EE46">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发生交通事故者，除保险公司理赔后，事故损失金额的剩余部分由责任驾驶员按比例进行承担(承担比例为:负全部责任承担80%，负主要责任承担</w:t>
      </w:r>
      <w:r>
        <w:rPr>
          <w:rFonts w:hint="eastAsia" w:ascii="仿宋" w:hAnsi="仿宋" w:eastAsia="仿宋" w:cs="仿宋"/>
          <w:lang w:val="en-US" w:eastAsia="zh-CN"/>
        </w:rPr>
        <w:t>60</w:t>
      </w:r>
      <w:r>
        <w:rPr>
          <w:rFonts w:hint="eastAsia" w:ascii="仿宋" w:hAnsi="仿宋" w:eastAsia="仿宋" w:cs="仿宋"/>
          <w:lang w:eastAsia="zh-CN"/>
        </w:rPr>
        <w:t xml:space="preserve">%，负同等责任承担 </w:t>
      </w:r>
      <w:r>
        <w:rPr>
          <w:rFonts w:hint="eastAsia" w:ascii="仿宋" w:hAnsi="仿宋" w:eastAsia="仿宋" w:cs="仿宋"/>
          <w:lang w:val="en-US" w:eastAsia="zh-CN"/>
        </w:rPr>
        <w:t>40</w:t>
      </w:r>
      <w:r>
        <w:rPr>
          <w:rFonts w:hint="eastAsia" w:ascii="仿宋" w:hAnsi="仿宋" w:eastAsia="仿宋" w:cs="仿宋"/>
          <w:lang w:eastAsia="zh-CN"/>
        </w:rPr>
        <w:t xml:space="preserve">%，负次要责任承担 </w:t>
      </w:r>
      <w:r>
        <w:rPr>
          <w:rFonts w:hint="eastAsia" w:ascii="仿宋" w:hAnsi="仿宋" w:eastAsia="仿宋" w:cs="仿宋"/>
          <w:lang w:val="en-US" w:eastAsia="zh-CN"/>
        </w:rPr>
        <w:t>20</w:t>
      </w:r>
      <w:r>
        <w:rPr>
          <w:rFonts w:hint="eastAsia" w:ascii="仿宋" w:hAnsi="仿宋" w:eastAsia="仿宋" w:cs="仿宋"/>
          <w:lang w:eastAsia="zh-CN"/>
        </w:rPr>
        <w:t>%，无责任不需承担)。</w:t>
      </w:r>
    </w:p>
    <w:p w14:paraId="6D2AEDA1">
      <w:pPr>
        <w:pStyle w:val="9"/>
        <w:numPr>
          <w:ilvl w:val="2"/>
          <w:numId w:val="2"/>
        </w:numPr>
        <w:spacing w:line="360" w:lineRule="auto"/>
        <w:ind w:left="0" w:firstLine="0"/>
        <w:rPr>
          <w:rFonts w:ascii="仿宋" w:hAnsi="仿宋" w:eastAsia="仿宋" w:cs="仿宋"/>
          <w:lang w:eastAsia="zh-CN"/>
        </w:rPr>
      </w:pPr>
      <w:r>
        <w:rPr>
          <w:rFonts w:hint="eastAsia" w:ascii="仿宋" w:hAnsi="仿宋" w:eastAsia="仿宋" w:cs="仿宋"/>
          <w:lang w:eastAsia="zh-CN"/>
        </w:rPr>
        <w:t>员工在上下班途中给第三者造成伤害或带来经济损失的，一切损失及法律责任由当事人自行承担。</w:t>
      </w:r>
    </w:p>
    <w:p w14:paraId="335B138F">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在发生事故</w:t>
      </w:r>
      <w:r>
        <w:rPr>
          <w:rFonts w:hint="eastAsia" w:ascii="仿宋" w:hAnsi="仿宋" w:eastAsia="仿宋" w:cs="仿宋"/>
          <w:lang w:val="en-US" w:eastAsia="zh-CN"/>
        </w:rPr>
        <w:t>并</w:t>
      </w:r>
      <w:r>
        <w:rPr>
          <w:rFonts w:hint="eastAsia" w:ascii="仿宋" w:hAnsi="仿宋" w:eastAsia="仿宋" w:cs="仿宋"/>
          <w:lang w:eastAsia="zh-CN"/>
        </w:rPr>
        <w:t>落实改进措施执行后3个月内仍然发生生产安全事故的，对各单位相关人员处以双倍的罚款；1个月内仍然发生次责（含）以上交通事故的，对各单位相关人员处以双倍的罚款。</w:t>
      </w:r>
    </w:p>
    <w:p w14:paraId="3252E0B6">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事故负有刑事责任者，移交司法机关处理。</w:t>
      </w:r>
    </w:p>
    <w:p w14:paraId="707BEDC9">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格执行事故报告制度，无论出现任何事故必须第一时间(30分钟内)逐级汇报。24小时内未按流程上报的，公司不再受理，由事故部门或责任人自行处理，并给予相关责任人罚款100-200元；导致事态扩大的给予责任部门负责人罚款300-500元。如一年内出现两次该情况，调岗或辞退处理。</w:t>
      </w:r>
    </w:p>
    <w:p w14:paraId="6DDACBCA">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凡是发生事故，必须第一时间汇报至安环品质部，无论事故大小，都必须严格遵守“四不放过”原则，发生事故后各部门要及时对事故进行调查分析，并提出切实可行的防范措施，并在事故发生后1天内将事故快报填写完毕报至安环品质部。</w:t>
      </w:r>
    </w:p>
    <w:p w14:paraId="1DFE203F">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有下列情况之一的，将对相关人员予以50元以上2000元以下的处罚，</w:t>
      </w:r>
      <w:r>
        <w:rPr>
          <w:rFonts w:hint="eastAsia" w:ascii="仿宋" w:hAnsi="仿宋" w:eastAsia="仿宋" w:cs="仿宋"/>
          <w:lang w:val="en-US" w:eastAsia="zh-CN"/>
        </w:rPr>
        <w:t>性质恶劣的降薪、降职、调岗或劝退</w:t>
      </w:r>
      <w:r>
        <w:rPr>
          <w:rFonts w:hint="eastAsia" w:ascii="仿宋" w:hAnsi="仿宋" w:eastAsia="仿宋" w:cs="仿宋"/>
          <w:lang w:eastAsia="zh-CN"/>
        </w:rPr>
        <w:t>：</w:t>
      </w:r>
    </w:p>
    <w:p w14:paraId="53E15FA7">
      <w:pPr>
        <w:pStyle w:val="9"/>
        <w:numPr>
          <w:ilvl w:val="3"/>
          <w:numId w:val="2"/>
        </w:numPr>
        <w:spacing w:line="360" w:lineRule="auto"/>
        <w:rPr>
          <w:rFonts w:hint="eastAsia" w:ascii="仿宋" w:hAnsi="仿宋" w:eastAsia="仿宋" w:cs="仿宋"/>
          <w:lang w:eastAsia="zh-CN"/>
        </w:rPr>
      </w:pPr>
      <w:r>
        <w:rPr>
          <w:rFonts w:hint="eastAsia" w:ascii="仿宋" w:hAnsi="仿宋" w:eastAsia="仿宋" w:cs="仿宋"/>
          <w:lang w:eastAsia="zh-CN"/>
        </w:rPr>
        <w:t>对发生的事故，隐瞒不报，虚报或故意拖延报告的；</w:t>
      </w:r>
      <w:r>
        <w:rPr>
          <w:rFonts w:hint="eastAsia" w:ascii="仿宋" w:hAnsi="仿宋" w:eastAsia="仿宋" w:cs="仿宋"/>
          <w:lang w:val="en-US" w:eastAsia="zh-CN"/>
        </w:rPr>
        <w:t>导致事故后果扩大的；</w:t>
      </w:r>
    </w:p>
    <w:p w14:paraId="7BBBA0A3">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在事故调查中，隐瞒事故真相，弄虚作假或嫁祸于人的；</w:t>
      </w:r>
    </w:p>
    <w:p w14:paraId="0FD5131A">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事故发生后，因不负责任，不积极组织抢救或抢救不力，造成更大事故的；</w:t>
      </w:r>
    </w:p>
    <w:p w14:paraId="69B49463">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事故发生后，所在部门管理人员和作业人员未认真吸取教训，采取防范措施，致使同类事故重复发生的；</w:t>
      </w:r>
    </w:p>
    <w:p w14:paraId="7EA9C69C">
      <w:pPr>
        <w:pStyle w:val="9"/>
        <w:numPr>
          <w:ilvl w:val="3"/>
          <w:numId w:val="2"/>
        </w:numPr>
        <w:spacing w:line="360" w:lineRule="auto"/>
        <w:ind w:left="0" w:firstLine="0"/>
        <w:rPr>
          <w:rFonts w:ascii="仿宋" w:hAnsi="仿宋" w:eastAsia="仿宋" w:cs="仿宋"/>
          <w:lang w:eastAsia="zh-CN"/>
        </w:rPr>
      </w:pPr>
      <w:r>
        <w:rPr>
          <w:rFonts w:hint="eastAsia" w:ascii="仿宋" w:hAnsi="仿宋" w:eastAsia="仿宋" w:cs="仿宋"/>
          <w:lang w:eastAsia="zh-CN"/>
        </w:rPr>
        <w:t>滥用职权，擅自处理或袒护包庇事故责任者的。</w:t>
      </w:r>
    </w:p>
    <w:p w14:paraId="32F7957C">
      <w:pPr>
        <w:pStyle w:val="7"/>
        <w:numPr>
          <w:ilvl w:val="0"/>
          <w:numId w:val="2"/>
        </w:numPr>
        <w:outlineLvl w:val="0"/>
        <w:rPr>
          <w:rFonts w:hint="eastAsia" w:ascii="仿宋" w:hAnsi="仿宋" w:eastAsia="仿宋" w:cs="仿宋"/>
          <w:sz w:val="28"/>
          <w:szCs w:val="28"/>
          <w:lang w:eastAsia="zh-CN"/>
        </w:rPr>
      </w:pPr>
      <w:bookmarkStart w:id="16" w:name="_Toc13917"/>
      <w:r>
        <w:rPr>
          <w:rFonts w:hint="eastAsia" w:ascii="仿宋" w:hAnsi="仿宋" w:eastAsia="仿宋" w:cs="仿宋"/>
          <w:sz w:val="28"/>
          <w:szCs w:val="28"/>
          <w:lang w:eastAsia="zh-CN"/>
        </w:rPr>
        <w:t>安全管理处罚</w:t>
      </w:r>
      <w:bookmarkEnd w:id="16"/>
    </w:p>
    <w:p w14:paraId="3346208B">
      <w:pPr>
        <w:spacing w:line="360" w:lineRule="auto"/>
        <w:ind w:firstLine="439" w:firstLineChars="183"/>
        <w:rPr>
          <w:rFonts w:hint="eastAsia" w:ascii="仿宋" w:hAnsi="仿宋" w:eastAsia="仿宋" w:cs="仿宋"/>
          <w:sz w:val="24"/>
          <w:szCs w:val="24"/>
          <w:lang w:eastAsia="zh-CN"/>
        </w:rPr>
      </w:pPr>
      <w:r>
        <w:rPr>
          <w:rFonts w:hint="eastAsia" w:ascii="仿宋" w:hAnsi="仿宋" w:eastAsia="仿宋" w:cs="仿宋"/>
          <w:sz w:val="24"/>
          <w:szCs w:val="24"/>
          <w:lang w:eastAsia="zh-CN"/>
        </w:rPr>
        <w:t>各单位各级负责人在安全管理工作中有下列行为之一的，视情节轻重予以</w:t>
      </w:r>
      <w:r>
        <w:rPr>
          <w:rFonts w:hint="eastAsia" w:ascii="仿宋" w:hAnsi="仿宋" w:eastAsia="仿宋" w:cs="仿宋"/>
          <w:sz w:val="24"/>
          <w:szCs w:val="24"/>
          <w:lang w:val="en-US" w:eastAsia="zh-CN"/>
        </w:rPr>
        <w:t>10</w:t>
      </w:r>
      <w:r>
        <w:rPr>
          <w:rFonts w:hint="eastAsia" w:ascii="仿宋" w:hAnsi="仿宋" w:eastAsia="仿宋" w:cs="仿宋"/>
          <w:sz w:val="24"/>
          <w:szCs w:val="24"/>
          <w:lang w:eastAsia="zh-CN"/>
        </w:rPr>
        <w:t>元以上2000元以下的处罚，并对其通报批评，情节严重的，予以降职、降薪、劝退。</w:t>
      </w:r>
    </w:p>
    <w:p w14:paraId="7C34FF00">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未贯彻落实安全生产责任制。各单位各级人员对安全管理职责不清，责任不明，未层层签订目标责任书或责任书签订未全员覆盖的，对各单位相关负责（责任）人予以处罚。</w:t>
      </w:r>
    </w:p>
    <w:p w14:paraId="34A194EF">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安全隐患整改不力，未能及时有效消除隐患。</w:t>
      </w:r>
    </w:p>
    <w:p w14:paraId="3FBE7053">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对下发的隐患整改通知未按期完成的，对整改负责人予以处罚；</w:t>
      </w:r>
    </w:p>
    <w:p w14:paraId="2C8C9E17">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有合理原因而不能如期整改，但未限时反馈的，视同未按期完成；拒不执行的，加倍处罚。</w:t>
      </w:r>
    </w:p>
    <w:p w14:paraId="0AF589DF">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因整改不及时导致发生事故的，根据事故严重程度予以处罚，并对整改不力或拒不执行予以额外处罚。</w:t>
      </w:r>
    </w:p>
    <w:p w14:paraId="6B2865EF">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未按照公司或主管部门要求有计划地开展安全生产检查，对现场出现的重大安全隐患未及时发现、消除的，对各单位相关负责（责任）人予以处罚。</w:t>
      </w:r>
    </w:p>
    <w:p w14:paraId="15C7DB02">
      <w:pPr>
        <w:pStyle w:val="9"/>
        <w:numPr>
          <w:ilvl w:val="1"/>
          <w:numId w:val="2"/>
        </w:numPr>
        <w:spacing w:line="360" w:lineRule="auto"/>
        <w:ind w:left="0" w:firstLine="0"/>
        <w:rPr>
          <w:rFonts w:hint="eastAsia" w:ascii="仿宋" w:hAnsi="仿宋" w:eastAsia="仿宋" w:cs="仿宋"/>
          <w:strike/>
          <w:dstrike w:val="0"/>
          <w:lang w:eastAsia="zh-CN"/>
        </w:rPr>
      </w:pPr>
      <w:r>
        <w:rPr>
          <w:rFonts w:hint="eastAsia" w:ascii="仿宋" w:hAnsi="仿宋" w:eastAsia="仿宋" w:cs="仿宋"/>
          <w:strike/>
          <w:dstrike w:val="0"/>
          <w:lang w:eastAsia="zh-CN"/>
        </w:rPr>
        <w:t>管理人员违反公司安全生产规章制度，发现违章作业不予制止、改正，或强令冒险作业、强令带病继续作业、违章指挥、违反劳动纪律的，对各单位相关负责（责任）予以处罚。强令冒险作业、强令带病作业视情节轻重予以降职、降薪或劝退；造成事故的，承担事故责任。</w:t>
      </w:r>
    </w:p>
    <w:p w14:paraId="581F2210">
      <w:pPr>
        <w:pStyle w:val="9"/>
        <w:numPr>
          <w:ilvl w:val="1"/>
          <w:numId w:val="2"/>
        </w:numPr>
        <w:spacing w:line="360" w:lineRule="auto"/>
        <w:ind w:left="0" w:firstLine="0"/>
        <w:rPr>
          <w:rFonts w:hint="eastAsia" w:ascii="仿宋" w:hAnsi="仿宋" w:eastAsia="仿宋" w:cs="仿宋"/>
          <w:strike/>
          <w:dstrike w:val="0"/>
          <w:lang w:eastAsia="zh-CN"/>
        </w:rPr>
      </w:pPr>
      <w:r>
        <w:rPr>
          <w:rFonts w:hint="eastAsia" w:ascii="仿宋" w:hAnsi="仿宋" w:eastAsia="仿宋" w:cs="仿宋"/>
          <w:strike/>
          <w:dstrike w:val="0"/>
          <w:lang w:eastAsia="zh-CN"/>
        </w:rPr>
        <w:t>从事高空作业、有限空间作业、动火作业或其他危险作业的，必须申请、审批通过后按照操作规程、规章制度规范开展作业。</w:t>
      </w:r>
    </w:p>
    <w:p w14:paraId="6211D977">
      <w:pPr>
        <w:pStyle w:val="9"/>
        <w:numPr>
          <w:ilvl w:val="2"/>
          <w:numId w:val="2"/>
        </w:numPr>
        <w:spacing w:line="360" w:lineRule="auto"/>
        <w:ind w:left="0" w:firstLine="0"/>
        <w:rPr>
          <w:rFonts w:hint="eastAsia" w:ascii="仿宋" w:hAnsi="仿宋" w:eastAsia="仿宋" w:cs="仿宋"/>
          <w:strike/>
          <w:dstrike w:val="0"/>
          <w:lang w:eastAsia="zh-CN"/>
        </w:rPr>
      </w:pPr>
      <w:r>
        <w:rPr>
          <w:rFonts w:hint="eastAsia" w:ascii="仿宋" w:hAnsi="仿宋" w:eastAsia="仿宋" w:cs="仿宋"/>
          <w:strike/>
          <w:dstrike w:val="0"/>
          <w:lang w:eastAsia="zh-CN"/>
        </w:rPr>
        <w:t>作业前做好设备设施、通讯器材、作业工具、劳保用品、消防设施等必要物资的检查，合理设置警示、指示标识，做好安全风险辨识与作业前安全培训工作。</w:t>
      </w:r>
    </w:p>
    <w:p w14:paraId="61A60472">
      <w:pPr>
        <w:pStyle w:val="9"/>
        <w:numPr>
          <w:ilvl w:val="2"/>
          <w:numId w:val="2"/>
        </w:numPr>
        <w:spacing w:line="360" w:lineRule="auto"/>
        <w:ind w:left="0" w:firstLine="0"/>
        <w:rPr>
          <w:rFonts w:hint="eastAsia" w:ascii="仿宋" w:hAnsi="仿宋" w:eastAsia="仿宋" w:cs="仿宋"/>
          <w:strike/>
          <w:dstrike w:val="0"/>
          <w:lang w:eastAsia="zh-CN"/>
        </w:rPr>
      </w:pPr>
      <w:r>
        <w:rPr>
          <w:rFonts w:hint="eastAsia" w:ascii="仿宋" w:hAnsi="仿宋" w:eastAsia="仿宋" w:cs="仿宋"/>
          <w:strike/>
          <w:dstrike w:val="0"/>
          <w:lang w:eastAsia="zh-CN"/>
        </w:rPr>
        <w:t>有相关方（第三方）作业的，必须有安全交底。</w:t>
      </w:r>
    </w:p>
    <w:p w14:paraId="350C8B47">
      <w:pPr>
        <w:pStyle w:val="9"/>
        <w:numPr>
          <w:ilvl w:val="2"/>
          <w:numId w:val="2"/>
        </w:numPr>
        <w:spacing w:line="360" w:lineRule="auto"/>
        <w:ind w:left="0" w:firstLine="0"/>
        <w:rPr>
          <w:rFonts w:hint="eastAsia" w:ascii="仿宋" w:hAnsi="仿宋" w:eastAsia="仿宋" w:cs="仿宋"/>
          <w:strike/>
          <w:dstrike w:val="0"/>
          <w:lang w:eastAsia="zh-CN"/>
        </w:rPr>
      </w:pPr>
      <w:r>
        <w:rPr>
          <w:rFonts w:hint="eastAsia" w:ascii="仿宋" w:hAnsi="仿宋" w:eastAsia="仿宋" w:cs="仿宋"/>
          <w:strike/>
          <w:dstrike w:val="0"/>
          <w:lang w:eastAsia="zh-CN"/>
        </w:rPr>
        <w:t>未经审批擅自作业的，对各单位负责（责任）人予以处罚；</w:t>
      </w:r>
    </w:p>
    <w:p w14:paraId="3BE68737">
      <w:pPr>
        <w:pStyle w:val="9"/>
        <w:numPr>
          <w:ilvl w:val="2"/>
          <w:numId w:val="2"/>
        </w:numPr>
        <w:spacing w:line="360" w:lineRule="auto"/>
        <w:ind w:left="0" w:firstLine="0"/>
        <w:rPr>
          <w:rFonts w:hint="eastAsia" w:ascii="仿宋" w:hAnsi="仿宋" w:eastAsia="仿宋" w:cs="仿宋"/>
          <w:strike/>
          <w:dstrike w:val="0"/>
          <w:lang w:eastAsia="zh-CN"/>
        </w:rPr>
      </w:pPr>
      <w:r>
        <w:rPr>
          <w:rFonts w:hint="eastAsia" w:ascii="仿宋" w:hAnsi="仿宋" w:eastAsia="仿宋" w:cs="仿宋"/>
          <w:strike/>
          <w:dstrike w:val="0"/>
          <w:lang w:eastAsia="zh-CN"/>
        </w:rPr>
        <w:t>审批后未按要求安全作业的，对相关负责（责任）人予以处罚；</w:t>
      </w:r>
    </w:p>
    <w:p w14:paraId="57F4D96C">
      <w:pPr>
        <w:pStyle w:val="9"/>
        <w:numPr>
          <w:ilvl w:val="2"/>
          <w:numId w:val="2"/>
        </w:numPr>
        <w:spacing w:line="360" w:lineRule="auto"/>
        <w:ind w:left="0" w:firstLine="0"/>
        <w:rPr>
          <w:rFonts w:hint="eastAsia" w:ascii="仿宋" w:hAnsi="仿宋" w:eastAsia="仿宋" w:cs="仿宋"/>
          <w:strike/>
          <w:dstrike w:val="0"/>
          <w:lang w:eastAsia="zh-CN"/>
        </w:rPr>
      </w:pPr>
      <w:r>
        <w:rPr>
          <w:rFonts w:hint="eastAsia" w:ascii="仿宋" w:hAnsi="仿宋" w:eastAsia="仿宋" w:cs="仿宋"/>
          <w:strike/>
          <w:dstrike w:val="0"/>
          <w:lang w:eastAsia="zh-CN"/>
        </w:rPr>
        <w:t>造成严重后果的，处罚加倍；</w:t>
      </w:r>
    </w:p>
    <w:p w14:paraId="38EDA23F">
      <w:pPr>
        <w:pStyle w:val="9"/>
        <w:numPr>
          <w:ilvl w:val="2"/>
          <w:numId w:val="2"/>
        </w:numPr>
        <w:spacing w:line="360" w:lineRule="auto"/>
        <w:ind w:left="0" w:firstLine="0"/>
        <w:rPr>
          <w:rFonts w:hint="eastAsia" w:ascii="仿宋" w:hAnsi="仿宋" w:eastAsia="仿宋" w:cs="仿宋"/>
          <w:strike/>
          <w:dstrike w:val="0"/>
          <w:lang w:eastAsia="zh-CN"/>
        </w:rPr>
      </w:pPr>
      <w:r>
        <w:rPr>
          <w:rFonts w:hint="eastAsia" w:ascii="仿宋" w:hAnsi="仿宋" w:eastAsia="仿宋" w:cs="仿宋"/>
          <w:strike/>
          <w:dstrike w:val="0"/>
          <w:lang w:eastAsia="zh-CN"/>
        </w:rPr>
        <w:t>造成安全事故的，根据事故严重程度予以处罚。同时与未经审批，擅自作业、未按要求作业、造成严重后果合并处罚。</w:t>
      </w:r>
    </w:p>
    <w:p w14:paraId="41BDF540">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未按要求填写安全相关台账记录的，或记录不能及时、真实、有效的反映安全生产状况的，对各单位相关责任人予以处罚。</w:t>
      </w:r>
    </w:p>
    <w:p w14:paraId="7CC60747">
      <w:pPr>
        <w:pStyle w:val="9"/>
        <w:numPr>
          <w:ilvl w:val="1"/>
          <w:numId w:val="2"/>
        </w:numPr>
        <w:spacing w:line="360" w:lineRule="auto"/>
        <w:ind w:left="0" w:firstLine="0"/>
        <w:rPr>
          <w:rFonts w:hint="eastAsia" w:ascii="仿宋" w:hAnsi="仿宋" w:eastAsia="仿宋" w:cs="仿宋"/>
          <w:color w:val="FF0000"/>
          <w:lang w:eastAsia="zh-CN"/>
        </w:rPr>
      </w:pPr>
      <w:r>
        <w:rPr>
          <w:rFonts w:hint="eastAsia" w:ascii="仿宋" w:hAnsi="仿宋" w:eastAsia="仿宋" w:cs="仿宋"/>
          <w:lang w:eastAsia="zh-CN"/>
        </w:rPr>
        <w:t>各部门应当每月至少组织一次安全教育培训与安全专项会议，</w:t>
      </w:r>
      <w:r>
        <w:rPr>
          <w:rFonts w:hint="eastAsia" w:ascii="仿宋" w:hAnsi="仿宋" w:eastAsia="仿宋" w:cs="仿宋"/>
          <w:color w:val="FF0000"/>
          <w:lang w:eastAsia="zh-CN"/>
        </w:rPr>
        <w:t>各班组应当每周至少组织一次安全教育培训与安全专项会议。</w:t>
      </w:r>
    </w:p>
    <w:p w14:paraId="3A7FF77B">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培训与会议应当做到人员齐全、服装统一、时间充足、内容有效，并有详细记录台账。每缺一次对相关负责人予以处罚。</w:t>
      </w:r>
    </w:p>
    <w:p w14:paraId="17009956">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拒绝参加安全教育培训或无故缺席安全教育培训、安全会议的，对当事人予以处罚。</w:t>
      </w:r>
    </w:p>
    <w:p w14:paraId="0B21B4C4">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不能及时、真实、有效的组织本单位人员参与公司专项安全活动、安全培训教育、应急演练等；未能及时、真实的上报活动内容中提及的材料、报表。对各单位各级负责（责任）人予以处罚。</w:t>
      </w:r>
    </w:p>
    <w:p w14:paraId="4BF3702C">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培训后，对抽查考核不合格的班组重新组织培训。经安全员再次督促，再次逾期不处理、不改正的，对各单位相关负责（责任）人予以处罚。</w:t>
      </w:r>
    </w:p>
    <w:p w14:paraId="16F8EDE8">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严禁替代培训者签字按手印的行为，未按要求的，对相关负责（责任）人予以处罚。情节恶劣者，降职、降薪、调岗。因此行为导致公司受损者，劝退且追究法律责任。</w:t>
      </w:r>
    </w:p>
    <w:p w14:paraId="680AB0E5">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新员工上岗或转岗，须进行三级安全教育，按照相关制度的要求，安排上岗。</w:t>
      </w:r>
    </w:p>
    <w:p w14:paraId="17EE47D4">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三级教育未经培训或上述资料未经提交直接安排上岗，对各单位各级相关负责（责任）人予以处罚；</w:t>
      </w:r>
    </w:p>
    <w:p w14:paraId="525617FD">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责任部门如未及时组织三级安全教育，被政府主管部门检查无培训记录的，对各单位各级负责（责任）人予以处罚。</w:t>
      </w:r>
    </w:p>
    <w:p w14:paraId="7C150FC1">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在职员工需按照相关要求积极参加安全再教育并达到学时要求。</w:t>
      </w:r>
    </w:p>
    <w:p w14:paraId="1FF6AFCA">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新招聘驾驶员应根据《交通安全管理制度》中“5.1驾驶人员管理”规定，各相关部门需对其驾驶资质、健康检查、教育培训等进行审查、考核。</w:t>
      </w:r>
    </w:p>
    <w:p w14:paraId="1FF58B5D">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新员工和转岗员工未经安全培训发生安全事故的，根据事故严重程度予以处罚，与未经安全培训直接安排上岗合并处罚。</w:t>
      </w:r>
    </w:p>
    <w:p w14:paraId="1469F69B">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对不重视安全生产、管理混乱、现场脏乱差、违章作业频发、事故频发、台账不完善或缺失等现象较多的单位，对相关负责（责任）人予以处罚。</w:t>
      </w:r>
    </w:p>
    <w:p w14:paraId="05FC20DF">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严禁出现顶岗、替岗现象。一经发现，对各单位各级负责（责任）人予以处罚，同时替岗、顶岗人员在替岗、顶岗期间发生的任何事故，自行承担责任。</w:t>
      </w:r>
    </w:p>
    <w:p w14:paraId="2898CCB5">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严格执行事故报告制度，出现事故第一时间汇报（20分钟内电话报告，1小时内发送事故快报至安环部门），保留现场照片予以佐证。迟报、瞒报、谎报的，根据情节严重，与安全事故合并处罚。</w:t>
      </w:r>
    </w:p>
    <w:p w14:paraId="74FB4256">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严格执行病假请销相关规定，岗位上突发身体不适立即准假并联系其家人，及时就医。</w:t>
      </w:r>
    </w:p>
    <w:p w14:paraId="691D6C53">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销假返岗时相关部门需确认其身体状况或相关诊断资料，确认其身体健康状况可以上岗后准许上岗作业。</w:t>
      </w:r>
    </w:p>
    <w:p w14:paraId="158C6C0B">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请销假需至少间隔24小时后准许上岗。</w:t>
      </w:r>
    </w:p>
    <w:p w14:paraId="2BAC9187">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未按要求执行的，予以处罚。造成事故的，按照事故严重程度，与本规定合并处罚，并降职、降薪或劝退。</w:t>
      </w:r>
    </w:p>
    <w:p w14:paraId="1639DAAA">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重大节日、恶劣天气、特殊任务、突发事件、应急演练、其他活动等开展前应首先布置安全工作。强调安全注意事项，明确任务分配、辨识安全风险、检查作业设备、车辆、劳保用品、培训紧急情况处置办法，防止发生安全事故。未按要求执行，予以处罚。造成事故的，按照事故严重程度，与本规定合并处罚。</w:t>
      </w:r>
    </w:p>
    <w:p w14:paraId="4B078AC4">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各单位消防设施应加强点检巡查，确保正常有效并有每月检查记录。</w:t>
      </w:r>
    </w:p>
    <w:p w14:paraId="5EA37730">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责任到人、卫生达标、按时检查、不随意挪动。</w:t>
      </w:r>
    </w:p>
    <w:p w14:paraId="5DB86379">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各单位内消防设施管理混乱、未按要求进行检查、清扫、随意挪动的，对相关责任人进行处罚。</w:t>
      </w:r>
    </w:p>
    <w:p w14:paraId="3DE27318">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发生火灾事故，因消防设施故障、缺失导致灾情扩大，延误救援时机的，按照严重程度进行额外处罚。</w:t>
      </w:r>
    </w:p>
    <w:p w14:paraId="4814551A">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事故调查过程中个人、部门阻挠或拒绝接受调查的，对相关个人或各单位负责（责任）人予以处罚。</w:t>
      </w:r>
    </w:p>
    <w:p w14:paraId="059F5E58">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本制度未提及的安全管理问题，需要进行处罚的，上报公司安委会决定。</w:t>
      </w:r>
    </w:p>
    <w:p w14:paraId="694E0748">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多次违反同类问题的，视情况予以加倍处罚。</w:t>
      </w:r>
    </w:p>
    <w:p w14:paraId="298C6975">
      <w:pPr>
        <w:pStyle w:val="7"/>
        <w:numPr>
          <w:ilvl w:val="0"/>
          <w:numId w:val="2"/>
        </w:numPr>
        <w:outlineLvl w:val="0"/>
        <w:rPr>
          <w:rFonts w:hint="eastAsia" w:ascii="仿宋" w:hAnsi="仿宋" w:eastAsia="仿宋" w:cs="仿宋"/>
          <w:sz w:val="28"/>
          <w:szCs w:val="28"/>
          <w:lang w:eastAsia="zh-CN"/>
        </w:rPr>
      </w:pPr>
      <w:bookmarkStart w:id="17" w:name="_Toc7388"/>
      <w:r>
        <w:rPr>
          <w:rFonts w:hint="eastAsia" w:ascii="仿宋" w:hAnsi="仿宋" w:eastAsia="仿宋" w:cs="仿宋"/>
          <w:sz w:val="28"/>
          <w:szCs w:val="28"/>
          <w:lang w:eastAsia="zh-CN"/>
        </w:rPr>
        <w:t>员工违章处罚</w:t>
      </w:r>
      <w:bookmarkEnd w:id="17"/>
    </w:p>
    <w:p w14:paraId="1779246C">
      <w:pPr>
        <w:spacing w:line="360" w:lineRule="auto"/>
        <w:ind w:firstLine="480" w:firstLineChars="200"/>
        <w:rPr>
          <w:rFonts w:hint="eastAsia" w:ascii="仿宋" w:hAnsi="仿宋" w:eastAsia="仿宋" w:cs="仿宋"/>
          <w:sz w:val="24"/>
          <w:szCs w:val="24"/>
          <w:lang w:eastAsia="zh-CN"/>
        </w:rPr>
      </w:pPr>
      <w:r>
        <w:rPr>
          <w:rFonts w:hint="eastAsia" w:ascii="仿宋" w:hAnsi="仿宋" w:eastAsia="仿宋" w:cs="仿宋"/>
          <w:sz w:val="24"/>
          <w:szCs w:val="24"/>
          <w:lang w:eastAsia="zh-CN"/>
        </w:rPr>
        <w:t>作业现场员工违反安全规章制度、岗位操作规程、奖惩制度或有其他危险行为可能造成现实后果的，视情节轻重应当进行以下处罚：①现场接受安全教育并立即改正错误。②通报批评。③视情节轻重处10元以上1000元以下罚款。</w:t>
      </w:r>
    </w:p>
    <w:p w14:paraId="03A87F0F">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在进行动火作业、有限空间作业、登高作业、坑塘作业、占道作业等危险作业时，操作人员在作业过程中必须严格执行各项安全操作规程，佩戴安全有效的劳动保护用品，做好危险作业安全管控措施，听从现场管理人员指挥，违者予以罚款并通报批评。</w:t>
      </w:r>
    </w:p>
    <w:p w14:paraId="51C5A8D6">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作业人员从事电焊、气焊（割）时必须佩戴防护眼镜、防护手套、电焊作业应当佩戴专用口罩，违者予以罚款。</w:t>
      </w:r>
    </w:p>
    <w:p w14:paraId="21451FE5">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作业人员在使用角磨机、切割机、电钻等高速转动工具时，应进行使用前安全检查。对电气线路是否破损，开关是否处在关闭状态，工具是否有损坏，保护装置、护罩是否齐全，钻头、批头、砂轮片、锯片、刷头等打孔、拆卸、切割、抛光、打磨配件是否有破损、裂纹、安装是否牢固等进行检查，作业过程中必须佩戴护目镜，清除金属碎屑时必须佩戴手套，违者予以罚款，造成事故的，按照事故严重程度，与本规定合并处罚。</w:t>
      </w:r>
    </w:p>
    <w:p w14:paraId="76A3B7B4">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作业人员在使用或移动气瓶时，应遵守以下规定：（1）使用前检查压力表、减压器是否正常，瓶身是否正常，胶管是否正常，安全附件、保护附件是否齐全。（2）气瓶瓶阀、瓶身严禁沾染油脂。（3）气瓶、胶管严禁靠近火源。（4）搬运气瓶严禁抛、滑、滚、碰；严禁肩抗扛、背驼、怀抱、臂挟、托举或二人抬运的方式移动气瓶。（5）近距离搬运气瓶时，凹形或圆形底座的气瓶可采用徒手倾斜滚动的方式搬运。（6）氧气胶管与乙炔胶管严禁混用。违者予以罚款，造成事故的，按照事故严重程度，与本规定合并处罚。</w:t>
      </w:r>
    </w:p>
    <w:p w14:paraId="6AE2642D">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转运站人员行为安全管理</w:t>
      </w:r>
      <w:r>
        <w:rPr>
          <w:rFonts w:hint="eastAsia" w:ascii="仿宋" w:hAnsi="仿宋" w:eastAsia="仿宋" w:cs="仿宋"/>
          <w:lang w:eastAsia="zh-CN"/>
        </w:rPr>
        <w:t>。</w:t>
      </w:r>
    </w:p>
    <w:p w14:paraId="1D1B9134">
      <w:pPr>
        <w:pStyle w:val="9"/>
        <w:numPr>
          <w:ilvl w:val="2"/>
          <w:numId w:val="2"/>
        </w:numPr>
        <w:spacing w:line="360" w:lineRule="auto"/>
        <w:ind w:left="-11" w:firstLine="11"/>
        <w:rPr>
          <w:rFonts w:hint="eastAsia" w:ascii="仿宋" w:hAnsi="仿宋" w:eastAsia="仿宋" w:cs="仿宋"/>
          <w:lang w:eastAsia="zh-CN"/>
        </w:rPr>
      </w:pPr>
      <w:r>
        <w:rPr>
          <w:rFonts w:hint="eastAsia" w:ascii="仿宋" w:hAnsi="仿宋" w:eastAsia="仿宋" w:cs="仿宋"/>
          <w:lang w:eastAsia="zh-CN"/>
        </w:rPr>
        <w:t>转运站作业人员清理设备底部垃圾仓内积存垃圾时，需确认箱体安全插销、其他安全附件等运行到位，作业人员严禁下池，应当使用工具在规定的安全区域进行作业。</w:t>
      </w:r>
    </w:p>
    <w:p w14:paraId="79BE19F4">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转运站生产区及渗滤液池周边5米内禁止吸烟，一经查实，予以罚款。</w:t>
      </w:r>
    </w:p>
    <w:p w14:paraId="6EC5EAF7">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未经许可，外来人员非工作原因不允许进入转运站。</w:t>
      </w:r>
    </w:p>
    <w:p w14:paraId="5B80EDB0">
      <w:pPr>
        <w:pStyle w:val="9"/>
        <w:numPr>
          <w:ilvl w:val="2"/>
          <w:numId w:val="2"/>
        </w:numPr>
        <w:spacing w:line="360" w:lineRule="auto"/>
        <w:ind w:left="9" w:hanging="9"/>
        <w:rPr>
          <w:rFonts w:hint="eastAsia" w:ascii="仿宋" w:hAnsi="仿宋" w:eastAsia="仿宋" w:cs="仿宋"/>
          <w:lang w:eastAsia="zh-CN"/>
        </w:rPr>
      </w:pPr>
      <w:r>
        <w:rPr>
          <w:rFonts w:hint="eastAsia" w:ascii="仿宋" w:hAnsi="仿宋" w:eastAsia="仿宋" w:cs="仿宋"/>
          <w:lang w:eastAsia="zh-CN"/>
        </w:rPr>
        <w:t>未按要求正确使用或没有佩戴个人劳动防护用品的，上岗期间禁止穿拖鞋、凉鞋等。</w:t>
      </w:r>
    </w:p>
    <w:p w14:paraId="5C49FB6D">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临时用电线路就地拖设没有做好相应的绝缘防护的。</w:t>
      </w:r>
    </w:p>
    <w:p w14:paraId="5D4347C5">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不服从管理，定人定岗工作人员睡岗、脱岗、擅离职守的。</w:t>
      </w:r>
    </w:p>
    <w:p w14:paraId="463698BA">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在转运站工作区域内长时间停放私人车辆的。</w:t>
      </w:r>
    </w:p>
    <w:p w14:paraId="7FC59E73">
      <w:pPr>
        <w:pStyle w:val="9"/>
        <w:numPr>
          <w:ilvl w:val="2"/>
          <w:numId w:val="2"/>
        </w:numPr>
        <w:spacing w:line="360" w:lineRule="auto"/>
        <w:ind w:left="9" w:hanging="9"/>
        <w:rPr>
          <w:rFonts w:hint="eastAsia" w:ascii="仿宋" w:hAnsi="仿宋" w:eastAsia="仿宋" w:cs="仿宋"/>
          <w:lang w:eastAsia="zh-CN"/>
        </w:rPr>
      </w:pPr>
      <w:r>
        <w:rPr>
          <w:rFonts w:hint="eastAsia" w:ascii="仿宋" w:hAnsi="仿宋" w:eastAsia="仿宋" w:cs="仿宋"/>
          <w:lang w:eastAsia="zh-CN"/>
        </w:rPr>
        <w:t>未经许可擅自操作他人的机械设备或车辆的，或者允许非本岗位人员操作机械设备或车辆的。</w:t>
      </w:r>
    </w:p>
    <w:p w14:paraId="2BCF1BF0">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机械操作人员离开工作区域时未关电停机或钥匙未拔的。</w:t>
      </w:r>
    </w:p>
    <w:p w14:paraId="23916B90">
      <w:pPr>
        <w:pStyle w:val="9"/>
        <w:numPr>
          <w:ilvl w:val="2"/>
          <w:numId w:val="2"/>
        </w:numPr>
        <w:spacing w:line="360" w:lineRule="auto"/>
        <w:ind w:left="449" w:hanging="449"/>
        <w:rPr>
          <w:rFonts w:hint="eastAsia" w:ascii="仿宋" w:hAnsi="仿宋" w:eastAsia="仿宋" w:cs="仿宋"/>
          <w:lang w:eastAsia="zh-CN"/>
        </w:rPr>
      </w:pPr>
      <w:r>
        <w:rPr>
          <w:rFonts w:hint="eastAsia" w:ascii="仿宋" w:hAnsi="仿宋" w:eastAsia="仿宋" w:cs="仿宋"/>
          <w:lang w:eastAsia="zh-CN"/>
        </w:rPr>
        <w:t>违反相关安全操作规程或不按工艺流程操作的。</w:t>
      </w:r>
    </w:p>
    <w:p w14:paraId="585264EE">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非专业维修人员擅自维修电器、机械设备的。</w:t>
      </w:r>
    </w:p>
    <w:p w14:paraId="2BB28EBA">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未切断电源，而将身体部位（手、头、脚等）进入受料腔检修、清理作业的。</w:t>
      </w:r>
    </w:p>
    <w:p w14:paraId="278E9A65">
      <w:pPr>
        <w:pStyle w:val="9"/>
        <w:numPr>
          <w:ilvl w:val="2"/>
          <w:numId w:val="2"/>
        </w:numPr>
        <w:spacing w:line="360" w:lineRule="auto"/>
        <w:ind w:left="9" w:hanging="9"/>
        <w:rPr>
          <w:rFonts w:hint="eastAsia" w:ascii="仿宋" w:hAnsi="仿宋" w:eastAsia="仿宋" w:cs="仿宋"/>
          <w:lang w:eastAsia="zh-CN"/>
        </w:rPr>
      </w:pPr>
      <w:r>
        <w:rPr>
          <w:rFonts w:hint="eastAsia" w:ascii="仿宋" w:hAnsi="仿宋" w:eastAsia="仿宋" w:cs="仿宋"/>
          <w:lang w:eastAsia="zh-CN"/>
        </w:rPr>
        <w:t>配电箱、柜1米范围内发现有物品遮挡，没有留置足够的安全通道或工作空间的。</w:t>
      </w:r>
    </w:p>
    <w:p w14:paraId="1425D633">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私放外部车辆进入转运站的。</w:t>
      </w:r>
    </w:p>
    <w:p w14:paraId="64430C04">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未经许可私自加装电器设备、私拉电源的。</w:t>
      </w:r>
    </w:p>
    <w:p w14:paraId="53807A85">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val="en-US" w:eastAsia="zh-CN"/>
        </w:rPr>
        <w:t>下班后或长时间离开时</w:t>
      </w:r>
      <w:r>
        <w:rPr>
          <w:rFonts w:hint="eastAsia" w:ascii="仿宋" w:hAnsi="仿宋" w:eastAsia="仿宋" w:cs="仿宋"/>
          <w:lang w:eastAsia="zh-CN"/>
        </w:rPr>
        <w:t>关闭</w:t>
      </w:r>
      <w:r>
        <w:rPr>
          <w:rFonts w:hint="eastAsia" w:ascii="仿宋" w:hAnsi="仿宋" w:eastAsia="仿宋" w:cs="仿宋"/>
          <w:lang w:val="en-US" w:eastAsia="zh-CN"/>
        </w:rPr>
        <w:t>站内</w:t>
      </w:r>
      <w:r>
        <w:rPr>
          <w:rFonts w:hint="eastAsia" w:ascii="仿宋" w:hAnsi="仿宋" w:eastAsia="仿宋" w:cs="仿宋"/>
          <w:lang w:eastAsia="zh-CN"/>
        </w:rPr>
        <w:t>电源。</w:t>
      </w:r>
    </w:p>
    <w:p w14:paraId="005B8667">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未及时对安全隐患进行排查并上报的。</w:t>
      </w:r>
    </w:p>
    <w:p w14:paraId="52EDB74E">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设备带故障运行，未及时处理的。</w:t>
      </w:r>
    </w:p>
    <w:p w14:paraId="197118E4">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卸料口2米内有人时，转运站操作人员禁止操作压缩设备。</w:t>
      </w:r>
    </w:p>
    <w:p w14:paraId="4925BEAA">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转运车在装箱、卸箱时，转运站及其他人员需距离至少5米。</w:t>
      </w:r>
    </w:p>
    <w:p w14:paraId="539AC17A">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相关方进入站内作业，转运站人员未进行有效监督、安全交底的。</w:t>
      </w:r>
    </w:p>
    <w:p w14:paraId="72E534D4">
      <w:pPr>
        <w:pStyle w:val="9"/>
        <w:numPr>
          <w:ilvl w:val="2"/>
          <w:numId w:val="2"/>
        </w:numPr>
        <w:spacing w:line="360" w:lineRule="auto"/>
        <w:rPr>
          <w:rFonts w:hint="eastAsia" w:ascii="仿宋" w:hAnsi="仿宋" w:eastAsia="仿宋" w:cs="仿宋"/>
          <w:lang w:eastAsia="zh-CN"/>
        </w:rPr>
      </w:pPr>
      <w:r>
        <w:rPr>
          <w:rFonts w:hint="eastAsia" w:ascii="仿宋" w:hAnsi="仿宋" w:eastAsia="仿宋" w:cs="仿宋"/>
          <w:lang w:eastAsia="zh-CN"/>
        </w:rPr>
        <w:t>卸料平台上扶手、楼梯扶手禁止倚靠，不允许坐在警示防撞护栏上休息。</w:t>
      </w:r>
    </w:p>
    <w:p w14:paraId="661E4744">
      <w:pPr>
        <w:pStyle w:val="9"/>
        <w:numPr>
          <w:ilvl w:val="2"/>
          <w:numId w:val="2"/>
        </w:numPr>
        <w:spacing w:line="360" w:lineRule="auto"/>
        <w:ind w:left="9" w:hanging="9"/>
        <w:rPr>
          <w:rFonts w:hint="eastAsia" w:ascii="仿宋" w:hAnsi="仿宋" w:eastAsia="仿宋" w:cs="仿宋"/>
          <w:lang w:eastAsia="zh-CN"/>
        </w:rPr>
      </w:pPr>
      <w:r>
        <w:rPr>
          <w:rFonts w:hint="eastAsia" w:ascii="仿宋" w:hAnsi="仿宋" w:eastAsia="仿宋" w:cs="仿宋"/>
          <w:lang w:eastAsia="zh-CN"/>
        </w:rPr>
        <w:t>以上为转运站安全管理、人员安全作业等最低要求，转运站相关负责人可根据生产作业实际情况提升转运站安全管理要求，避免生产安全事故的发生。违反规定视情节严重程度予以罚款，造成事故，按照事故严重程度，与本规定合并处罚。</w:t>
      </w:r>
    </w:p>
    <w:p w14:paraId="0EDEBA2B">
      <w:pPr>
        <w:pStyle w:val="9"/>
        <w:numPr>
          <w:ilvl w:val="1"/>
          <w:numId w:val="2"/>
        </w:numPr>
        <w:spacing w:line="360" w:lineRule="auto"/>
        <w:ind w:left="0" w:firstLine="0"/>
        <w:rPr>
          <w:rFonts w:hint="eastAsia" w:ascii="仿宋" w:hAnsi="仿宋" w:eastAsia="仿宋" w:cs="仿宋"/>
          <w:b/>
          <w:bCs/>
          <w:lang w:eastAsia="zh-CN"/>
        </w:rPr>
      </w:pPr>
      <w:r>
        <w:rPr>
          <w:rFonts w:hint="eastAsia" w:ascii="仿宋" w:hAnsi="仿宋" w:eastAsia="仿宋" w:cs="仿宋"/>
          <w:b/>
          <w:bCs/>
          <w:lang w:eastAsia="zh-CN"/>
        </w:rPr>
        <w:t>现场作业人员必须穿公司发放的带有反光警示功能的工作服。</w:t>
      </w:r>
    </w:p>
    <w:p w14:paraId="65B284F7">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违者经现场教育能立即改正的，不予处理；</w:t>
      </w:r>
    </w:p>
    <w:p w14:paraId="35063E77">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拒绝改正的，予以罚款并通报批评。</w:t>
      </w:r>
    </w:p>
    <w:p w14:paraId="3B70A1F8">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需要换洗工作服的，要穿着发放的带有反光功能的马甲代替工作服。</w:t>
      </w:r>
    </w:p>
    <w:p w14:paraId="37E4A1F1">
      <w:pPr>
        <w:pStyle w:val="9"/>
        <w:numPr>
          <w:ilvl w:val="1"/>
          <w:numId w:val="2"/>
        </w:numPr>
        <w:spacing w:line="360" w:lineRule="auto"/>
        <w:ind w:left="0" w:firstLine="0"/>
        <w:rPr>
          <w:rFonts w:hint="eastAsia" w:ascii="仿宋" w:hAnsi="仿宋" w:eastAsia="仿宋" w:cs="仿宋"/>
          <w:b/>
          <w:bCs/>
          <w:lang w:eastAsia="zh-CN"/>
        </w:rPr>
      </w:pPr>
      <w:r>
        <w:rPr>
          <w:rFonts w:hint="eastAsia" w:ascii="仿宋" w:hAnsi="仿宋" w:eastAsia="仿宋" w:cs="仿宋"/>
          <w:b/>
          <w:bCs/>
          <w:lang w:eastAsia="zh-CN"/>
        </w:rPr>
        <w:t>现场作业人员，严禁在机动车道、非机动车道、路中央或隔离栏处、车辆转弯处等危险区域长时间停留作业，防止发生交通事故。</w:t>
      </w:r>
    </w:p>
    <w:p w14:paraId="6112F0D2">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现场作业人员在公路白线内或路牙石上进行作业。</w:t>
      </w:r>
    </w:p>
    <w:p w14:paraId="0C9BFF6C">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确实需要在危险区域作业的，必须在来车方向10米处摆放安全路锥等警示设施，未按要求摆放安全警示设施的，对现场相关责任（负责）人进行处罚。造成事故的，按照事故严重程度，与本规定合并处罚。</w:t>
      </w:r>
    </w:p>
    <w:p w14:paraId="49A6185B">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现场作业人员的电动三轮车、人力三轮车、电动自行车、自行车、摩托三轮车、摩托车、电动四轮车等车辆严禁随意停放。</w:t>
      </w:r>
    </w:p>
    <w:p w14:paraId="3A609FDD">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作业现场有停车条件的，将车辆停放在不影响交通、不占用行车道的人行道、绿化带、商铺、停车场等位置。</w:t>
      </w:r>
    </w:p>
    <w:p w14:paraId="47CB45BA">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没有停车条件的，应当整齐单列纵向停放在非机动车道最右侧，形成车队，并在车队或单车的来车方向10米处放置警戒锥等警示设施。</w:t>
      </w:r>
    </w:p>
    <w:p w14:paraId="3F639635">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严禁在机动车道、非机动车道上随意占道停放，侵占路权，影响群众通行安全、破坏公司形象。</w:t>
      </w:r>
    </w:p>
    <w:p w14:paraId="380855AF">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违反规定视情节轻重进行责令整改、罚款、通报批评。造成事故的，按照事故严重程度，与本规定合并处罚。</w:t>
      </w:r>
    </w:p>
    <w:p w14:paraId="3EAB28D5">
      <w:pPr>
        <w:pStyle w:val="9"/>
        <w:numPr>
          <w:ilvl w:val="1"/>
          <w:numId w:val="2"/>
        </w:numPr>
        <w:spacing w:line="360" w:lineRule="auto"/>
        <w:ind w:left="0" w:firstLine="0"/>
        <w:rPr>
          <w:rFonts w:hint="eastAsia" w:ascii="仿宋" w:hAnsi="仿宋" w:eastAsia="仿宋" w:cs="仿宋"/>
          <w:b/>
          <w:bCs/>
          <w:lang w:eastAsia="zh-CN"/>
        </w:rPr>
      </w:pPr>
      <w:r>
        <w:rPr>
          <w:rFonts w:hint="eastAsia" w:ascii="仿宋" w:hAnsi="仿宋" w:eastAsia="仿宋" w:cs="仿宋"/>
          <w:b/>
          <w:bCs/>
          <w:lang w:eastAsia="zh-CN"/>
        </w:rPr>
        <w:t>现场作业人员，需要横穿马路或经路口到对面区域开展作业的，必须走人行横道，注意观察来往车辆，谨慎通行。</w:t>
      </w:r>
    </w:p>
    <w:p w14:paraId="775211F1">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没有路口的，行进至下一个路口绕行，严禁翻越护栏。</w:t>
      </w:r>
    </w:p>
    <w:p w14:paraId="7C331365">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在有红绿灯的路口，必须遵守信号灯指示，红灯停、绿灯行，严禁闯红灯。</w:t>
      </w:r>
    </w:p>
    <w:p w14:paraId="08C15D79">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违反此项规定罚款50元，造成事故的，按照事故严重程度，与本规定合并处罚。</w:t>
      </w:r>
    </w:p>
    <w:p w14:paraId="1FC31FF6">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现场作业人员开展保洁、清理、清扫、打药等作业时，互相之间必须保持一定安全距离，避免使用工具、挥动利器或药剂喷射时造成误伤。现场责任人应随时监督检查作业情况，对现场情况及时掌握，及时纠正危险作业行为，防止事故发生。违反规定造成误伤，予以罚款处理，并按照事故严重程度，与本规定合并处罚。</w:t>
      </w:r>
    </w:p>
    <w:p w14:paraId="52A8A1B2">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现场作业人员开展保洁、清理、清扫、捡拾、打药等作业过程中需要进入非铺装路面、临水区域、多级台阶、沟渠周边、长下坡、湿滑区域、广场、荒地、农田、菜地、喷泉假山、人造景观、乡村小路等较为危险的场所时，应注意现场环境安全，避免摔伤、滑倒、磕碰、扭伤、淹溺和交通事故的发生。</w:t>
      </w:r>
    </w:p>
    <w:p w14:paraId="7ADD6158">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安排作业的直接责任人应提前对作业环境进行风险辨识，做好安全培训、风险告知与现场检查工作，加强对风险区域作业的管理，控制意外事故的发生。</w:t>
      </w:r>
    </w:p>
    <w:p w14:paraId="6B3037C3">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坑塘、沟渠作业时，人员不得少于3人，且必须穿戴安全防护用品。</w:t>
      </w:r>
    </w:p>
    <w:p w14:paraId="025647B6">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作业人员鲁莽作业，注意力不集中，发生事故，视情节轻重予以罚款处理，相关负责人按照事故严重程度，与本规定合并处罚。</w:t>
      </w:r>
    </w:p>
    <w:p w14:paraId="59200D42">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员工上下班及作业期间驾驶电动车、摩托车需遵守以下规定：</w:t>
      </w:r>
    </w:p>
    <w:p w14:paraId="71B47EA7">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不可以逆行。</w:t>
      </w:r>
    </w:p>
    <w:p w14:paraId="388A1C5B">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严禁酒后驾驶。</w:t>
      </w:r>
    </w:p>
    <w:p w14:paraId="71F1518B">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严禁闯红灯。</w:t>
      </w:r>
    </w:p>
    <w:p w14:paraId="7FCAA299">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应当佩戴安全头盔。</w:t>
      </w:r>
    </w:p>
    <w:p w14:paraId="42F47E48">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起步和转弯时观察后方来车和行人，减速慢行。</w:t>
      </w:r>
    </w:p>
    <w:p w14:paraId="48871DDC">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应当走非机动车道，严禁在机动车道上随意行驶。</w:t>
      </w:r>
    </w:p>
    <w:p w14:paraId="7C05B07B">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严禁载人。</w:t>
      </w:r>
    </w:p>
    <w:p w14:paraId="7461FE62">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车辆应经常性检查，禁止驾驶有安全隐患的车辆。</w:t>
      </w:r>
    </w:p>
    <w:p w14:paraId="7903A55B">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驾驶人所在单位相关负责人对驾驶人进行常态化安全教育培训并对安全生产状况负责。发生事故，视情节轻重予以罚款处理，相关负责人按照事故严重程度，与本规定合并处罚。</w:t>
      </w:r>
    </w:p>
    <w:p w14:paraId="134FCA08">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各单位相关负责人应将反“三违”检查纳入到日常工作中，并持续拍摄检查照片反馈至安环部。发生事故，视情节轻重予以罚款处理，相关负责人按照事故严重程度，与本规定合并处罚。</w:t>
      </w:r>
    </w:p>
    <w:p w14:paraId="63837993">
      <w:pPr>
        <w:pStyle w:val="9"/>
        <w:numPr>
          <w:ilvl w:val="1"/>
          <w:numId w:val="2"/>
        </w:numPr>
        <w:spacing w:line="360" w:lineRule="auto"/>
        <w:ind w:left="0" w:firstLine="0"/>
        <w:rPr>
          <w:rFonts w:hint="eastAsia" w:ascii="仿宋" w:hAnsi="仿宋" w:eastAsia="仿宋" w:cs="仿宋"/>
          <w:color w:val="FF0000"/>
          <w:lang w:eastAsia="zh-CN"/>
        </w:rPr>
      </w:pPr>
      <w:r>
        <w:rPr>
          <w:rFonts w:hint="eastAsia" w:ascii="仿宋" w:hAnsi="仿宋" w:eastAsia="仿宋" w:cs="仿宋"/>
          <w:color w:val="FF0000"/>
          <w:lang w:val="en-US" w:eastAsia="zh-CN"/>
        </w:rPr>
        <w:t>对安全检查出来的问题不改正，继续违章的。</w:t>
      </w:r>
    </w:p>
    <w:p w14:paraId="3904A803">
      <w:pPr>
        <w:pStyle w:val="9"/>
        <w:numPr>
          <w:ilvl w:val="1"/>
          <w:numId w:val="2"/>
        </w:numPr>
        <w:spacing w:line="360" w:lineRule="auto"/>
        <w:ind w:left="0" w:firstLine="0"/>
        <w:rPr>
          <w:rFonts w:hint="eastAsia" w:ascii="仿宋" w:hAnsi="仿宋" w:eastAsia="仿宋" w:cs="仿宋"/>
          <w:color w:val="FF0000"/>
          <w:lang w:eastAsia="zh-CN"/>
        </w:rPr>
      </w:pPr>
      <w:r>
        <w:rPr>
          <w:rFonts w:hint="eastAsia" w:ascii="仿宋" w:hAnsi="仿宋" w:eastAsia="仿宋" w:cs="仿宋"/>
          <w:color w:val="FF0000"/>
          <w:lang w:val="en-US" w:eastAsia="zh-CN"/>
        </w:rPr>
        <w:t>在工作期间做与工作无关的事。</w:t>
      </w:r>
    </w:p>
    <w:p w14:paraId="46AB6EFB">
      <w:pPr>
        <w:pStyle w:val="9"/>
        <w:numPr>
          <w:ilvl w:val="1"/>
          <w:numId w:val="2"/>
        </w:numPr>
        <w:spacing w:line="360" w:lineRule="auto"/>
        <w:ind w:left="0" w:firstLine="0"/>
        <w:rPr>
          <w:rFonts w:hint="eastAsia" w:ascii="仿宋" w:hAnsi="仿宋" w:eastAsia="仿宋" w:cs="仿宋"/>
          <w:color w:val="FF0000"/>
          <w:lang w:eastAsia="zh-CN"/>
        </w:rPr>
      </w:pPr>
      <w:r>
        <w:rPr>
          <w:rFonts w:hint="eastAsia" w:ascii="仿宋" w:hAnsi="仿宋" w:eastAsia="仿宋" w:cs="仿宋"/>
          <w:color w:val="FF0000"/>
          <w:lang w:val="en-US" w:eastAsia="zh-CN"/>
        </w:rPr>
        <w:t>其他违章行为。</w:t>
      </w:r>
    </w:p>
    <w:p w14:paraId="505FF0C9">
      <w:pPr>
        <w:pStyle w:val="7"/>
        <w:numPr>
          <w:ilvl w:val="0"/>
          <w:numId w:val="2"/>
        </w:numPr>
        <w:outlineLvl w:val="0"/>
        <w:rPr>
          <w:rFonts w:hint="eastAsia" w:ascii="仿宋" w:hAnsi="仿宋" w:eastAsia="仿宋" w:cs="仿宋"/>
          <w:sz w:val="28"/>
          <w:szCs w:val="28"/>
          <w:lang w:eastAsia="zh-CN"/>
        </w:rPr>
      </w:pPr>
      <w:bookmarkStart w:id="18" w:name="_Toc7205"/>
      <w:r>
        <w:rPr>
          <w:rFonts w:hint="eastAsia" w:ascii="仿宋" w:hAnsi="仿宋" w:eastAsia="仿宋" w:cs="仿宋"/>
          <w:sz w:val="28"/>
          <w:szCs w:val="28"/>
          <w:lang w:eastAsia="zh-CN"/>
        </w:rPr>
        <w:t>车辆安全管理处罚</w:t>
      </w:r>
      <w:bookmarkEnd w:id="18"/>
    </w:p>
    <w:p w14:paraId="1C37DE6B">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车辆使用单位驾驶员违反公司安全规章制度、岗位操作规程、奖惩制度或有其他危险行为可能造成现实后果的，视情节轻重应当进行以下处罚：</w:t>
      </w:r>
    </w:p>
    <w:p w14:paraId="0A45ADDB">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对直接责任人处50元以上罚款并书面警告；对直接责任人的上一级相关责任人处罚款金额的百分之五十。</w:t>
      </w:r>
    </w:p>
    <w:p w14:paraId="28EA9E98">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自处罚决定之日起三个月内，仍有此类违章情况或情节更加严重的违章情况发生，对直接责任人处100元以上罚款并书面警告；对直接责任人的上一级相关责任人、部门主要负责人处罚款金额的百分之五十至百分之百并书面警告。</w:t>
      </w:r>
    </w:p>
    <w:p w14:paraId="0D78CB1A">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车辆使用单位发生交通事故的，依据本奖惩制度、公司事故调查报告、交管部门道路交通事故责任认定书对事故相关人员进行处罚并书面警告。</w:t>
      </w:r>
    </w:p>
    <w:p w14:paraId="3A3DA21B">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自处罚之日起1个月内仍再发生次责（含）以上交通事故的，对相关责任人处以双倍的安全事故处罚并书面警告。</w:t>
      </w:r>
    </w:p>
    <w:p w14:paraId="17ECBC99">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一年内发生三起次责（含）以上责任事故的驾驶员予以双倍安全事故处罚并降职、降薪或劝退且自行承担主责（含）以上造成的损失；超速75%以上的驾驶员予以降职、降薪处分，发生事故予以双倍安全事故处罚并承担车辆损失。</w:t>
      </w:r>
    </w:p>
    <w:p w14:paraId="1A30337A">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车辆使用单位发生次责（含）以上交通事故或生产安全（责任）事故，公司安委会约谈部门相关负责人，按照约谈承诺实施整改。对未落实约谈承诺的，按照事故处罚标准上升一级追究责任。本条款提及的车辆包括：公司作业车辆、租赁的相关方车辆（含特种设备）、公司用车。</w:t>
      </w:r>
    </w:p>
    <w:p w14:paraId="60D40B8B">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违反奖惩制度的具体行为如下：</w:t>
      </w:r>
    </w:p>
    <w:p w14:paraId="53054B36">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车辆使用单位所有驾驶员必须严格遵守《道路交通安全法》及相关法律法规具备</w:t>
      </w:r>
      <w:r>
        <w:rPr>
          <w:rFonts w:hint="eastAsia" w:ascii="仿宋" w:hAnsi="仿宋" w:eastAsia="仿宋" w:cs="仿宋"/>
          <w:b/>
          <w:bCs/>
          <w:lang w:eastAsia="zh-CN"/>
        </w:rPr>
        <w:t>准驾车型驾驶证</w:t>
      </w:r>
      <w:r>
        <w:rPr>
          <w:rFonts w:hint="eastAsia" w:ascii="仿宋" w:hAnsi="仿宋" w:eastAsia="仿宋" w:cs="仿宋"/>
          <w:lang w:eastAsia="zh-CN"/>
        </w:rPr>
        <w:t>，车证统一，文明驾驶。无证驾驶或持无效证件驾驶，一经发现，处罚相关责任人200-2000元。发生事故的，相关负责人按照事故严重程度，与本规定合并处罚，当事人承担法律责任。</w:t>
      </w:r>
    </w:p>
    <w:p w14:paraId="4702A61F">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严禁酒后驾驶、疲劳驾驶、带病驾驶、情绪驾驶</w:t>
      </w:r>
      <w:r>
        <w:rPr>
          <w:rFonts w:hint="eastAsia" w:ascii="仿宋" w:hAnsi="仿宋" w:eastAsia="仿宋" w:cs="仿宋"/>
          <w:lang w:val="en-US" w:eastAsia="zh-CN"/>
        </w:rPr>
        <w:t>等危险驾驶行为</w:t>
      </w:r>
      <w:r>
        <w:rPr>
          <w:rFonts w:hint="eastAsia" w:ascii="仿宋" w:hAnsi="仿宋" w:eastAsia="仿宋" w:cs="仿宋"/>
          <w:lang w:eastAsia="zh-CN"/>
        </w:rPr>
        <w:t>。</w:t>
      </w:r>
    </w:p>
    <w:p w14:paraId="293EBE2E">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酒后驾驶当事人处1000-2000元罚款并劝退；部门相关责任人处罚款金额的百分之五十至百分之百。</w:t>
      </w:r>
    </w:p>
    <w:p w14:paraId="7C5117DF">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疲劳驾驶当事人处50-200元罚款。驾驶员身体不适，立即在安全处靠边停车，报告上级；未及时报告，坚持带病作业的处50-200元罚款；报告上一级领导后未得到允许停车休息指令，强令带病继续作业的，上一级责任人罚款1000元并调离岗位，情节严重的予以劝退。</w:t>
      </w:r>
    </w:p>
    <w:p w14:paraId="29AD5954">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情绪驾驶当事人处1000-2000元罚款并劝退。</w:t>
      </w:r>
    </w:p>
    <w:p w14:paraId="72FEC082">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酒后驾驶、疲劳驾驶、带病驾驶、情绪驾驶导致事故、事件（含舆情、群众举报）的，相关负责人按照事故、事件（含舆情、群众举报）严重程度，与本规定合并处罚，当事人承担法律责任。</w:t>
      </w:r>
    </w:p>
    <w:p w14:paraId="27F79651">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涉及“三检”的车辆</w:t>
      </w:r>
      <w:r>
        <w:rPr>
          <w:rFonts w:hint="eastAsia" w:ascii="仿宋" w:hAnsi="仿宋" w:eastAsia="仿宋" w:cs="仿宋"/>
          <w:lang w:eastAsia="zh-CN"/>
        </w:rPr>
        <w:t>，驾驶员要按规定对车辆进行“三检”，即出车前、行车中、收车后的检查工作。确保不带故障出车，不带隐患出车。做好出车三检表登记，要求内容真实、清晰、准确。三检表中署名司机为该车辆“三检”责任人，其他司机代为检查时可在检查表结尾署名清楚，避免责任不清。“三检”工作未落实、虚假填报，予以罚款50-200元；因车辆故障未提前排查清楚，导致安全事故发生的，“三检”负责人按照事故严重程度，与本规定合并处罚。</w:t>
      </w:r>
    </w:p>
    <w:p w14:paraId="76FA2152">
      <w:pPr>
        <w:pStyle w:val="9"/>
        <w:numPr>
          <w:ilvl w:val="2"/>
          <w:numId w:val="2"/>
        </w:numPr>
        <w:spacing w:line="360" w:lineRule="auto"/>
        <w:ind w:left="0" w:firstLine="0"/>
        <w:rPr>
          <w:rFonts w:hint="eastAsia" w:ascii="仿宋" w:hAnsi="仿宋" w:eastAsia="仿宋" w:cs="仿宋"/>
          <w:b/>
          <w:bCs/>
          <w:lang w:eastAsia="zh-CN"/>
        </w:rPr>
      </w:pPr>
      <w:r>
        <w:rPr>
          <w:rFonts w:hint="eastAsia" w:ascii="仿宋" w:hAnsi="仿宋" w:eastAsia="仿宋" w:cs="仿宋"/>
          <w:b/>
          <w:bCs/>
          <w:lang w:eastAsia="zh-CN"/>
        </w:rPr>
        <w:t>车辆驾驶员对车辆要经常进行保养、检查、清洁。做到日擦拭、周维护、月保养。具体要求如下：</w:t>
      </w:r>
    </w:p>
    <w:p w14:paraId="449DF52A">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保持车辆外观整洁干净。</w:t>
      </w:r>
    </w:p>
    <w:p w14:paraId="0EABA229">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内饰整洁干净无异味，内部无杂物、垃圾、尘土、烟灰。</w:t>
      </w:r>
    </w:p>
    <w:p w14:paraId="2297BB37">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车辆线路理顺清晰，盖板完整。</w:t>
      </w:r>
    </w:p>
    <w:p w14:paraId="5733F4E5">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前挡风玻璃、侧车窗玻璃、后视镜、盲区镜、倒车影像摄像头无水印、灰尘、污渍。</w:t>
      </w:r>
    </w:p>
    <w:p w14:paraId="275D1EEB">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轮胎、轮毂无泥渍。</w:t>
      </w:r>
    </w:p>
    <w:p w14:paraId="19BD1B90">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车牌、扩大号、车辆红白警示条、车辆警示标识、车灯整洁干净无遮挡。</w:t>
      </w:r>
    </w:p>
    <w:p w14:paraId="56612CB4">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以上要求为车辆清洁底线，各部门可根据生产作业实际情况提升车辆清洁的管理要求。未达到底线要求的，车辆直接负责人、相关负责人处50-100元罚款。</w:t>
      </w:r>
    </w:p>
    <w:p w14:paraId="22B44985">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驾驶员应根据当日工作安排驾驶指定车辆在</w:t>
      </w:r>
      <w:r>
        <w:rPr>
          <w:rFonts w:hint="eastAsia" w:ascii="仿宋" w:hAnsi="仿宋" w:eastAsia="仿宋" w:cs="仿宋"/>
          <w:b/>
          <w:bCs/>
          <w:lang w:eastAsia="zh-CN"/>
        </w:rPr>
        <w:t>指定区域、路线作业，不得随意交换车辆、更改作业路线</w:t>
      </w:r>
      <w:r>
        <w:rPr>
          <w:rFonts w:hint="eastAsia" w:ascii="仿宋" w:hAnsi="仿宋" w:eastAsia="仿宋" w:cs="仿宋"/>
          <w:lang w:eastAsia="zh-CN"/>
        </w:rPr>
        <w:t>。更不得将车辆交他人驾驶。特殊情况，需要更换驾驶员或车辆的，请示批准。违反规定，罚款200-1000元。发生事故的，相关负责人按照事故严重程度，与本规定合并处罚，当事人承担法律责任。</w:t>
      </w:r>
    </w:p>
    <w:p w14:paraId="0C8B9456">
      <w:pPr>
        <w:pStyle w:val="9"/>
        <w:numPr>
          <w:ilvl w:val="2"/>
          <w:numId w:val="2"/>
        </w:numPr>
        <w:spacing w:line="360" w:lineRule="auto"/>
        <w:ind w:left="0" w:firstLine="0"/>
        <w:rPr>
          <w:rFonts w:hint="eastAsia" w:ascii="仿宋" w:hAnsi="仿宋" w:eastAsia="仿宋" w:cs="仿宋"/>
          <w:b/>
          <w:bCs/>
          <w:lang w:eastAsia="zh-CN"/>
        </w:rPr>
      </w:pPr>
      <w:r>
        <w:rPr>
          <w:rFonts w:hint="eastAsia" w:ascii="仿宋" w:hAnsi="仿宋" w:eastAsia="仿宋" w:cs="仿宋"/>
          <w:b/>
          <w:bCs/>
          <w:lang w:eastAsia="zh-CN"/>
        </w:rPr>
        <w:t>驾驶员发生交通事故</w:t>
      </w:r>
    </w:p>
    <w:p w14:paraId="562C9F9F">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应立即拨打122报警并汇报上级领导；发生人员伤亡，同时拨打120急救电话；有人员被困，同时拨打119报警电话。</w:t>
      </w:r>
    </w:p>
    <w:p w14:paraId="38ED30B3">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向直线部门领导及安环部汇报。</w:t>
      </w:r>
    </w:p>
    <w:p w14:paraId="7D38317C">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事故发生后按要求及时放置三脚架、警示锥等警戒设施，保护现场，防止发生二次事故。</w:t>
      </w:r>
    </w:p>
    <w:p w14:paraId="1B5622AE">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val="en-US" w:eastAsia="zh-CN"/>
        </w:rPr>
        <w:t>对事故现场的情况向上级领导汇报，同时留存现场影像资料。</w:t>
      </w:r>
    </w:p>
    <w:p w14:paraId="60FE1AC6">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发生事故逃逸的，除承担法律责任外，予以2000元罚款处罚，并劝退。</w:t>
      </w:r>
    </w:p>
    <w:p w14:paraId="4F96D15B">
      <w:pPr>
        <w:pStyle w:val="9"/>
        <w:numPr>
          <w:ilvl w:val="3"/>
          <w:numId w:val="2"/>
        </w:numPr>
        <w:spacing w:line="360" w:lineRule="auto"/>
        <w:rPr>
          <w:rFonts w:hint="eastAsia" w:ascii="仿宋" w:hAnsi="仿宋" w:eastAsia="仿宋" w:cs="仿宋"/>
          <w:lang w:eastAsia="zh-CN"/>
        </w:rPr>
      </w:pPr>
      <w:r>
        <w:rPr>
          <w:rFonts w:hint="eastAsia" w:ascii="仿宋" w:hAnsi="仿宋" w:eastAsia="仿宋" w:cs="仿宋"/>
          <w:lang w:val="en-US" w:eastAsia="zh-CN"/>
        </w:rPr>
        <w:t>事故发生后，未经公司允许，禁止私自</w:t>
      </w:r>
      <w:r>
        <w:rPr>
          <w:rFonts w:ascii="仿宋" w:hAnsi="仿宋" w:eastAsia="仿宋" w:cs="仿宋"/>
          <w:i w:val="0"/>
          <w:iCs w:val="0"/>
          <w:caps w:val="0"/>
          <w:color w:val="000000"/>
          <w:spacing w:val="0"/>
          <w:sz w:val="24"/>
          <w:szCs w:val="24"/>
        </w:rPr>
        <w:t>报保险</w:t>
      </w:r>
      <w:r>
        <w:rPr>
          <w:rFonts w:hint="eastAsia" w:ascii="仿宋" w:hAnsi="仿宋" w:eastAsia="仿宋" w:cs="仿宋"/>
          <w:i w:val="0"/>
          <w:iCs w:val="0"/>
          <w:caps w:val="0"/>
          <w:color w:val="000000"/>
          <w:spacing w:val="0"/>
          <w:sz w:val="24"/>
          <w:szCs w:val="24"/>
          <w:lang w:val="en-US" w:eastAsia="zh-CN"/>
        </w:rPr>
        <w:t>处理事故</w:t>
      </w:r>
      <w:r>
        <w:rPr>
          <w:rFonts w:hint="eastAsia" w:ascii="仿宋" w:hAnsi="仿宋" w:eastAsia="仿宋" w:cs="仿宋"/>
          <w:i w:val="0"/>
          <w:iCs w:val="0"/>
          <w:caps w:val="0"/>
          <w:color w:val="000000"/>
          <w:spacing w:val="0"/>
          <w:sz w:val="24"/>
          <w:szCs w:val="24"/>
          <w:lang w:eastAsia="zh-CN"/>
        </w:rPr>
        <w:t>。</w:t>
      </w:r>
    </w:p>
    <w:p w14:paraId="329379A7">
      <w:pPr>
        <w:pStyle w:val="9"/>
        <w:numPr>
          <w:ilvl w:val="3"/>
          <w:numId w:val="2"/>
        </w:numPr>
        <w:spacing w:line="360" w:lineRule="auto"/>
        <w:rPr>
          <w:rFonts w:hint="eastAsia" w:ascii="仿宋" w:hAnsi="仿宋" w:eastAsia="仿宋" w:cs="仿宋"/>
          <w:lang w:eastAsia="zh-CN"/>
        </w:rPr>
      </w:pPr>
      <w:r>
        <w:rPr>
          <w:rFonts w:hint="eastAsia" w:ascii="仿宋" w:hAnsi="仿宋" w:eastAsia="仿宋" w:cs="仿宋"/>
          <w:lang w:val="en-US" w:eastAsia="zh-CN"/>
        </w:rPr>
        <w:t>接到事故科通知需要签“</w:t>
      </w:r>
      <w:r>
        <w:rPr>
          <w:rFonts w:hint="eastAsia" w:ascii="仿宋" w:hAnsi="仿宋" w:eastAsia="仿宋" w:cs="仿宋"/>
          <w:lang w:eastAsia="zh-CN"/>
        </w:rPr>
        <w:t>交通事故认定书</w:t>
      </w:r>
      <w:r>
        <w:rPr>
          <w:rFonts w:hint="eastAsia" w:ascii="仿宋" w:hAnsi="仿宋" w:eastAsia="仿宋" w:cs="仿宋"/>
          <w:lang w:val="en-US" w:eastAsia="zh-CN"/>
        </w:rPr>
        <w:t>”时，立即向公司汇报。</w:t>
      </w:r>
    </w:p>
    <w:p w14:paraId="581912D2">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对驾驶员的上一级相关责任人、部门主要负责人处罚款金额的百分之五十至百分之百。因逃逸导致公司车辆被扣的，驾驶员负责被扣导致的损失，情节严重的移交司法部门处理。</w:t>
      </w:r>
    </w:p>
    <w:p w14:paraId="67A5C2D1">
      <w:pPr>
        <w:pStyle w:val="9"/>
        <w:numPr>
          <w:ilvl w:val="2"/>
          <w:numId w:val="2"/>
        </w:numPr>
        <w:spacing w:line="360" w:lineRule="auto"/>
        <w:ind w:left="9" w:hanging="9"/>
        <w:rPr>
          <w:rFonts w:hint="eastAsia" w:ascii="仿宋" w:hAnsi="仿宋" w:eastAsia="仿宋" w:cs="仿宋"/>
          <w:lang w:eastAsia="zh-CN"/>
        </w:rPr>
      </w:pPr>
      <w:r>
        <w:rPr>
          <w:rFonts w:hint="eastAsia" w:ascii="仿宋" w:hAnsi="仿宋" w:eastAsia="仿宋" w:cs="仿宋"/>
          <w:lang w:eastAsia="zh-CN"/>
        </w:rPr>
        <w:t>驾驶员发生交通事故，经交管部门事故认定，</w:t>
      </w:r>
      <w:r>
        <w:rPr>
          <w:rFonts w:hint="eastAsia" w:ascii="仿宋" w:hAnsi="仿宋" w:eastAsia="仿宋" w:cs="仿宋"/>
          <w:b/>
          <w:bCs/>
          <w:lang w:eastAsia="zh-CN"/>
        </w:rPr>
        <w:t>负次责和同责的，参照奖惩制度予以处罚</w:t>
      </w:r>
      <w:r>
        <w:rPr>
          <w:rFonts w:hint="eastAsia" w:ascii="仿宋" w:hAnsi="仿宋" w:eastAsia="仿宋" w:cs="仿宋"/>
          <w:lang w:eastAsia="zh-CN"/>
        </w:rPr>
        <w:t>；</w:t>
      </w:r>
      <w:r>
        <w:rPr>
          <w:rFonts w:hint="eastAsia" w:ascii="仿宋" w:hAnsi="仿宋" w:eastAsia="仿宋" w:cs="仿宋"/>
          <w:b/>
          <w:bCs/>
          <w:lang w:eastAsia="zh-CN"/>
        </w:rPr>
        <w:t>负主责和全责的</w:t>
      </w:r>
      <w:r>
        <w:rPr>
          <w:rFonts w:hint="eastAsia" w:ascii="仿宋" w:hAnsi="仿宋" w:eastAsia="仿宋" w:cs="仿宋"/>
          <w:lang w:eastAsia="zh-CN"/>
        </w:rPr>
        <w:t>，参照奖惩制度予以处罚外并承担我方车辆的维修费用；一年之内发生第二起主责、全责事故的降职、降薪、劝退。</w:t>
      </w:r>
    </w:p>
    <w:p w14:paraId="33735FCE">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驾驶员应做到文明驾驶，安全驾驶，具体要求参照《中华人民共和国道路交通安全法实施条例》《道路交通安全违法行为记分管理办法》，</w:t>
      </w:r>
      <w:r>
        <w:rPr>
          <w:rFonts w:hint="eastAsia" w:ascii="仿宋" w:hAnsi="仿宋" w:eastAsia="仿宋" w:cs="仿宋"/>
          <w:b/>
          <w:bCs/>
          <w:lang w:eastAsia="zh-CN"/>
        </w:rPr>
        <w:t>违章行为被交管部门扣分罚款的</w:t>
      </w:r>
      <w:r>
        <w:rPr>
          <w:rFonts w:hint="eastAsia" w:ascii="仿宋" w:hAnsi="仿宋" w:eastAsia="仿宋" w:cs="仿宋"/>
          <w:lang w:eastAsia="zh-CN"/>
        </w:rPr>
        <w:t>，应及时消除扣分并缴纳罚款；公司视情节严重程度加罚交管部门罚款额的1-5倍，上级相关责任人予以加罚额度的百分之五十罚款。</w:t>
      </w:r>
    </w:p>
    <w:p w14:paraId="179A1686">
      <w:pPr>
        <w:pStyle w:val="9"/>
        <w:numPr>
          <w:ilvl w:val="2"/>
          <w:numId w:val="2"/>
        </w:numPr>
        <w:spacing w:line="360" w:lineRule="auto"/>
        <w:ind w:left="0" w:firstLine="0"/>
        <w:rPr>
          <w:rFonts w:hint="eastAsia" w:ascii="仿宋" w:hAnsi="仿宋" w:eastAsia="仿宋" w:cs="仿宋"/>
          <w:b/>
          <w:bCs/>
          <w:lang w:eastAsia="zh-CN"/>
        </w:rPr>
      </w:pPr>
      <w:r>
        <w:rPr>
          <w:rFonts w:hint="eastAsia" w:ascii="仿宋" w:hAnsi="仿宋" w:eastAsia="仿宋" w:cs="仿宋"/>
          <w:b/>
          <w:bCs/>
          <w:lang w:eastAsia="zh-CN"/>
        </w:rPr>
        <w:t>驾驶员驾驶车辆严禁超速。</w:t>
      </w:r>
    </w:p>
    <w:p w14:paraId="533A41D2">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超速行为被交管部门处罚的，参照8.2.8；</w:t>
      </w:r>
    </w:p>
    <w:p w14:paraId="21AA52F8">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超速驾驶造成事故的，参照8.2.7；</w:t>
      </w:r>
    </w:p>
    <w:p w14:paraId="0547F0A9">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超速行为影响公众安全，接到投诉，证据确凿，处200-500元罚款并书面警告；</w:t>
      </w:r>
    </w:p>
    <w:p w14:paraId="0D24C31A">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造成社会舆论，产生负面影响，处300-800元罚款并书面警告；</w:t>
      </w:r>
    </w:p>
    <w:p w14:paraId="51D1895C">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其他超速行为处50-200元罚款并书面警告。</w:t>
      </w:r>
    </w:p>
    <w:p w14:paraId="7BF6ED49">
      <w:pPr>
        <w:pStyle w:val="9"/>
        <w:numPr>
          <w:ilvl w:val="2"/>
          <w:numId w:val="2"/>
        </w:numPr>
        <w:spacing w:line="360" w:lineRule="auto"/>
        <w:ind w:left="0" w:firstLine="0"/>
        <w:rPr>
          <w:rFonts w:hint="eastAsia" w:ascii="仿宋" w:hAnsi="仿宋" w:eastAsia="仿宋" w:cs="仿宋"/>
          <w:b/>
          <w:bCs/>
          <w:u w:val="single"/>
          <w:lang w:eastAsia="zh-CN"/>
        </w:rPr>
      </w:pPr>
      <w:r>
        <w:rPr>
          <w:rFonts w:hint="eastAsia" w:ascii="仿宋" w:hAnsi="仿宋" w:eastAsia="仿宋" w:cs="仿宋"/>
          <w:b/>
          <w:bCs/>
          <w:u w:val="single"/>
          <w:lang w:eastAsia="zh-CN"/>
        </w:rPr>
        <w:t>规范停车、转弯、掉头和起步。</w:t>
      </w:r>
    </w:p>
    <w:p w14:paraId="12E3BA96">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结束当日作业时停车规范：</w:t>
      </w:r>
    </w:p>
    <w:p w14:paraId="3A51EC17">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离开车辆时必须熄火、拉满手刹、关闭所有门窗及车辆箱板。</w:t>
      </w:r>
    </w:p>
    <w:p w14:paraId="7DF61190">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车辆必须停放到指定的位置，未经批准不得私自停放。</w:t>
      </w:r>
    </w:p>
    <w:p w14:paraId="76041D03">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车辆停妥后，车辆驾驶员应拉紧手刹，熄火后锁好门窗，并将贵重物品随身携带，钥匙妥善保管</w:t>
      </w:r>
      <w:r>
        <w:rPr>
          <w:rFonts w:hint="eastAsia" w:ascii="仿宋" w:hAnsi="仿宋" w:eastAsia="仿宋" w:cs="仿宋"/>
          <w:color w:val="0000FF"/>
          <w:lang w:eastAsia="zh-CN"/>
        </w:rPr>
        <w:t>。</w:t>
      </w:r>
    </w:p>
    <w:p w14:paraId="590BD81C">
      <w:pPr>
        <w:pStyle w:val="9"/>
        <w:numPr>
          <w:ilvl w:val="3"/>
          <w:numId w:val="2"/>
        </w:numPr>
        <w:spacing w:line="360" w:lineRule="auto"/>
        <w:ind w:left="0" w:firstLine="0"/>
        <w:rPr>
          <w:rFonts w:hint="eastAsia" w:ascii="仿宋" w:hAnsi="仿宋" w:eastAsia="仿宋" w:cs="仿宋"/>
          <w:b/>
          <w:bCs/>
          <w:lang w:eastAsia="zh-CN"/>
        </w:rPr>
      </w:pPr>
      <w:r>
        <w:rPr>
          <w:rFonts w:hint="eastAsia" w:ascii="仿宋" w:hAnsi="仿宋" w:eastAsia="仿宋" w:cs="仿宋"/>
          <w:b/>
          <w:bCs/>
          <w:lang w:eastAsia="zh-CN"/>
        </w:rPr>
        <w:t>临时停车规范：</w:t>
      </w:r>
    </w:p>
    <w:p w14:paraId="3A41AAB6">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离开车辆时必须熄火、拉满手刹。</w:t>
      </w:r>
    </w:p>
    <w:p w14:paraId="2964BCFD">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开启车门应采用“荷式开门法”，反手开门，扭身观察，注意经过的行人、车辆。</w:t>
      </w:r>
    </w:p>
    <w:p w14:paraId="6CFDEA39">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上下车注意脚下安全，不要踩空和滑倒。</w:t>
      </w:r>
    </w:p>
    <w:p w14:paraId="277732EB">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临时作业时，打开双跳灯，及双箭头指示灯，并在车尾后50米摆放警戒设施</w:t>
      </w:r>
    </w:p>
    <w:p w14:paraId="6A2B3BC7">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其他情况临时停车时，应寻找安全、宽阔地段，打开双跳灯，摆放警示标识，不得影响交通。</w:t>
      </w:r>
    </w:p>
    <w:p w14:paraId="333FFFC5">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车辆右转弯要求：</w:t>
      </w:r>
    </w:p>
    <w:p w14:paraId="341AC66E">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准备右转弯前，提前并线到右侧车道，并打开右转向灯。</w:t>
      </w:r>
    </w:p>
    <w:p w14:paraId="15A10E02">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提前观察非机动车道情况，是否有非机动车连续通过路口或有车速较快的非机动车通过路口。</w:t>
      </w:r>
    </w:p>
    <w:p w14:paraId="27A8D650">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观察后视镜，是否有其他车辆靠近，是否有非机动车、行人离车过近。</w:t>
      </w:r>
    </w:p>
    <w:p w14:paraId="3182C072">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确认安全后转弯，转弯时放慢速度，保持车距，确保安全，按交规要求“右转必停”。</w:t>
      </w:r>
    </w:p>
    <w:p w14:paraId="0A20FD46">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按照交规让行要求，右转车辆主动避让左转车辆。</w:t>
      </w:r>
    </w:p>
    <w:p w14:paraId="3F0F2A0F">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右转时遇左侧直行道路车流量较大时，放慢车速或停车等待，不可强行并线。</w:t>
      </w:r>
    </w:p>
    <w:p w14:paraId="579FD14D">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完成转弯后如需变道，认真观察后方来车，打开转向灯，确保安全情况下完成变道，不可一次跨越多条车道。</w:t>
      </w:r>
    </w:p>
    <w:p w14:paraId="7F44EBE2">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禁止直接转弯到非机动车道上。</w:t>
      </w:r>
    </w:p>
    <w:p w14:paraId="58DD35FB">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车辆左转弯要求：</w:t>
      </w:r>
    </w:p>
    <w:p w14:paraId="6F233749">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准备左转弯前，提前并线到左侧车道，并打开左转向灯。</w:t>
      </w:r>
    </w:p>
    <w:p w14:paraId="1C66DDDE">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左转弯时遵守交通规则，严禁闯红灯。</w:t>
      </w:r>
    </w:p>
    <w:p w14:paraId="150F1FDC">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绿灯倒计时、闪黄灯或预计通行时间不足时，严禁加速猛冲。</w:t>
      </w:r>
    </w:p>
    <w:p w14:paraId="67EF17F1">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左转弯时减速慢行，保持车距，注意安全。</w:t>
      </w:r>
    </w:p>
    <w:p w14:paraId="7FFB9851">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按照交规要求让行，转弯车辆主动避让直行车辆。</w:t>
      </w:r>
    </w:p>
    <w:p w14:paraId="7C16EA5A">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完成左转弯后如需变道，认真观察后方来车，打开转向灯，确保安全情况下完成变道，不可一次跨越多条车道。</w:t>
      </w:r>
    </w:p>
    <w:p w14:paraId="56D0A487">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车辆掉头要求：</w:t>
      </w:r>
    </w:p>
    <w:p w14:paraId="20017288">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路口掉头时，有红绿灯的路口应遵守交通规则，掉头时提前并入左侧车道，待绿灯亮起时前轮跨越停止线进行掉头，不得闯红灯。</w:t>
      </w:r>
    </w:p>
    <w:p w14:paraId="37B3707F">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掉头时放慢车速，注意来车方向，确保安全。</w:t>
      </w:r>
    </w:p>
    <w:p w14:paraId="34318B5D">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在没有红绿灯的路口进行掉头时，应提前向左侧车道并线，提前打开左转向灯，驾驶员应做到充分观察，确认是否有非机动车连续通过或有车速较快的非机动车、摩托车通过。确保安全后，完成掉头。</w:t>
      </w:r>
    </w:p>
    <w:p w14:paraId="3176B3AD">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严禁借道掉头、严禁在右侧车道进行掉头。</w:t>
      </w:r>
    </w:p>
    <w:p w14:paraId="287D83D4">
      <w:pPr>
        <w:pStyle w:val="9"/>
        <w:numPr>
          <w:ilvl w:val="3"/>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车辆起步要求：</w:t>
      </w:r>
    </w:p>
    <w:p w14:paraId="25B3D68F">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车辆起步前，绕车一周，注意观察车头、车尾、车两侧、车轮下有无障碍物或行人。</w:t>
      </w:r>
    </w:p>
    <w:p w14:paraId="2E4C2AEC">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车辆起步时，应注意充分观察，确认后方来车情况，确保安全后打左转向灯慢速行驶。</w:t>
      </w:r>
    </w:p>
    <w:p w14:paraId="2E403012">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起步后缓慢、安全的并入作业车道。</w:t>
      </w:r>
    </w:p>
    <w:p w14:paraId="18BC14BC">
      <w:pPr>
        <w:pStyle w:val="9"/>
        <w:numPr>
          <w:ilvl w:val="3"/>
          <w:numId w:val="2"/>
        </w:numPr>
        <w:spacing w:line="360" w:lineRule="auto"/>
        <w:ind w:left="0" w:firstLine="0"/>
        <w:rPr>
          <w:rFonts w:hint="eastAsia" w:ascii="仿宋" w:hAnsi="仿宋" w:eastAsia="仿宋" w:cs="仿宋"/>
          <w:b/>
          <w:bCs/>
          <w:lang w:eastAsia="zh-CN"/>
        </w:rPr>
      </w:pPr>
      <w:r>
        <w:rPr>
          <w:rFonts w:hint="eastAsia" w:ascii="仿宋" w:hAnsi="仿宋" w:eastAsia="仿宋" w:cs="仿宋"/>
          <w:b/>
          <w:bCs/>
          <w:lang w:eastAsia="zh-CN"/>
        </w:rPr>
        <w:t>车辆行使要求</w:t>
      </w:r>
    </w:p>
    <w:p w14:paraId="73A7AE06">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作业车辆（吸污车、转运车、收运车）不允许变道超车。</w:t>
      </w:r>
    </w:p>
    <w:p w14:paraId="0EE20158">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禁止遮挡机动车号牌。</w:t>
      </w:r>
    </w:p>
    <w:p w14:paraId="44966C5B">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严禁驾驶时不系安全带、玩手机、吃零食等影响驾驶行为。</w:t>
      </w:r>
    </w:p>
    <w:p w14:paraId="4B2FA1EA">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非紧急情况，不得将车辆停放在应急车道。</w:t>
      </w:r>
    </w:p>
    <w:p w14:paraId="555CF29F">
      <w:pPr>
        <w:pStyle w:val="9"/>
        <w:numPr>
          <w:ilvl w:val="4"/>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其他违章按交通法规执行。</w:t>
      </w:r>
    </w:p>
    <w:p w14:paraId="74C57205">
      <w:pPr>
        <w:pStyle w:val="9"/>
        <w:numPr>
          <w:ilvl w:val="3"/>
          <w:numId w:val="2"/>
        </w:numPr>
        <w:spacing w:line="360" w:lineRule="auto"/>
        <w:ind w:left="0" w:firstLine="0"/>
        <w:rPr>
          <w:rFonts w:hint="eastAsia" w:ascii="仿宋" w:hAnsi="仿宋" w:eastAsia="仿宋" w:cs="仿宋"/>
          <w:b/>
          <w:bCs/>
          <w:lang w:eastAsia="zh-CN"/>
        </w:rPr>
      </w:pPr>
      <w:r>
        <w:rPr>
          <w:rFonts w:hint="eastAsia" w:ascii="仿宋" w:hAnsi="仿宋" w:eastAsia="仿宋" w:cs="仿宋"/>
          <w:b/>
          <w:bCs/>
          <w:lang w:eastAsia="zh-CN"/>
        </w:rPr>
        <w:t>车辆安全管理要求</w:t>
      </w:r>
    </w:p>
    <w:p w14:paraId="183D1357">
      <w:pPr>
        <w:pStyle w:val="9"/>
        <w:numPr>
          <w:ilvl w:val="4"/>
          <w:numId w:val="2"/>
        </w:numPr>
        <w:spacing w:line="360" w:lineRule="auto"/>
        <w:rPr>
          <w:rFonts w:hint="eastAsia" w:ascii="仿宋" w:hAnsi="仿宋" w:eastAsia="仿宋" w:cs="仿宋"/>
          <w:lang w:eastAsia="zh-CN"/>
        </w:rPr>
      </w:pPr>
      <w:r>
        <w:rPr>
          <w:rFonts w:hint="eastAsia" w:ascii="仿宋" w:hAnsi="仿宋" w:eastAsia="仿宋" w:cs="仿宋"/>
          <w:lang w:eastAsia="zh-CN"/>
        </w:rPr>
        <w:t>消防器材未按规定检查、记录，消防器材丢失的。</w:t>
      </w:r>
    </w:p>
    <w:p w14:paraId="17D5ED8A">
      <w:pPr>
        <w:pStyle w:val="9"/>
        <w:numPr>
          <w:ilvl w:val="4"/>
          <w:numId w:val="2"/>
        </w:numPr>
        <w:spacing w:line="360" w:lineRule="auto"/>
        <w:rPr>
          <w:rFonts w:hint="eastAsia" w:ascii="仿宋" w:hAnsi="仿宋" w:eastAsia="仿宋" w:cs="仿宋"/>
          <w:lang w:eastAsia="zh-CN"/>
        </w:rPr>
      </w:pPr>
      <w:r>
        <w:rPr>
          <w:rFonts w:hint="eastAsia" w:ascii="仿宋" w:hAnsi="仿宋" w:eastAsia="仿宋" w:cs="仿宋"/>
          <w:lang w:eastAsia="zh-CN"/>
        </w:rPr>
        <w:t>未按要求正确使用或没有佩戴个人劳动防护用品的。</w:t>
      </w:r>
    </w:p>
    <w:p w14:paraId="5562D775">
      <w:pPr>
        <w:pStyle w:val="9"/>
        <w:numPr>
          <w:ilvl w:val="4"/>
          <w:numId w:val="2"/>
        </w:numPr>
        <w:spacing w:line="360" w:lineRule="auto"/>
        <w:rPr>
          <w:rFonts w:hint="eastAsia" w:ascii="仿宋" w:hAnsi="仿宋" w:eastAsia="仿宋" w:cs="仿宋"/>
          <w:lang w:eastAsia="zh-CN"/>
        </w:rPr>
      </w:pPr>
      <w:r>
        <w:rPr>
          <w:rFonts w:hint="eastAsia" w:ascii="仿宋" w:hAnsi="仿宋" w:eastAsia="仿宋" w:cs="仿宋"/>
          <w:lang w:eastAsia="zh-CN"/>
        </w:rPr>
        <w:t>对他人违章违纪不制止、不汇报的。</w:t>
      </w:r>
    </w:p>
    <w:p w14:paraId="2E0984BE">
      <w:pPr>
        <w:pStyle w:val="9"/>
        <w:numPr>
          <w:ilvl w:val="4"/>
          <w:numId w:val="2"/>
        </w:numPr>
        <w:spacing w:line="360" w:lineRule="auto"/>
        <w:rPr>
          <w:rFonts w:hint="eastAsia" w:ascii="仿宋" w:hAnsi="仿宋" w:eastAsia="仿宋" w:cs="仿宋"/>
          <w:lang w:eastAsia="zh-CN"/>
        </w:rPr>
      </w:pPr>
      <w:r>
        <w:rPr>
          <w:rFonts w:hint="eastAsia" w:ascii="仿宋" w:hAnsi="仿宋" w:eastAsia="仿宋" w:cs="仿宋"/>
          <w:lang w:eastAsia="zh-CN"/>
        </w:rPr>
        <w:t>车辆警示标贴褪色、破损未及时更换的。</w:t>
      </w:r>
    </w:p>
    <w:p w14:paraId="66D64DF1">
      <w:pPr>
        <w:pStyle w:val="9"/>
        <w:numPr>
          <w:ilvl w:val="4"/>
          <w:numId w:val="2"/>
        </w:numPr>
        <w:spacing w:line="360" w:lineRule="auto"/>
        <w:rPr>
          <w:rFonts w:hint="eastAsia" w:ascii="仿宋" w:hAnsi="仿宋" w:eastAsia="仿宋" w:cs="仿宋"/>
          <w:lang w:eastAsia="zh-CN"/>
        </w:rPr>
      </w:pPr>
      <w:r>
        <w:rPr>
          <w:rFonts w:hint="eastAsia" w:ascii="仿宋" w:hAnsi="仿宋" w:eastAsia="仿宋" w:cs="仿宋"/>
          <w:lang w:eastAsia="zh-CN"/>
        </w:rPr>
        <w:t>无故遮挡、断电、损坏、移动车辆驾驶室内摄像头的。</w:t>
      </w:r>
    </w:p>
    <w:p w14:paraId="04FC8BE7">
      <w:pPr>
        <w:pStyle w:val="9"/>
        <w:numPr>
          <w:ilvl w:val="4"/>
          <w:numId w:val="2"/>
        </w:numPr>
        <w:spacing w:line="360" w:lineRule="auto"/>
        <w:rPr>
          <w:rFonts w:hint="eastAsia" w:ascii="仿宋" w:hAnsi="仿宋" w:eastAsia="仿宋" w:cs="仿宋"/>
          <w:lang w:eastAsia="zh-CN"/>
        </w:rPr>
      </w:pPr>
      <w:r>
        <w:rPr>
          <w:rFonts w:hint="eastAsia" w:ascii="仿宋" w:hAnsi="仿宋" w:eastAsia="仿宋" w:cs="仿宋"/>
          <w:lang w:eastAsia="zh-CN"/>
        </w:rPr>
        <w:t>未按操作规程要求作业的。</w:t>
      </w:r>
    </w:p>
    <w:p w14:paraId="60765678">
      <w:pPr>
        <w:pStyle w:val="9"/>
        <w:numPr>
          <w:ilvl w:val="4"/>
          <w:numId w:val="2"/>
        </w:numPr>
        <w:spacing w:line="360" w:lineRule="auto"/>
        <w:rPr>
          <w:rFonts w:hint="eastAsia" w:ascii="仿宋" w:hAnsi="仿宋" w:eastAsia="仿宋" w:cs="仿宋"/>
          <w:lang w:eastAsia="zh-CN"/>
        </w:rPr>
      </w:pPr>
      <w:r>
        <w:rPr>
          <w:rFonts w:hint="eastAsia" w:ascii="仿宋" w:hAnsi="仿宋" w:eastAsia="仿宋" w:cs="仿宋"/>
          <w:lang w:eastAsia="zh-CN"/>
        </w:rPr>
        <w:t>将车辆GPS断电的。</w:t>
      </w:r>
    </w:p>
    <w:p w14:paraId="1E182543">
      <w:pPr>
        <w:pStyle w:val="9"/>
        <w:numPr>
          <w:ilvl w:val="4"/>
          <w:numId w:val="2"/>
        </w:numPr>
        <w:spacing w:line="360" w:lineRule="auto"/>
        <w:rPr>
          <w:rFonts w:hint="eastAsia" w:ascii="仿宋" w:hAnsi="仿宋" w:eastAsia="仿宋" w:cs="仿宋"/>
          <w:lang w:eastAsia="zh-CN"/>
        </w:rPr>
      </w:pPr>
      <w:r>
        <w:rPr>
          <w:rFonts w:hint="eastAsia" w:ascii="仿宋" w:hAnsi="仿宋" w:eastAsia="仿宋" w:cs="仿宋"/>
          <w:lang w:eastAsia="zh-CN"/>
        </w:rPr>
        <w:t>在休息时禁止将车辆停在交叉路口及公路车道上。</w:t>
      </w:r>
    </w:p>
    <w:p w14:paraId="40DDA8EC">
      <w:pPr>
        <w:pStyle w:val="9"/>
        <w:numPr>
          <w:ilvl w:val="4"/>
          <w:numId w:val="2"/>
        </w:numPr>
        <w:spacing w:line="360" w:lineRule="auto"/>
        <w:rPr>
          <w:rFonts w:hint="eastAsia" w:ascii="仿宋" w:hAnsi="仿宋" w:eastAsia="仿宋" w:cs="仿宋"/>
          <w:lang w:eastAsia="zh-CN"/>
        </w:rPr>
      </w:pPr>
      <w:r>
        <w:rPr>
          <w:rFonts w:hint="eastAsia" w:ascii="仿宋" w:hAnsi="仿宋" w:eastAsia="仿宋" w:cs="仿宋"/>
          <w:lang w:eastAsia="zh-CN"/>
        </w:rPr>
        <w:t>严禁抢信号灯行驶。</w:t>
      </w:r>
    </w:p>
    <w:p w14:paraId="3899C7E6">
      <w:pPr>
        <w:pStyle w:val="9"/>
        <w:numPr>
          <w:ilvl w:val="4"/>
          <w:numId w:val="2"/>
        </w:numPr>
        <w:spacing w:line="360" w:lineRule="auto"/>
        <w:rPr>
          <w:rFonts w:hint="eastAsia" w:ascii="仿宋" w:hAnsi="仿宋" w:eastAsia="仿宋" w:cs="仿宋"/>
          <w:lang w:eastAsia="zh-CN"/>
        </w:rPr>
      </w:pPr>
      <w:r>
        <w:rPr>
          <w:rFonts w:hint="eastAsia" w:ascii="仿宋" w:hAnsi="仿宋" w:eastAsia="仿宋" w:cs="仿宋"/>
          <w:lang w:val="en-US" w:eastAsia="zh-CN"/>
        </w:rPr>
        <w:t>车辆辅助工（挂桶工）挂在车外，未进驾驶室而驾驶车辆的。</w:t>
      </w:r>
    </w:p>
    <w:p w14:paraId="06FF42A8">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以上为安全驾驶底线要求，用车单位可根据生产作业实际情况提升车辆安全驾驶管理要求，避免交通安全事故的发生。违反规定视情节严重程度予以罚款，造成事故，按照事故严重程度，与本规定合并处罚。</w:t>
      </w:r>
    </w:p>
    <w:p w14:paraId="1D3AABD7">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严格按照车辆保养里程数进行及时保养，严格遵守车辆维修审批流程，逐级进行审批。</w:t>
      </w:r>
      <w:r>
        <w:rPr>
          <w:rFonts w:hint="eastAsia" w:ascii="仿宋" w:hAnsi="仿宋" w:eastAsia="仿宋" w:cs="仿宋"/>
          <w:b/>
          <w:bCs/>
          <w:lang w:eastAsia="zh-CN"/>
        </w:rPr>
        <w:t>驾驶员应监督维修厂家进行维修</w:t>
      </w:r>
      <w:r>
        <w:rPr>
          <w:rFonts w:hint="eastAsia" w:ascii="仿宋" w:hAnsi="仿宋" w:eastAsia="仿宋" w:cs="仿宋"/>
          <w:lang w:eastAsia="zh-CN"/>
        </w:rPr>
        <w:t>，以便掌握维修项目的到位情况和质量，驾驶员要亲自调试合格后方可在维修确认单上签字认可，违者给予罚款处罚。</w:t>
      </w:r>
    </w:p>
    <w:p w14:paraId="18FDFA19">
      <w:pPr>
        <w:pStyle w:val="7"/>
        <w:numPr>
          <w:ilvl w:val="0"/>
          <w:numId w:val="2"/>
        </w:numPr>
        <w:outlineLvl w:val="0"/>
        <w:rPr>
          <w:rFonts w:hint="eastAsia" w:ascii="仿宋" w:hAnsi="仿宋" w:eastAsia="仿宋" w:cs="仿宋"/>
          <w:sz w:val="28"/>
          <w:szCs w:val="28"/>
          <w:lang w:eastAsia="zh-CN"/>
        </w:rPr>
      </w:pPr>
      <w:bookmarkStart w:id="19" w:name="_Toc25064"/>
      <w:r>
        <w:rPr>
          <w:rFonts w:hint="eastAsia" w:ascii="仿宋" w:hAnsi="仿宋" w:eastAsia="仿宋" w:cs="仿宋"/>
          <w:sz w:val="28"/>
          <w:szCs w:val="28"/>
          <w:lang w:eastAsia="zh-CN"/>
        </w:rPr>
        <w:t>工作环境的安全、清洁违规处罚</w:t>
      </w:r>
      <w:bookmarkEnd w:id="19"/>
    </w:p>
    <w:p w14:paraId="05AAEAC3">
      <w:pPr>
        <w:spacing w:line="360" w:lineRule="auto"/>
        <w:ind w:firstLine="480" w:firstLineChars="200"/>
        <w:rPr>
          <w:rFonts w:hint="eastAsia" w:ascii="仿宋" w:hAnsi="仿宋" w:eastAsia="仿宋" w:cs="仿宋"/>
          <w:sz w:val="24"/>
          <w:szCs w:val="24"/>
          <w:lang w:eastAsia="zh-CN"/>
        </w:rPr>
      </w:pPr>
      <w:r>
        <w:rPr>
          <w:rFonts w:hint="eastAsia" w:ascii="仿宋" w:hAnsi="仿宋" w:eastAsia="仿宋" w:cs="仿宋"/>
          <w:sz w:val="24"/>
          <w:szCs w:val="24"/>
          <w:lang w:eastAsia="zh-CN"/>
        </w:rPr>
        <w:t>工作环境的安全、清洁未达到公司安全管理制度、操作规程、奖惩制度或其他规章制度要求，对责任人处50-500元罚款。一个月内重复违反规定，处100-1000元罚款并对上一级相关责任人、部门负责人处罚款金额的百分之五十至百分之百。</w:t>
      </w:r>
    </w:p>
    <w:p w14:paraId="4683550A">
      <w:pPr>
        <w:spacing w:line="360" w:lineRule="auto"/>
        <w:ind w:firstLine="480" w:firstLineChars="200"/>
        <w:rPr>
          <w:rFonts w:hint="eastAsia" w:ascii="仿宋" w:hAnsi="仿宋" w:eastAsia="仿宋" w:cs="仿宋"/>
          <w:sz w:val="24"/>
          <w:szCs w:val="24"/>
          <w:lang w:eastAsia="zh-CN"/>
        </w:rPr>
      </w:pPr>
      <w:r>
        <w:rPr>
          <w:rFonts w:hint="eastAsia" w:ascii="仿宋" w:hAnsi="仿宋" w:eastAsia="仿宋" w:cs="仿宋"/>
          <w:sz w:val="24"/>
          <w:szCs w:val="24"/>
          <w:lang w:eastAsia="zh-CN"/>
        </w:rPr>
        <w:t>违反奖惩制度的具体行为如下：</w:t>
      </w:r>
    </w:p>
    <w:p w14:paraId="75719CD9">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宿舍、休息室的安全、环境管理规定。</w:t>
      </w:r>
    </w:p>
    <w:p w14:paraId="157E1CB2">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保持环境整洁，卫生达标，地面无油污积水。</w:t>
      </w:r>
    </w:p>
    <w:p w14:paraId="2D51D019">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禁止使用大功率用电器。</w:t>
      </w:r>
    </w:p>
    <w:p w14:paraId="4859833D">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禁止使用小太阳、电热毯。</w:t>
      </w:r>
    </w:p>
    <w:p w14:paraId="2E93B32B">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禁止私拉乱接电线，禁止使用私自改装、不符合安全标准的插线板、充电器。</w:t>
      </w:r>
    </w:p>
    <w:p w14:paraId="1A014232">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做到人走电断，关闭插排、灯具、空调等用电设施。</w:t>
      </w:r>
    </w:p>
    <w:p w14:paraId="24F89817">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宿舍内禁止吸烟。</w:t>
      </w:r>
    </w:p>
    <w:p w14:paraId="23606CE3">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宿舍内禁止存放有毒有害物质。</w:t>
      </w:r>
    </w:p>
    <w:p w14:paraId="5AF8BD9A">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个人物品随身保管，丢失财物公司概不负责。</w:t>
      </w:r>
    </w:p>
    <w:p w14:paraId="4EB529A4">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禁止挪动宿舍内消防设施，场地负责人安排专人负责对消防设施进行清理、点检。</w:t>
      </w:r>
    </w:p>
    <w:p w14:paraId="030E4CA2">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违反以上规定，予以罚款。造成安全事故、火灾隐患的，按照严重程度与本规定合并处罚。</w:t>
      </w:r>
    </w:p>
    <w:p w14:paraId="7F342EE0">
      <w:pPr>
        <w:pStyle w:val="9"/>
        <w:numPr>
          <w:ilvl w:val="1"/>
          <w:numId w:val="2"/>
        </w:numPr>
        <w:spacing w:line="360" w:lineRule="auto"/>
        <w:ind w:left="0" w:firstLine="0"/>
        <w:rPr>
          <w:rFonts w:hint="eastAsia" w:ascii="仿宋" w:hAnsi="仿宋" w:eastAsia="仿宋" w:cs="仿宋"/>
          <w:b/>
          <w:bCs/>
          <w:lang w:eastAsia="zh-CN"/>
        </w:rPr>
      </w:pPr>
      <w:r>
        <w:rPr>
          <w:rFonts w:hint="eastAsia" w:ascii="仿宋" w:hAnsi="仿宋" w:eastAsia="仿宋" w:cs="仿宋"/>
          <w:b/>
          <w:bCs/>
          <w:lang w:eastAsia="zh-CN"/>
        </w:rPr>
        <w:t>转运站安全、环境管理规定。</w:t>
      </w:r>
    </w:p>
    <w:p w14:paraId="00F341C3">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地面无油污、积水。</w:t>
      </w:r>
    </w:p>
    <w:p w14:paraId="562A4DDF">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定期对作业现场进行消杀。</w:t>
      </w:r>
    </w:p>
    <w:p w14:paraId="7CFAD78A">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保持通风。</w:t>
      </w:r>
    </w:p>
    <w:p w14:paraId="1F839D9E">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保持现场卫生达标。</w:t>
      </w:r>
    </w:p>
    <w:p w14:paraId="44833234">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现场水路管线无跑冒滴漏、电气线路绝缘有效、保护有效。严禁私拉乱接电线。</w:t>
      </w:r>
    </w:p>
    <w:p w14:paraId="62B38497">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现场安全警示标识、地面警示标线、标志牌张贴位置合理，完整有效。</w:t>
      </w:r>
    </w:p>
    <w:p w14:paraId="6E6C29CA">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各类工具、消杀药品、劳保用品有序摆放。</w:t>
      </w:r>
    </w:p>
    <w:p w14:paraId="58F05F1E">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灯光照明设置合理、安全、有效。</w:t>
      </w:r>
    </w:p>
    <w:p w14:paraId="7141FBE5">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消防设施完整有效，场地负责人安排专人负责对消防设施进行清理、点检。</w:t>
      </w:r>
    </w:p>
    <w:p w14:paraId="4494EBB4">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设备安全状况、安全附件等无异常情况。</w:t>
      </w:r>
    </w:p>
    <w:p w14:paraId="4D91AA30">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严格落实有限空间作业管理规定。</w:t>
      </w:r>
    </w:p>
    <w:p w14:paraId="70D5C68E">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严格管理垃圾收、转运车辆进站作业相关规定，严防安全生产事故。</w:t>
      </w:r>
    </w:p>
    <w:p w14:paraId="17E4A5EA">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严格落实压缩设备垃圾仓清理相关规定，严防安全生产事故。</w:t>
      </w:r>
    </w:p>
    <w:p w14:paraId="18D58888">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违反以上规定，予以罚款。造成事故的，按照事故严重程度与本规定合并处罚。</w:t>
      </w:r>
    </w:p>
    <w:p w14:paraId="21626222">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b/>
          <w:bCs/>
          <w:lang w:eastAsia="zh-CN"/>
        </w:rPr>
        <w:t>办公楼、库房安全、环境管理规定。</w:t>
      </w:r>
    </w:p>
    <w:p w14:paraId="378D95BA">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环境干净整洁、物品有序摆放，地面无油污积水。</w:t>
      </w:r>
    </w:p>
    <w:p w14:paraId="25354996">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禁止私拉乱接电线，禁止使用私自改装、不符合安全标准的插线板、充电器、用电设施等。</w:t>
      </w:r>
    </w:p>
    <w:p w14:paraId="73BFABAE">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禁止存放有毒有害物质。</w:t>
      </w:r>
    </w:p>
    <w:p w14:paraId="56293EA5">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安全警示标识、标志牌张贴位置合理，完整有效。</w:t>
      </w:r>
    </w:p>
    <w:p w14:paraId="0A5ADEDC">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禁止随意挪动消防设施，人力综合部负责人安排专人负责对消防设施进行清理、点检，确保消防设施安全有效。</w:t>
      </w:r>
    </w:p>
    <w:p w14:paraId="1E900FB7">
      <w:pPr>
        <w:pStyle w:val="9"/>
        <w:numPr>
          <w:ilvl w:val="2"/>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办公楼、库房等现场负责人由主管部门负责人指定，未指定的由主管部门负责人担任。违反以上规定，予以罚款。造成事故的，按照事故严重程度与本规定合并处罚。</w:t>
      </w:r>
    </w:p>
    <w:p w14:paraId="5150210A">
      <w:pPr>
        <w:pStyle w:val="7"/>
        <w:numPr>
          <w:ilvl w:val="0"/>
          <w:numId w:val="2"/>
        </w:numPr>
        <w:outlineLvl w:val="0"/>
        <w:rPr>
          <w:rFonts w:hint="eastAsia" w:ascii="仿宋" w:hAnsi="仿宋" w:eastAsia="仿宋" w:cs="仿宋"/>
          <w:sz w:val="28"/>
          <w:szCs w:val="28"/>
          <w:lang w:eastAsia="zh-CN"/>
        </w:rPr>
      </w:pPr>
      <w:bookmarkStart w:id="20" w:name="_Toc29176"/>
      <w:r>
        <w:rPr>
          <w:rFonts w:hint="eastAsia" w:ascii="仿宋" w:hAnsi="仿宋" w:eastAsia="仿宋" w:cs="仿宋"/>
          <w:sz w:val="28"/>
          <w:szCs w:val="28"/>
          <w:lang w:eastAsia="zh-CN"/>
        </w:rPr>
        <w:t>危险作业、特殊作业违规处罚</w:t>
      </w:r>
      <w:bookmarkEnd w:id="20"/>
    </w:p>
    <w:p w14:paraId="3922E2C2">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未严格落实有限空间作业审批制度、未按规定对有限空间作业进行安全培训、安全技术交底、风险辨识、作业前检查、劳保用品检查、电气设备检查、作业工具及机械设备检查、人员清点、通讯设施检查、应急物资检查、作业警戒、先通风后检测再作业等相关规定的，予以罚款，发生事故，按照事故严重程度，与本规定合并处罚，并降职、降薪、劝退。</w:t>
      </w:r>
    </w:p>
    <w:p w14:paraId="494417CD">
      <w:pPr>
        <w:pStyle w:val="9"/>
        <w:numPr>
          <w:ilvl w:val="1"/>
          <w:numId w:val="2"/>
        </w:numPr>
        <w:spacing w:line="360" w:lineRule="auto"/>
        <w:ind w:left="0" w:firstLine="0"/>
        <w:rPr>
          <w:rFonts w:ascii="仿宋" w:hAnsi="仿宋" w:eastAsia="仿宋" w:cs="仿宋"/>
          <w:lang w:eastAsia="zh-CN"/>
        </w:rPr>
      </w:pPr>
      <w:r>
        <w:rPr>
          <w:rFonts w:hint="eastAsia" w:ascii="仿宋" w:hAnsi="仿宋" w:eastAsia="仿宋" w:cs="仿宋"/>
          <w:lang w:eastAsia="zh-CN"/>
        </w:rPr>
        <w:t>其他危险作业、特殊作业未进行作业前安全培训、安全技术交底、安全检查、风险辨识、劳保用品等作业准备，作业过程中存在现场混乱、发生违章作业、危险行为的，予以罚款，发生安全事故按照事故严重程度，与本规定合并处罚。</w:t>
      </w:r>
    </w:p>
    <w:p w14:paraId="4126A3AF">
      <w:pPr>
        <w:pStyle w:val="7"/>
        <w:numPr>
          <w:ilvl w:val="0"/>
          <w:numId w:val="2"/>
        </w:numPr>
        <w:outlineLvl w:val="0"/>
        <w:rPr>
          <w:rFonts w:ascii="仿宋" w:hAnsi="仿宋" w:eastAsia="仿宋" w:cs="仿宋"/>
          <w:sz w:val="28"/>
          <w:szCs w:val="28"/>
          <w:lang w:eastAsia="zh-CN"/>
        </w:rPr>
      </w:pPr>
      <w:bookmarkStart w:id="21" w:name="_Toc22833"/>
      <w:r>
        <w:rPr>
          <w:rFonts w:hint="eastAsia" w:ascii="仿宋" w:hAnsi="仿宋" w:eastAsia="仿宋" w:cs="仿宋"/>
          <w:sz w:val="28"/>
          <w:szCs w:val="28"/>
          <w:lang w:eastAsia="zh-CN"/>
        </w:rPr>
        <w:t>环境保护</w:t>
      </w:r>
      <w:bookmarkEnd w:id="21"/>
    </w:p>
    <w:p w14:paraId="3F48664E">
      <w:pPr>
        <w:pStyle w:val="9"/>
        <w:numPr>
          <w:ilvl w:val="1"/>
          <w:numId w:val="2"/>
        </w:numPr>
        <w:spacing w:line="360" w:lineRule="auto"/>
        <w:ind w:left="0" w:firstLine="0"/>
        <w:rPr>
          <w:rFonts w:hint="eastAsia" w:ascii="仿宋" w:hAnsi="仿宋" w:eastAsia="仿宋" w:cs="仿宋"/>
          <w:color w:val="auto"/>
          <w:lang w:eastAsia="zh-CN"/>
        </w:rPr>
      </w:pPr>
      <w:r>
        <w:rPr>
          <w:rFonts w:hint="eastAsia" w:ascii="仿宋" w:hAnsi="仿宋" w:eastAsia="仿宋" w:cs="仿宋"/>
          <w:color w:val="auto"/>
          <w:lang w:val="en-US" w:eastAsia="zh-CN"/>
        </w:rPr>
        <w:t>严禁向转运站外的任何地方</w:t>
      </w:r>
      <w:r>
        <w:rPr>
          <w:rFonts w:hint="eastAsia" w:ascii="仿宋" w:hAnsi="仿宋" w:eastAsia="仿宋" w:cs="仿宋"/>
          <w:color w:val="auto"/>
          <w:lang w:eastAsia="zh-CN"/>
        </w:rPr>
        <w:t>倾倒、洒落渗滤液。</w:t>
      </w:r>
    </w:p>
    <w:p w14:paraId="2B359D08">
      <w:pPr>
        <w:pStyle w:val="9"/>
        <w:numPr>
          <w:ilvl w:val="1"/>
          <w:numId w:val="2"/>
        </w:numPr>
        <w:spacing w:line="360" w:lineRule="auto"/>
        <w:ind w:left="0" w:firstLine="0"/>
        <w:rPr>
          <w:rFonts w:hint="eastAsia" w:ascii="仿宋" w:hAnsi="仿宋" w:eastAsia="仿宋" w:cs="仿宋"/>
          <w:color w:val="auto"/>
          <w:lang w:eastAsia="zh-CN"/>
        </w:rPr>
      </w:pPr>
      <w:r>
        <w:rPr>
          <w:rFonts w:hint="eastAsia" w:ascii="仿宋" w:hAnsi="仿宋" w:eastAsia="仿宋" w:cs="仿宋"/>
          <w:color w:val="auto"/>
          <w:lang w:val="en-US" w:eastAsia="zh-CN"/>
        </w:rPr>
        <w:t>转运站内</w:t>
      </w:r>
      <w:r>
        <w:rPr>
          <w:rFonts w:hint="eastAsia" w:ascii="仿宋" w:hAnsi="仿宋" w:eastAsia="仿宋" w:cs="仿宋"/>
          <w:color w:val="auto"/>
          <w:lang w:eastAsia="zh-CN"/>
        </w:rPr>
        <w:t>应无垃圾遗撒、污水积存、渗沥液（粪液）污渍、堆放杂物等现象。</w:t>
      </w:r>
    </w:p>
    <w:p w14:paraId="29A0F746">
      <w:pPr>
        <w:pStyle w:val="9"/>
        <w:numPr>
          <w:ilvl w:val="1"/>
          <w:numId w:val="2"/>
        </w:numPr>
        <w:spacing w:line="360" w:lineRule="auto"/>
        <w:ind w:left="0" w:firstLine="0"/>
        <w:rPr>
          <w:rFonts w:hint="eastAsia" w:ascii="仿宋" w:hAnsi="仿宋" w:eastAsia="仿宋" w:cs="仿宋"/>
          <w:color w:val="auto"/>
          <w:lang w:eastAsia="zh-CN"/>
        </w:rPr>
      </w:pPr>
      <w:r>
        <w:rPr>
          <w:rFonts w:hint="eastAsia" w:ascii="仿宋" w:hAnsi="仿宋" w:eastAsia="仿宋" w:cs="仿宋"/>
          <w:color w:val="auto"/>
          <w:lang w:eastAsia="zh-CN"/>
        </w:rPr>
        <w:t>转运站渗沥液运输、处理、处置合规。</w:t>
      </w:r>
    </w:p>
    <w:p w14:paraId="5B602B4D">
      <w:pPr>
        <w:pStyle w:val="9"/>
        <w:numPr>
          <w:ilvl w:val="1"/>
          <w:numId w:val="2"/>
        </w:numPr>
        <w:spacing w:line="360" w:lineRule="auto"/>
        <w:ind w:left="0" w:firstLine="0"/>
        <w:rPr>
          <w:rFonts w:hint="eastAsia" w:ascii="仿宋" w:hAnsi="仿宋" w:eastAsia="仿宋" w:cs="仿宋"/>
          <w:color w:val="auto"/>
          <w:lang w:eastAsia="zh-CN"/>
        </w:rPr>
      </w:pPr>
      <w:r>
        <w:rPr>
          <w:rFonts w:hint="eastAsia" w:ascii="仿宋" w:hAnsi="仿宋" w:eastAsia="仿宋" w:cs="仿宋"/>
          <w:color w:val="auto"/>
          <w:lang w:eastAsia="zh-CN"/>
        </w:rPr>
        <w:t>建立渗沥液处理台账，确保运出总量与污水厂接收量一致，台账完整，数据按次进行填报，禁止补签补录。</w:t>
      </w:r>
    </w:p>
    <w:p w14:paraId="109B48FE">
      <w:pPr>
        <w:pStyle w:val="9"/>
        <w:numPr>
          <w:ilvl w:val="1"/>
          <w:numId w:val="2"/>
        </w:numPr>
        <w:spacing w:line="360" w:lineRule="auto"/>
        <w:ind w:left="0" w:firstLine="0"/>
        <w:rPr>
          <w:rFonts w:hint="eastAsia" w:ascii="仿宋" w:hAnsi="仿宋" w:eastAsia="仿宋" w:cs="仿宋"/>
          <w:color w:val="auto"/>
          <w:lang w:eastAsia="zh-CN"/>
        </w:rPr>
      </w:pPr>
      <w:r>
        <w:rPr>
          <w:rFonts w:hint="eastAsia" w:ascii="仿宋" w:hAnsi="仿宋" w:eastAsia="仿宋" w:cs="仿宋"/>
          <w:color w:val="auto"/>
          <w:lang w:val="en-US" w:eastAsia="zh-CN"/>
        </w:rPr>
        <w:t>禁止点火，如焚烧垃圾、落叶等行为，由此造成的损失由本人自行负责。</w:t>
      </w:r>
    </w:p>
    <w:p w14:paraId="44B29639">
      <w:pPr>
        <w:pStyle w:val="9"/>
        <w:numPr>
          <w:ilvl w:val="1"/>
          <w:numId w:val="2"/>
        </w:numPr>
        <w:spacing w:line="360" w:lineRule="auto"/>
        <w:ind w:left="0" w:firstLine="0"/>
        <w:rPr>
          <w:rFonts w:hint="eastAsia" w:ascii="仿宋" w:hAnsi="仿宋" w:eastAsia="仿宋" w:cs="仿宋"/>
          <w:color w:val="auto"/>
          <w:lang w:eastAsia="zh-CN"/>
        </w:rPr>
      </w:pPr>
      <w:r>
        <w:rPr>
          <w:rFonts w:hint="eastAsia" w:ascii="仿宋" w:hAnsi="仿宋" w:eastAsia="仿宋" w:cs="仿宋"/>
          <w:color w:val="auto"/>
          <w:lang w:eastAsia="zh-CN"/>
        </w:rPr>
        <w:t>其他给公司造成不良影响或违反国家法律法规及公司安全管理规定的行为。</w:t>
      </w:r>
    </w:p>
    <w:p w14:paraId="5E1F0F9B">
      <w:pPr>
        <w:pStyle w:val="9"/>
        <w:numPr>
          <w:ilvl w:val="1"/>
          <w:numId w:val="2"/>
        </w:numPr>
        <w:spacing w:line="360" w:lineRule="auto"/>
        <w:ind w:left="0" w:firstLine="0"/>
        <w:rPr>
          <w:rFonts w:hint="eastAsia" w:ascii="仿宋" w:hAnsi="仿宋" w:eastAsia="仿宋" w:cs="仿宋"/>
          <w:color w:val="auto"/>
          <w:lang w:eastAsia="zh-CN"/>
        </w:rPr>
      </w:pPr>
      <w:r>
        <w:rPr>
          <w:rFonts w:hint="eastAsia" w:ascii="仿宋" w:hAnsi="仿宋" w:eastAsia="仿宋" w:cs="仿宋"/>
          <w:color w:val="auto"/>
          <w:lang w:eastAsia="zh-CN"/>
        </w:rPr>
        <w:t>违者予以罚款、</w:t>
      </w:r>
      <w:r>
        <w:rPr>
          <w:rFonts w:hint="eastAsia" w:ascii="仿宋" w:hAnsi="仿宋" w:eastAsia="仿宋" w:cs="仿宋"/>
          <w:color w:val="auto"/>
          <w:lang w:val="en-US" w:eastAsia="zh-CN"/>
        </w:rPr>
        <w:t>调薪、调岗、劝退</w:t>
      </w:r>
      <w:r>
        <w:rPr>
          <w:rFonts w:hint="eastAsia" w:ascii="仿宋" w:hAnsi="仿宋" w:eastAsia="仿宋" w:cs="仿宋"/>
          <w:color w:val="auto"/>
          <w:lang w:eastAsia="zh-CN"/>
        </w:rPr>
        <w:t>，造成事故的，按照事故严重程度，与本规定合并处罚。</w:t>
      </w:r>
    </w:p>
    <w:p w14:paraId="1E734D91">
      <w:pPr>
        <w:pStyle w:val="7"/>
        <w:numPr>
          <w:ilvl w:val="0"/>
          <w:numId w:val="2"/>
        </w:numPr>
        <w:outlineLvl w:val="0"/>
        <w:rPr>
          <w:rFonts w:hint="eastAsia" w:ascii="仿宋" w:hAnsi="仿宋" w:eastAsia="仿宋" w:cs="仿宋"/>
          <w:sz w:val="28"/>
          <w:szCs w:val="28"/>
          <w:lang w:eastAsia="zh-CN"/>
        </w:rPr>
      </w:pPr>
      <w:bookmarkStart w:id="22" w:name="_Toc27390"/>
      <w:r>
        <w:rPr>
          <w:rFonts w:hint="eastAsia" w:ascii="仿宋" w:hAnsi="仿宋" w:eastAsia="仿宋" w:cs="仿宋"/>
          <w:sz w:val="28"/>
          <w:szCs w:val="28"/>
          <w:lang w:eastAsia="zh-CN"/>
        </w:rPr>
        <w:t>严重违纪处罚</w:t>
      </w:r>
      <w:bookmarkEnd w:id="22"/>
    </w:p>
    <w:p w14:paraId="0CF9069B">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一年内发生三起次责（含）以上责任事故的驾驶员予以双倍安全事故处罚并降职、降薪或劝退；超速75%以上的驾驶员予以降职、降薪处分，发生事故予以双倍安全事故处罚并承担车辆损失。</w:t>
      </w:r>
    </w:p>
    <w:p w14:paraId="74F0B58D">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酒后驾驶当事人处1000-2000元罚款并劝退；部门相关责任人处罚款金额的百分之五十至百分之百，发生事故的，合并事故处罚。</w:t>
      </w:r>
    </w:p>
    <w:p w14:paraId="40CB2461">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情绪驾驶当事人处1000-2000元罚款并劝退，发生事故的，合并事故处罚。</w:t>
      </w:r>
    </w:p>
    <w:p w14:paraId="7AC799B1">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强令带病继续作业、强令冒险作业，责任人罚款1000元并调离岗位，情节严重的予以降职、降薪、劝退。</w:t>
      </w:r>
    </w:p>
    <w:p w14:paraId="358E8067">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未严格执行病假请销相关规定，造成员工带病返岗并发生事故，按照事故严重程度，与安全管理处罚合并处罚，并降职、降薪或劝退。</w:t>
      </w:r>
    </w:p>
    <w:p w14:paraId="1002F303">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未严格落实有限空间作业审批制度和相关规定的，予以罚款，发生事故，按照事故严重程度，与危险作业、特殊作业违规处罚合并处罚，并降职、降薪、劝退。</w:t>
      </w:r>
    </w:p>
    <w:p w14:paraId="5A7B03C6">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驾驶员发生交通事故逃逸的，除承担法律责任外，予以2000元罚款处罚，合并事故处罚，并劝退。</w:t>
      </w:r>
    </w:p>
    <w:p w14:paraId="39502DA9">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其他岗位酒后上岗，违者罚款500元并降职、降薪、劝退处分。</w:t>
      </w:r>
    </w:p>
    <w:p w14:paraId="2C96F62B">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除驾驶员外，存在顶岗、替岗现象的人员罚款200元视情节轻重予以降职、降薪处分。</w:t>
      </w:r>
    </w:p>
    <w:p w14:paraId="3D7E2511">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迟报、瞒报、谎报事故情况造成严重后果的，合并事故处罚并予以降职、降薪、劝退处分并移交司法部门处理。</w:t>
      </w:r>
    </w:p>
    <w:p w14:paraId="1A7ECDA9">
      <w:pPr>
        <w:pStyle w:val="7"/>
        <w:numPr>
          <w:ilvl w:val="0"/>
          <w:numId w:val="2"/>
        </w:numPr>
        <w:outlineLvl w:val="0"/>
        <w:rPr>
          <w:rFonts w:hint="eastAsia" w:ascii="仿宋" w:hAnsi="仿宋" w:eastAsia="仿宋" w:cs="仿宋"/>
          <w:sz w:val="28"/>
          <w:szCs w:val="28"/>
          <w:lang w:eastAsia="zh-CN"/>
        </w:rPr>
      </w:pPr>
      <w:bookmarkStart w:id="23" w:name="_Toc30235"/>
      <w:r>
        <w:rPr>
          <w:rFonts w:hint="eastAsia" w:ascii="仿宋" w:hAnsi="仿宋" w:eastAsia="仿宋" w:cs="仿宋"/>
          <w:sz w:val="28"/>
          <w:szCs w:val="28"/>
          <w:lang w:eastAsia="zh-CN"/>
        </w:rPr>
        <w:t>附则</w:t>
      </w:r>
      <w:bookmarkEnd w:id="23"/>
    </w:p>
    <w:p w14:paraId="1187CF2C">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对维护安全生产和坚持原则的人员进行报复或陷害的，视其情节轻重，分别处1000-3000元罚款,情节恶劣者交由司法机关处理。</w:t>
      </w:r>
    </w:p>
    <w:p w14:paraId="22DE249E">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顶撞、辱骂、诽谤、恐吓、打架斗殴等行为予以1000-3000元罚款,情节恶劣者予以降职、降薪、劝退处分并移交司法部门处理。</w:t>
      </w:r>
    </w:p>
    <w:p w14:paraId="57452173">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公司人员个人行为对公司造成负面影响、舆论影响，处1000-3000元罚款,并降职、降薪、劝退处理。</w:t>
      </w:r>
    </w:p>
    <w:p w14:paraId="275C304E">
      <w:pPr>
        <w:pStyle w:val="9"/>
        <w:numPr>
          <w:ilvl w:val="1"/>
          <w:numId w:val="2"/>
        </w:numPr>
        <w:spacing w:line="360" w:lineRule="auto"/>
        <w:ind w:left="0" w:firstLine="0"/>
        <w:rPr>
          <w:rFonts w:hint="eastAsia" w:ascii="仿宋" w:hAnsi="仿宋" w:eastAsia="仿宋" w:cs="仿宋"/>
          <w:lang w:eastAsia="zh-CN"/>
        </w:rPr>
      </w:pPr>
      <w:r>
        <w:rPr>
          <w:rFonts w:hint="eastAsia" w:ascii="仿宋" w:hAnsi="仿宋" w:eastAsia="仿宋" w:cs="仿宋"/>
          <w:lang w:eastAsia="zh-CN"/>
        </w:rPr>
        <w:t>本制度未列事项，根据公司有关的管理规定</w:t>
      </w:r>
      <w:r>
        <w:rPr>
          <w:rFonts w:hint="eastAsia" w:ascii="仿宋" w:hAnsi="仿宋" w:eastAsia="仿宋" w:cs="仿宋"/>
          <w:lang w:val="en-US" w:eastAsia="zh-CN"/>
        </w:rPr>
        <w:t>考核</w:t>
      </w:r>
      <w:r>
        <w:rPr>
          <w:rFonts w:hint="eastAsia" w:ascii="仿宋" w:hAnsi="仿宋" w:eastAsia="仿宋" w:cs="仿宋"/>
          <w:lang w:eastAsia="zh-CN"/>
        </w:rPr>
        <w:t>，并对照本制度有关条款进行处罚。</w:t>
      </w:r>
    </w:p>
    <w:p w14:paraId="5F1EC240">
      <w:pPr>
        <w:pStyle w:val="9"/>
        <w:numPr>
          <w:ilvl w:val="1"/>
          <w:numId w:val="2"/>
        </w:numPr>
        <w:spacing w:line="360" w:lineRule="auto"/>
        <w:ind w:left="0" w:firstLine="0"/>
        <w:rPr>
          <w:rFonts w:ascii="仿宋" w:hAnsi="仿宋" w:eastAsia="仿宋" w:cs="仿宋"/>
          <w:lang w:eastAsia="zh-CN"/>
        </w:rPr>
      </w:pPr>
      <w:r>
        <w:rPr>
          <w:rFonts w:hint="eastAsia" w:ascii="仿宋" w:hAnsi="仿宋" w:eastAsia="仿宋" w:cs="仿宋"/>
          <w:lang w:eastAsia="zh-CN"/>
        </w:rPr>
        <w:t>本制度由安环部每</w:t>
      </w:r>
      <w:r>
        <w:rPr>
          <w:rFonts w:hint="eastAsia" w:ascii="仿宋" w:hAnsi="仿宋" w:eastAsia="仿宋" w:cs="仿宋"/>
          <w:lang w:val="en-US" w:eastAsia="zh-CN"/>
        </w:rPr>
        <w:t>季度</w:t>
      </w:r>
      <w:r>
        <w:rPr>
          <w:rFonts w:hint="eastAsia" w:ascii="仿宋" w:hAnsi="仿宋" w:eastAsia="仿宋" w:cs="仿宋"/>
          <w:lang w:eastAsia="zh-CN"/>
        </w:rPr>
        <w:t>进行一次修订并公示，报分管负责人、主要负责人审批。</w:t>
      </w:r>
    </w:p>
    <w:p w14:paraId="137F549F">
      <w:pPr>
        <w:pStyle w:val="9"/>
        <w:numPr>
          <w:ilvl w:val="1"/>
          <w:numId w:val="2"/>
        </w:numPr>
        <w:spacing w:line="360" w:lineRule="auto"/>
        <w:ind w:left="0" w:firstLine="0"/>
        <w:rPr>
          <w:rFonts w:ascii="仿宋" w:hAnsi="仿宋" w:eastAsia="仿宋" w:cs="仿宋"/>
          <w:lang w:eastAsia="zh-CN"/>
        </w:rPr>
      </w:pPr>
      <w:r>
        <w:rPr>
          <w:rFonts w:hint="eastAsia" w:ascii="仿宋" w:hAnsi="仿宋" w:eastAsia="仿宋" w:cs="仿宋"/>
          <w:lang w:val="en-US" w:eastAsia="zh-CN"/>
        </w:rPr>
        <w:t>本规定由宁津项目公司安环品质部负责解释。</w:t>
      </w:r>
    </w:p>
    <w:p w14:paraId="34248C5F">
      <w:pPr>
        <w:pStyle w:val="9"/>
        <w:numPr>
          <w:ilvl w:val="1"/>
          <w:numId w:val="2"/>
        </w:numPr>
        <w:spacing w:line="360" w:lineRule="auto"/>
        <w:ind w:left="0" w:firstLine="0"/>
        <w:rPr>
          <w:rFonts w:ascii="仿宋" w:hAnsi="仿宋" w:eastAsia="仿宋" w:cs="仿宋"/>
          <w:lang w:eastAsia="zh-CN"/>
        </w:rPr>
      </w:pPr>
      <w:r>
        <w:rPr>
          <w:rFonts w:hint="eastAsia" w:ascii="仿宋" w:hAnsi="仿宋" w:eastAsia="仿宋" w:cs="仿宋"/>
          <w:lang w:val="en-US" w:eastAsia="zh-CN"/>
        </w:rPr>
        <w:t>本规定自发布之日起施行。</w:t>
      </w:r>
    </w:p>
    <w:p w14:paraId="5FC3BBDE">
      <w:pPr>
        <w:pStyle w:val="9"/>
        <w:spacing w:line="360" w:lineRule="auto"/>
        <w:rPr>
          <w:rFonts w:ascii="仿宋" w:hAnsi="仿宋" w:eastAsia="仿宋" w:cs="仿宋"/>
          <w:lang w:eastAsia="zh-CN"/>
        </w:rPr>
      </w:pPr>
    </w:p>
    <w:p w14:paraId="52F374EA">
      <w:pPr>
        <w:pStyle w:val="9"/>
        <w:spacing w:line="360" w:lineRule="auto"/>
        <w:rPr>
          <w:rFonts w:ascii="仿宋" w:hAnsi="仿宋" w:eastAsia="仿宋" w:cs="仿宋"/>
          <w:lang w:eastAsia="zh-CN"/>
        </w:rPr>
      </w:pPr>
    </w:p>
    <w:p w14:paraId="6C7DB295">
      <w:pPr>
        <w:rPr>
          <w:rFonts w:ascii="仿宋" w:hAnsi="仿宋" w:eastAsia="仿宋" w:cs="仿宋"/>
          <w:lang w:eastAsia="zh-CN"/>
        </w:rPr>
      </w:pPr>
      <w:r>
        <w:rPr>
          <w:rFonts w:ascii="仿宋" w:hAnsi="仿宋" w:eastAsia="仿宋" w:cs="仿宋"/>
          <w:lang w:eastAsia="zh-CN"/>
        </w:rPr>
        <w:br w:type="page"/>
      </w:r>
    </w:p>
    <w:p w14:paraId="28AF2F49">
      <w:pPr>
        <w:pStyle w:val="9"/>
        <w:spacing w:line="360" w:lineRule="auto"/>
        <w:outlineLvl w:val="0"/>
        <w:rPr>
          <w:rFonts w:ascii="仿宋" w:hAnsi="仿宋" w:eastAsia="仿宋" w:cs="仿宋"/>
          <w:lang w:eastAsia="zh-CN"/>
        </w:rPr>
      </w:pPr>
      <w:bookmarkStart w:id="24" w:name="_Toc3685"/>
      <w:r>
        <w:rPr>
          <w:rFonts w:hint="eastAsia" w:ascii="仿宋" w:hAnsi="仿宋" w:eastAsia="仿宋" w:cs="仿宋"/>
          <w:b/>
          <w:bCs w:val="0"/>
          <w:kern w:val="0"/>
          <w:sz w:val="28"/>
          <w:szCs w:val="28"/>
          <w:lang w:val="en-US" w:eastAsia="zh-CN" w:bidi="ar"/>
        </w:rPr>
        <w:t>附件1：事故等级考核标准</w:t>
      </w:r>
      <w:bookmarkEnd w:id="24"/>
    </w:p>
    <w:p w14:paraId="577BB923">
      <w:pPr>
        <w:pStyle w:val="9"/>
        <w:spacing w:line="360" w:lineRule="auto"/>
        <w:rPr>
          <w:rFonts w:ascii="仿宋" w:hAnsi="仿宋" w:eastAsia="仿宋" w:cs="仿宋"/>
          <w:lang w:eastAsia="zh-CN"/>
        </w:rPr>
      </w:pPr>
    </w:p>
    <w:p w14:paraId="486020E0">
      <w:pPr>
        <w:spacing w:line="360" w:lineRule="auto"/>
        <w:ind w:firstLine="643" w:firstLineChars="200"/>
        <w:jc w:val="center"/>
        <w:rPr>
          <w:rFonts w:hint="eastAsia" w:ascii="仿宋" w:hAnsi="仿宋" w:eastAsia="仿宋" w:cs="仿宋"/>
          <w:sz w:val="24"/>
          <w:szCs w:val="24"/>
          <w:lang w:eastAsia="zh-CN"/>
        </w:rPr>
      </w:pPr>
      <w:r>
        <w:rPr>
          <w:rFonts w:hint="eastAsia" w:ascii="仿宋" w:hAnsi="仿宋" w:eastAsia="仿宋" w:cs="仿宋"/>
          <w:b/>
          <w:bCs/>
          <w:sz w:val="32"/>
          <w:szCs w:val="32"/>
          <w:lang w:eastAsia="zh-CN"/>
        </w:rPr>
        <w:t>事故等级考核标准</w:t>
      </w:r>
    </w:p>
    <w:tbl>
      <w:tblPr>
        <w:tblStyle w:val="13"/>
        <w:tblW w:w="10681" w:type="dxa"/>
        <w:jc w:val="center"/>
        <w:tblLayout w:type="autofit"/>
        <w:tblCellMar>
          <w:top w:w="0" w:type="dxa"/>
          <w:left w:w="108" w:type="dxa"/>
          <w:bottom w:w="0" w:type="dxa"/>
          <w:right w:w="108" w:type="dxa"/>
        </w:tblCellMar>
      </w:tblPr>
      <w:tblGrid>
        <w:gridCol w:w="993"/>
        <w:gridCol w:w="993"/>
        <w:gridCol w:w="1858"/>
        <w:gridCol w:w="1525"/>
        <w:gridCol w:w="1328"/>
        <w:gridCol w:w="1328"/>
        <w:gridCol w:w="1328"/>
        <w:gridCol w:w="1328"/>
      </w:tblGrid>
      <w:tr w14:paraId="6196CDFF">
        <w:tblPrEx>
          <w:tblCellMar>
            <w:top w:w="0" w:type="dxa"/>
            <w:left w:w="108" w:type="dxa"/>
            <w:bottom w:w="0" w:type="dxa"/>
            <w:right w:w="108" w:type="dxa"/>
          </w:tblCellMar>
        </w:tblPrEx>
        <w:trPr>
          <w:trHeight w:val="615" w:hRule="atLeast"/>
          <w:jc w:val="center"/>
        </w:trPr>
        <w:tc>
          <w:tcPr>
            <w:tcW w:w="993"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6D72992E">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事故等级</w:t>
            </w:r>
          </w:p>
        </w:tc>
        <w:tc>
          <w:tcPr>
            <w:tcW w:w="993" w:type="dxa"/>
            <w:vMerge w:val="restart"/>
            <w:tcBorders>
              <w:top w:val="single" w:color="000000" w:sz="8" w:space="0"/>
              <w:left w:val="single" w:color="000000" w:sz="8" w:space="0"/>
              <w:bottom w:val="single" w:color="000000" w:sz="8" w:space="0"/>
              <w:right w:val="single" w:color="000000" w:sz="8" w:space="0"/>
            </w:tcBorders>
            <w:shd w:val="clear" w:color="auto" w:fill="9CC2E5"/>
            <w:vAlign w:val="center"/>
          </w:tcPr>
          <w:p w14:paraId="6C16B2AE">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事故责任</w:t>
            </w:r>
          </w:p>
        </w:tc>
        <w:tc>
          <w:tcPr>
            <w:tcW w:w="1858" w:type="dxa"/>
            <w:vMerge w:val="restart"/>
            <w:tcBorders>
              <w:top w:val="single" w:color="000000" w:sz="8" w:space="0"/>
              <w:left w:val="single" w:color="000000" w:sz="8" w:space="0"/>
              <w:bottom w:val="single" w:color="000000" w:sz="8" w:space="0"/>
              <w:right w:val="single" w:color="000000" w:sz="8" w:space="0"/>
            </w:tcBorders>
            <w:shd w:val="clear" w:color="auto" w:fill="9CC2E5"/>
            <w:vAlign w:val="center"/>
          </w:tcPr>
          <w:p w14:paraId="1CE3D2EA">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一级</w:t>
            </w:r>
          </w:p>
        </w:tc>
        <w:tc>
          <w:tcPr>
            <w:tcW w:w="1525" w:type="dxa"/>
            <w:vMerge w:val="restart"/>
            <w:tcBorders>
              <w:top w:val="single" w:color="000000" w:sz="8" w:space="0"/>
              <w:left w:val="single" w:color="000000" w:sz="8" w:space="0"/>
              <w:bottom w:val="single" w:color="000000" w:sz="8" w:space="0"/>
              <w:right w:val="single" w:color="000000" w:sz="8" w:space="0"/>
            </w:tcBorders>
            <w:shd w:val="clear" w:color="auto" w:fill="9CC2E5"/>
            <w:vAlign w:val="center"/>
          </w:tcPr>
          <w:p w14:paraId="43236933">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二级</w:t>
            </w:r>
          </w:p>
        </w:tc>
        <w:tc>
          <w:tcPr>
            <w:tcW w:w="2656" w:type="dxa"/>
            <w:gridSpan w:val="2"/>
            <w:tcBorders>
              <w:top w:val="single" w:color="000000" w:sz="8" w:space="0"/>
              <w:left w:val="single" w:color="000000" w:sz="8" w:space="0"/>
              <w:bottom w:val="single" w:color="000000" w:sz="8" w:space="0"/>
              <w:right w:val="single" w:color="000000" w:sz="8" w:space="0"/>
            </w:tcBorders>
            <w:shd w:val="clear" w:color="auto" w:fill="9CC2E5"/>
            <w:vAlign w:val="center"/>
          </w:tcPr>
          <w:p w14:paraId="1740360B">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三级</w:t>
            </w:r>
          </w:p>
        </w:tc>
        <w:tc>
          <w:tcPr>
            <w:tcW w:w="2656" w:type="dxa"/>
            <w:gridSpan w:val="2"/>
            <w:tcBorders>
              <w:top w:val="single" w:color="000000" w:sz="8" w:space="0"/>
              <w:left w:val="single" w:color="000000" w:sz="8" w:space="0"/>
              <w:bottom w:val="single" w:color="000000" w:sz="8" w:space="0"/>
              <w:right w:val="single" w:color="000000" w:sz="8" w:space="0"/>
            </w:tcBorders>
            <w:shd w:val="clear" w:color="auto" w:fill="9CC2E5"/>
            <w:vAlign w:val="center"/>
          </w:tcPr>
          <w:p w14:paraId="24A73125">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四级</w:t>
            </w:r>
          </w:p>
        </w:tc>
      </w:tr>
      <w:tr w14:paraId="0EB3E144">
        <w:tblPrEx>
          <w:tblCellMar>
            <w:top w:w="0" w:type="dxa"/>
            <w:left w:w="108" w:type="dxa"/>
            <w:bottom w:w="0" w:type="dxa"/>
            <w:right w:w="108" w:type="dxa"/>
          </w:tblCellMar>
        </w:tblPrEx>
        <w:trPr>
          <w:trHeight w:val="615" w:hRule="atLeast"/>
          <w:jc w:val="center"/>
        </w:trPr>
        <w:tc>
          <w:tcPr>
            <w:tcW w:w="993"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653F3F30">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事故类型</w:t>
            </w:r>
          </w:p>
        </w:tc>
        <w:tc>
          <w:tcPr>
            <w:tcW w:w="993" w:type="dxa"/>
            <w:vMerge w:val="continue"/>
            <w:tcBorders>
              <w:top w:val="single" w:color="000000" w:sz="8" w:space="0"/>
              <w:left w:val="single" w:color="000000" w:sz="8" w:space="0"/>
              <w:bottom w:val="single" w:color="000000" w:sz="8" w:space="0"/>
              <w:right w:val="single" w:color="000000" w:sz="8" w:space="0"/>
            </w:tcBorders>
            <w:vAlign w:val="center"/>
          </w:tcPr>
          <w:p w14:paraId="0FBEAE80">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1858" w:type="dxa"/>
            <w:vMerge w:val="continue"/>
            <w:tcBorders>
              <w:top w:val="single" w:color="000000" w:sz="8" w:space="0"/>
              <w:left w:val="single" w:color="000000" w:sz="8" w:space="0"/>
              <w:bottom w:val="single" w:color="000000" w:sz="8" w:space="0"/>
              <w:right w:val="single" w:color="000000" w:sz="8" w:space="0"/>
            </w:tcBorders>
            <w:vAlign w:val="center"/>
          </w:tcPr>
          <w:p w14:paraId="09A6E940">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1525" w:type="dxa"/>
            <w:vMerge w:val="continue"/>
            <w:tcBorders>
              <w:top w:val="single" w:color="000000" w:sz="8" w:space="0"/>
              <w:left w:val="single" w:color="000000" w:sz="8" w:space="0"/>
              <w:bottom w:val="single" w:color="000000" w:sz="8" w:space="0"/>
              <w:right w:val="single" w:color="000000" w:sz="8" w:space="0"/>
            </w:tcBorders>
            <w:vAlign w:val="center"/>
          </w:tcPr>
          <w:p w14:paraId="7BD89867">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1328"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2A1CE725">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财产损失</w:t>
            </w:r>
          </w:p>
        </w:tc>
        <w:tc>
          <w:tcPr>
            <w:tcW w:w="1328"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277685FA">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人伤</w:t>
            </w:r>
          </w:p>
        </w:tc>
        <w:tc>
          <w:tcPr>
            <w:tcW w:w="1328"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594D22F3">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财产损失</w:t>
            </w:r>
          </w:p>
        </w:tc>
        <w:tc>
          <w:tcPr>
            <w:tcW w:w="1328" w:type="dxa"/>
            <w:tcBorders>
              <w:top w:val="single" w:color="000000" w:sz="8" w:space="0"/>
              <w:left w:val="single" w:color="000000" w:sz="8" w:space="0"/>
              <w:bottom w:val="single" w:color="000000" w:sz="8" w:space="0"/>
              <w:right w:val="single" w:color="000000" w:sz="8" w:space="0"/>
            </w:tcBorders>
            <w:shd w:val="clear" w:color="auto" w:fill="9CC2E5"/>
            <w:vAlign w:val="center"/>
          </w:tcPr>
          <w:p w14:paraId="4EFFCF64">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人伤</w:t>
            </w:r>
          </w:p>
        </w:tc>
      </w:tr>
      <w:tr w14:paraId="31FCD1CF">
        <w:tblPrEx>
          <w:tblCellMar>
            <w:top w:w="0" w:type="dxa"/>
            <w:left w:w="108" w:type="dxa"/>
            <w:bottom w:w="0" w:type="dxa"/>
            <w:right w:w="108" w:type="dxa"/>
          </w:tblCellMar>
        </w:tblPrEx>
        <w:trPr>
          <w:trHeight w:val="600" w:hRule="atLeast"/>
          <w:jc w:val="center"/>
        </w:trPr>
        <w:tc>
          <w:tcPr>
            <w:tcW w:w="993" w:type="dxa"/>
            <w:vMerge w:val="restart"/>
            <w:tcBorders>
              <w:top w:val="single" w:color="000000" w:sz="8" w:space="0"/>
              <w:left w:val="single" w:color="000000" w:sz="8" w:space="0"/>
              <w:bottom w:val="single" w:color="000000" w:sz="8" w:space="0"/>
              <w:right w:val="single" w:color="000000" w:sz="8" w:space="0"/>
            </w:tcBorders>
            <w:shd w:val="clear" w:color="auto" w:fill="C5E0B3"/>
            <w:vAlign w:val="center"/>
          </w:tcPr>
          <w:p w14:paraId="499E3A98">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生产安全事故</w:t>
            </w:r>
          </w:p>
        </w:tc>
        <w:tc>
          <w:tcPr>
            <w:tcW w:w="993" w:type="dxa"/>
            <w:tcBorders>
              <w:top w:val="single" w:color="000000" w:sz="8" w:space="0"/>
              <w:left w:val="single" w:color="000000" w:sz="8" w:space="0"/>
              <w:bottom w:val="single" w:color="000000" w:sz="8" w:space="0"/>
              <w:right w:val="single" w:color="000000" w:sz="8" w:space="0"/>
            </w:tcBorders>
            <w:shd w:val="clear" w:color="auto" w:fill="C5E0B3"/>
            <w:vAlign w:val="center"/>
          </w:tcPr>
          <w:p w14:paraId="4BDCDBB6">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责任</w:t>
            </w:r>
          </w:p>
        </w:tc>
        <w:tc>
          <w:tcPr>
            <w:tcW w:w="1858" w:type="dxa"/>
            <w:tcBorders>
              <w:top w:val="single" w:color="000000" w:sz="8" w:space="0"/>
              <w:left w:val="single" w:color="000000" w:sz="8" w:space="0"/>
              <w:bottom w:val="single" w:color="000000" w:sz="8" w:space="0"/>
              <w:right w:val="single" w:color="000000" w:sz="8" w:space="0"/>
            </w:tcBorders>
            <w:shd w:val="clear" w:color="auto" w:fill="C5E0B3"/>
            <w:vAlign w:val="center"/>
          </w:tcPr>
          <w:p w14:paraId="0710EEDD">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525" w:type="dxa"/>
            <w:tcBorders>
              <w:top w:val="single" w:color="000000" w:sz="8" w:space="0"/>
              <w:left w:val="single" w:color="000000" w:sz="8" w:space="0"/>
              <w:bottom w:val="single" w:color="000000" w:sz="8" w:space="0"/>
              <w:right w:val="single" w:color="000000" w:sz="8" w:space="0"/>
            </w:tcBorders>
            <w:shd w:val="clear" w:color="auto" w:fill="C5E0B3"/>
            <w:vAlign w:val="center"/>
          </w:tcPr>
          <w:p w14:paraId="1C87CEB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2656" w:type="dxa"/>
            <w:gridSpan w:val="2"/>
            <w:tcBorders>
              <w:top w:val="single" w:color="000000" w:sz="8" w:space="0"/>
              <w:left w:val="single" w:color="000000" w:sz="8" w:space="0"/>
              <w:bottom w:val="single" w:color="000000" w:sz="8" w:space="0"/>
              <w:right w:val="single" w:color="000000" w:sz="8" w:space="0"/>
            </w:tcBorders>
            <w:shd w:val="clear" w:color="auto" w:fill="C5E0B3"/>
            <w:noWrap/>
            <w:vAlign w:val="center"/>
          </w:tcPr>
          <w:p w14:paraId="2CB2B3B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2000</w:t>
            </w:r>
          </w:p>
        </w:tc>
        <w:tc>
          <w:tcPr>
            <w:tcW w:w="2656" w:type="dxa"/>
            <w:gridSpan w:val="2"/>
            <w:tcBorders>
              <w:top w:val="single" w:color="000000" w:sz="8" w:space="0"/>
              <w:left w:val="single" w:color="000000" w:sz="8" w:space="0"/>
              <w:bottom w:val="single" w:color="000000" w:sz="8" w:space="0"/>
              <w:right w:val="single" w:color="000000" w:sz="8" w:space="0"/>
            </w:tcBorders>
            <w:shd w:val="clear" w:color="auto" w:fill="C5E0B3"/>
            <w:vAlign w:val="center"/>
          </w:tcPr>
          <w:p w14:paraId="2D97970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1000</w:t>
            </w:r>
          </w:p>
        </w:tc>
      </w:tr>
      <w:tr w14:paraId="30DC9C06">
        <w:tblPrEx>
          <w:tblCellMar>
            <w:top w:w="0" w:type="dxa"/>
            <w:left w:w="108" w:type="dxa"/>
            <w:bottom w:w="0" w:type="dxa"/>
            <w:right w:w="108" w:type="dxa"/>
          </w:tblCellMar>
        </w:tblPrEx>
        <w:trPr>
          <w:trHeight w:val="600" w:hRule="atLeast"/>
          <w:jc w:val="center"/>
        </w:trPr>
        <w:tc>
          <w:tcPr>
            <w:tcW w:w="993" w:type="dxa"/>
            <w:vMerge w:val="continue"/>
            <w:tcBorders>
              <w:top w:val="single" w:color="000000" w:sz="8" w:space="0"/>
              <w:left w:val="single" w:color="000000" w:sz="8" w:space="0"/>
              <w:bottom w:val="single" w:color="auto" w:sz="8" w:space="0"/>
              <w:right w:val="single" w:color="000000" w:sz="8" w:space="0"/>
            </w:tcBorders>
            <w:vAlign w:val="center"/>
          </w:tcPr>
          <w:p w14:paraId="2F781BAB">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993" w:type="dxa"/>
            <w:tcBorders>
              <w:top w:val="single" w:color="000000" w:sz="8" w:space="0"/>
              <w:left w:val="single" w:color="000000" w:sz="8" w:space="0"/>
              <w:bottom w:val="single" w:color="auto" w:sz="8" w:space="0"/>
              <w:right w:val="single" w:color="000000" w:sz="8" w:space="0"/>
            </w:tcBorders>
            <w:shd w:val="clear" w:color="auto" w:fill="C5E0B3"/>
            <w:vAlign w:val="center"/>
          </w:tcPr>
          <w:p w14:paraId="1F919289">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非责任</w:t>
            </w:r>
          </w:p>
        </w:tc>
        <w:tc>
          <w:tcPr>
            <w:tcW w:w="1858" w:type="dxa"/>
            <w:tcBorders>
              <w:top w:val="single" w:color="000000" w:sz="8" w:space="0"/>
              <w:left w:val="single" w:color="000000" w:sz="8" w:space="0"/>
              <w:bottom w:val="single" w:color="auto" w:sz="8" w:space="0"/>
              <w:right w:val="single" w:color="000000" w:sz="8" w:space="0"/>
            </w:tcBorders>
            <w:shd w:val="clear" w:color="auto" w:fill="C5E0B3"/>
            <w:vAlign w:val="center"/>
          </w:tcPr>
          <w:p w14:paraId="4193F9E2">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c>
          <w:tcPr>
            <w:tcW w:w="1525" w:type="dxa"/>
            <w:tcBorders>
              <w:top w:val="single" w:color="000000" w:sz="8" w:space="0"/>
              <w:left w:val="single" w:color="000000" w:sz="8" w:space="0"/>
              <w:bottom w:val="single" w:color="auto" w:sz="8" w:space="0"/>
              <w:right w:val="single" w:color="000000" w:sz="8" w:space="0"/>
            </w:tcBorders>
            <w:shd w:val="clear" w:color="auto" w:fill="C5E0B3"/>
            <w:vAlign w:val="center"/>
          </w:tcPr>
          <w:p w14:paraId="1DB450B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c>
          <w:tcPr>
            <w:tcW w:w="1328" w:type="dxa"/>
            <w:tcBorders>
              <w:top w:val="single" w:color="000000" w:sz="8" w:space="0"/>
              <w:left w:val="single" w:color="000000" w:sz="8" w:space="0"/>
              <w:bottom w:val="single" w:color="auto" w:sz="8" w:space="0"/>
              <w:right w:val="single" w:color="000000" w:sz="8" w:space="0"/>
            </w:tcBorders>
            <w:shd w:val="clear" w:color="auto" w:fill="C5E0B3"/>
            <w:vAlign w:val="center"/>
          </w:tcPr>
          <w:p w14:paraId="2292FCD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c>
          <w:tcPr>
            <w:tcW w:w="1328" w:type="dxa"/>
            <w:tcBorders>
              <w:top w:val="single" w:color="000000" w:sz="8" w:space="0"/>
              <w:left w:val="single" w:color="000000" w:sz="8" w:space="0"/>
              <w:bottom w:val="single" w:color="auto" w:sz="8" w:space="0"/>
              <w:right w:val="single" w:color="000000" w:sz="8" w:space="0"/>
            </w:tcBorders>
            <w:shd w:val="clear" w:color="auto" w:fill="C5E0B3"/>
            <w:vAlign w:val="center"/>
          </w:tcPr>
          <w:p w14:paraId="6369C77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c>
          <w:tcPr>
            <w:tcW w:w="1328" w:type="dxa"/>
            <w:tcBorders>
              <w:top w:val="single" w:color="000000" w:sz="8" w:space="0"/>
              <w:left w:val="single" w:color="000000" w:sz="8" w:space="0"/>
              <w:bottom w:val="single" w:color="auto" w:sz="8" w:space="0"/>
              <w:right w:val="single" w:color="000000" w:sz="8" w:space="0"/>
            </w:tcBorders>
            <w:shd w:val="clear" w:color="auto" w:fill="C5E0B3"/>
            <w:vAlign w:val="center"/>
          </w:tcPr>
          <w:p w14:paraId="4DE529F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c>
          <w:tcPr>
            <w:tcW w:w="1328" w:type="dxa"/>
            <w:tcBorders>
              <w:top w:val="single" w:color="000000" w:sz="8" w:space="0"/>
              <w:left w:val="single" w:color="000000" w:sz="8" w:space="0"/>
              <w:bottom w:val="single" w:color="auto" w:sz="8" w:space="0"/>
              <w:right w:val="single" w:color="000000" w:sz="8" w:space="0"/>
            </w:tcBorders>
            <w:shd w:val="clear" w:color="auto" w:fill="C5E0B3"/>
            <w:vAlign w:val="center"/>
          </w:tcPr>
          <w:p w14:paraId="7657F40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0</w:t>
            </w:r>
          </w:p>
        </w:tc>
      </w:tr>
      <w:tr w14:paraId="7EC1D9BB">
        <w:tblPrEx>
          <w:tblCellMar>
            <w:top w:w="0" w:type="dxa"/>
            <w:left w:w="108" w:type="dxa"/>
            <w:bottom w:w="0" w:type="dxa"/>
            <w:right w:w="108" w:type="dxa"/>
          </w:tblCellMar>
        </w:tblPrEx>
        <w:trPr>
          <w:trHeight w:val="600" w:hRule="atLeast"/>
          <w:jc w:val="center"/>
        </w:trPr>
        <w:tc>
          <w:tcPr>
            <w:tcW w:w="993" w:type="dxa"/>
            <w:vMerge w:val="restart"/>
            <w:tcBorders>
              <w:top w:val="single" w:color="auto" w:sz="8" w:space="0"/>
              <w:left w:val="single" w:color="auto" w:sz="8" w:space="0"/>
              <w:bottom w:val="single" w:color="auto" w:sz="8" w:space="0"/>
              <w:right w:val="single" w:color="auto" w:sz="8" w:space="0"/>
            </w:tcBorders>
            <w:shd w:val="clear" w:color="auto" w:fill="FEF2CC"/>
            <w:vAlign w:val="center"/>
          </w:tcPr>
          <w:p w14:paraId="7D1E75CD">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交通事故</w:t>
            </w:r>
          </w:p>
        </w:tc>
        <w:tc>
          <w:tcPr>
            <w:tcW w:w="993" w:type="dxa"/>
            <w:tcBorders>
              <w:top w:val="single" w:color="auto" w:sz="8" w:space="0"/>
              <w:left w:val="single" w:color="auto" w:sz="8" w:space="0"/>
              <w:bottom w:val="single" w:color="auto" w:sz="8" w:space="0"/>
              <w:right w:val="single" w:color="auto" w:sz="8" w:space="0"/>
            </w:tcBorders>
            <w:shd w:val="clear" w:color="auto" w:fill="FEF2CC"/>
            <w:vAlign w:val="center"/>
          </w:tcPr>
          <w:p w14:paraId="2924E019">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全部责任</w:t>
            </w:r>
          </w:p>
        </w:tc>
        <w:tc>
          <w:tcPr>
            <w:tcW w:w="1858" w:type="dxa"/>
            <w:tcBorders>
              <w:top w:val="single" w:color="auto" w:sz="8" w:space="0"/>
              <w:left w:val="single" w:color="auto" w:sz="8" w:space="0"/>
              <w:bottom w:val="single" w:color="auto" w:sz="8" w:space="0"/>
              <w:right w:val="single" w:color="auto" w:sz="8" w:space="0"/>
            </w:tcBorders>
            <w:shd w:val="clear" w:color="auto" w:fill="FEF2CC"/>
            <w:vAlign w:val="center"/>
          </w:tcPr>
          <w:p w14:paraId="1A1991EE">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525" w:type="dxa"/>
            <w:tcBorders>
              <w:top w:val="single" w:color="auto" w:sz="8" w:space="0"/>
              <w:left w:val="single" w:color="auto" w:sz="8" w:space="0"/>
              <w:bottom w:val="single" w:color="auto" w:sz="8" w:space="0"/>
              <w:right w:val="single" w:color="auto" w:sz="8" w:space="0"/>
            </w:tcBorders>
            <w:shd w:val="clear" w:color="auto" w:fill="FEF2CC"/>
            <w:vAlign w:val="center"/>
          </w:tcPr>
          <w:p w14:paraId="52525B3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3FA46DD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2500-3000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537C235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4981AE2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1000-1500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38345D8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1500-2000</w:t>
            </w:r>
          </w:p>
        </w:tc>
      </w:tr>
      <w:tr w14:paraId="3D7F7C8E">
        <w:tblPrEx>
          <w:tblCellMar>
            <w:top w:w="0" w:type="dxa"/>
            <w:left w:w="108" w:type="dxa"/>
            <w:bottom w:w="0" w:type="dxa"/>
            <w:right w:w="108" w:type="dxa"/>
          </w:tblCellMar>
        </w:tblPrEx>
        <w:trPr>
          <w:trHeight w:val="600" w:hRule="atLeast"/>
          <w:jc w:val="center"/>
        </w:trPr>
        <w:tc>
          <w:tcPr>
            <w:tcW w:w="993" w:type="dxa"/>
            <w:vMerge w:val="continue"/>
            <w:tcBorders>
              <w:top w:val="single" w:color="auto" w:sz="8" w:space="0"/>
              <w:left w:val="single" w:color="auto" w:sz="8" w:space="0"/>
              <w:bottom w:val="single" w:color="auto" w:sz="8" w:space="0"/>
              <w:right w:val="single" w:color="auto" w:sz="8" w:space="0"/>
            </w:tcBorders>
            <w:vAlign w:val="center"/>
          </w:tcPr>
          <w:p w14:paraId="706B469C">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993" w:type="dxa"/>
            <w:tcBorders>
              <w:top w:val="single" w:color="auto" w:sz="8" w:space="0"/>
              <w:left w:val="single" w:color="auto" w:sz="8" w:space="0"/>
              <w:bottom w:val="single" w:color="auto" w:sz="8" w:space="0"/>
              <w:right w:val="single" w:color="auto" w:sz="8" w:space="0"/>
            </w:tcBorders>
            <w:shd w:val="clear" w:color="auto" w:fill="FEF2CC"/>
            <w:vAlign w:val="center"/>
          </w:tcPr>
          <w:p w14:paraId="02C5F3CF">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主要责任</w:t>
            </w:r>
          </w:p>
        </w:tc>
        <w:tc>
          <w:tcPr>
            <w:tcW w:w="1858" w:type="dxa"/>
            <w:tcBorders>
              <w:top w:val="single" w:color="auto" w:sz="8" w:space="0"/>
              <w:left w:val="single" w:color="auto" w:sz="8" w:space="0"/>
              <w:bottom w:val="single" w:color="auto" w:sz="8" w:space="0"/>
              <w:right w:val="single" w:color="auto" w:sz="8" w:space="0"/>
            </w:tcBorders>
            <w:shd w:val="clear" w:color="auto" w:fill="FEF2CC"/>
            <w:vAlign w:val="center"/>
          </w:tcPr>
          <w:p w14:paraId="5F6A263A">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525" w:type="dxa"/>
            <w:tcBorders>
              <w:top w:val="single" w:color="auto" w:sz="8" w:space="0"/>
              <w:left w:val="single" w:color="auto" w:sz="8" w:space="0"/>
              <w:bottom w:val="single" w:color="auto" w:sz="8" w:space="0"/>
              <w:right w:val="single" w:color="auto" w:sz="8" w:space="0"/>
            </w:tcBorders>
            <w:shd w:val="clear" w:color="auto" w:fill="FEF2CC"/>
            <w:vAlign w:val="center"/>
          </w:tcPr>
          <w:p w14:paraId="1A5AA56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13BE130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2000-2500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0AB2607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2500-3000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5B49982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800-1300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1D59473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1300-1800</w:t>
            </w:r>
          </w:p>
        </w:tc>
      </w:tr>
      <w:tr w14:paraId="08621E98">
        <w:tblPrEx>
          <w:tblCellMar>
            <w:top w:w="0" w:type="dxa"/>
            <w:left w:w="108" w:type="dxa"/>
            <w:bottom w:w="0" w:type="dxa"/>
            <w:right w:w="108" w:type="dxa"/>
          </w:tblCellMar>
        </w:tblPrEx>
        <w:trPr>
          <w:trHeight w:val="600" w:hRule="atLeast"/>
          <w:jc w:val="center"/>
        </w:trPr>
        <w:tc>
          <w:tcPr>
            <w:tcW w:w="993" w:type="dxa"/>
            <w:vMerge w:val="continue"/>
            <w:tcBorders>
              <w:top w:val="single" w:color="auto" w:sz="8" w:space="0"/>
              <w:left w:val="single" w:color="auto" w:sz="8" w:space="0"/>
              <w:bottom w:val="single" w:color="auto" w:sz="8" w:space="0"/>
              <w:right w:val="single" w:color="auto" w:sz="8" w:space="0"/>
            </w:tcBorders>
            <w:vAlign w:val="center"/>
          </w:tcPr>
          <w:p w14:paraId="0629F569">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993" w:type="dxa"/>
            <w:tcBorders>
              <w:top w:val="single" w:color="auto" w:sz="8" w:space="0"/>
              <w:left w:val="single" w:color="auto" w:sz="8" w:space="0"/>
              <w:bottom w:val="single" w:color="auto" w:sz="8" w:space="0"/>
              <w:right w:val="single" w:color="auto" w:sz="8" w:space="0"/>
            </w:tcBorders>
            <w:shd w:val="clear" w:color="auto" w:fill="FEF2CC"/>
            <w:vAlign w:val="center"/>
          </w:tcPr>
          <w:p w14:paraId="22A67474">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同等责任</w:t>
            </w:r>
          </w:p>
        </w:tc>
        <w:tc>
          <w:tcPr>
            <w:tcW w:w="1858" w:type="dxa"/>
            <w:tcBorders>
              <w:top w:val="single" w:color="auto" w:sz="8" w:space="0"/>
              <w:left w:val="single" w:color="auto" w:sz="8" w:space="0"/>
              <w:bottom w:val="single" w:color="auto" w:sz="8" w:space="0"/>
              <w:right w:val="single" w:color="auto" w:sz="8" w:space="0"/>
            </w:tcBorders>
            <w:shd w:val="clear" w:color="auto" w:fill="FEF2CC"/>
            <w:vAlign w:val="center"/>
          </w:tcPr>
          <w:p w14:paraId="036354E1">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525" w:type="dxa"/>
            <w:tcBorders>
              <w:top w:val="single" w:color="auto" w:sz="8" w:space="0"/>
              <w:left w:val="single" w:color="auto" w:sz="8" w:space="0"/>
              <w:bottom w:val="single" w:color="auto" w:sz="8" w:space="0"/>
              <w:right w:val="single" w:color="auto" w:sz="8" w:space="0"/>
            </w:tcBorders>
            <w:shd w:val="clear" w:color="auto" w:fill="FEF2CC"/>
            <w:vAlign w:val="center"/>
          </w:tcPr>
          <w:p w14:paraId="3390BA4E">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2500-3000+</w:t>
            </w:r>
            <w:r>
              <w:rPr>
                <w:rFonts w:hint="default" w:ascii="宋体" w:hAnsi="宋体" w:eastAsia="宋体" w:cs="Times New Roman"/>
                <w:color w:val="000000"/>
                <w:sz w:val="18"/>
                <w:szCs w:val="18"/>
                <w:lang w:eastAsia="zh-CN"/>
              </w:rPr>
              <w:t>劝退</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6C57910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1500-2000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055423B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2000-2500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4AEC496A">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500-1000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2C9E43A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800-1500</w:t>
            </w:r>
          </w:p>
        </w:tc>
      </w:tr>
      <w:tr w14:paraId="51D23CBF">
        <w:tblPrEx>
          <w:tblCellMar>
            <w:top w:w="0" w:type="dxa"/>
            <w:left w:w="108" w:type="dxa"/>
            <w:bottom w:w="0" w:type="dxa"/>
            <w:right w:w="108" w:type="dxa"/>
          </w:tblCellMar>
        </w:tblPrEx>
        <w:trPr>
          <w:trHeight w:val="600" w:hRule="atLeast"/>
          <w:jc w:val="center"/>
        </w:trPr>
        <w:tc>
          <w:tcPr>
            <w:tcW w:w="993" w:type="dxa"/>
            <w:vMerge w:val="continue"/>
            <w:tcBorders>
              <w:top w:val="single" w:color="auto" w:sz="8" w:space="0"/>
              <w:left w:val="single" w:color="auto" w:sz="8" w:space="0"/>
              <w:bottom w:val="single" w:color="auto" w:sz="8" w:space="0"/>
              <w:right w:val="single" w:color="auto" w:sz="8" w:space="0"/>
            </w:tcBorders>
            <w:vAlign w:val="center"/>
          </w:tcPr>
          <w:p w14:paraId="34475EEE">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993" w:type="dxa"/>
            <w:tcBorders>
              <w:top w:val="single" w:color="auto" w:sz="8" w:space="0"/>
              <w:left w:val="single" w:color="auto" w:sz="8" w:space="0"/>
              <w:bottom w:val="single" w:color="auto" w:sz="8" w:space="0"/>
              <w:right w:val="single" w:color="auto" w:sz="8" w:space="0"/>
            </w:tcBorders>
            <w:shd w:val="clear" w:color="auto" w:fill="FEF2CC"/>
            <w:vAlign w:val="center"/>
          </w:tcPr>
          <w:p w14:paraId="49F857AD">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次要责任</w:t>
            </w:r>
          </w:p>
        </w:tc>
        <w:tc>
          <w:tcPr>
            <w:tcW w:w="1858" w:type="dxa"/>
            <w:tcBorders>
              <w:top w:val="single" w:color="auto" w:sz="8" w:space="0"/>
              <w:left w:val="single" w:color="auto" w:sz="8" w:space="0"/>
              <w:bottom w:val="single" w:color="auto" w:sz="8" w:space="0"/>
              <w:right w:val="single" w:color="auto" w:sz="8" w:space="0"/>
            </w:tcBorders>
            <w:shd w:val="clear" w:color="auto" w:fill="FEF2CC"/>
            <w:vAlign w:val="center"/>
          </w:tcPr>
          <w:p w14:paraId="49A4CFC1">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2500-3000+</w:t>
            </w:r>
            <w:r>
              <w:rPr>
                <w:rFonts w:hint="default" w:ascii="宋体" w:hAnsi="宋体" w:eastAsia="宋体" w:cs="Times New Roman"/>
                <w:color w:val="000000"/>
                <w:sz w:val="18"/>
                <w:szCs w:val="18"/>
                <w:lang w:eastAsia="zh-CN"/>
              </w:rPr>
              <w:t>调岗、劝退</w:t>
            </w:r>
          </w:p>
        </w:tc>
        <w:tc>
          <w:tcPr>
            <w:tcW w:w="1525" w:type="dxa"/>
            <w:tcBorders>
              <w:top w:val="single" w:color="auto" w:sz="8" w:space="0"/>
              <w:left w:val="single" w:color="auto" w:sz="8" w:space="0"/>
              <w:bottom w:val="single" w:color="auto" w:sz="8" w:space="0"/>
              <w:right w:val="single" w:color="auto" w:sz="8" w:space="0"/>
            </w:tcBorders>
            <w:shd w:val="clear" w:color="auto" w:fill="FEF2CC"/>
            <w:vAlign w:val="center"/>
          </w:tcPr>
          <w:p w14:paraId="733427D4">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2000-2500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020B9DD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800-1500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1DBD999E">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1500-2000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339E4E84">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300-800</w:t>
            </w:r>
          </w:p>
        </w:tc>
        <w:tc>
          <w:tcPr>
            <w:tcW w:w="1328" w:type="dxa"/>
            <w:tcBorders>
              <w:top w:val="single" w:color="auto" w:sz="8" w:space="0"/>
              <w:left w:val="single" w:color="auto" w:sz="8" w:space="0"/>
              <w:bottom w:val="single" w:color="auto" w:sz="8" w:space="0"/>
              <w:right w:val="single" w:color="auto" w:sz="8" w:space="0"/>
            </w:tcBorders>
            <w:shd w:val="clear" w:color="auto" w:fill="FEF2CC"/>
            <w:vAlign w:val="center"/>
          </w:tcPr>
          <w:p w14:paraId="6240A53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500-1000</w:t>
            </w:r>
          </w:p>
        </w:tc>
      </w:tr>
      <w:tr w14:paraId="05308BD1">
        <w:tblPrEx>
          <w:tblCellMar>
            <w:top w:w="0" w:type="dxa"/>
            <w:left w:w="108" w:type="dxa"/>
            <w:bottom w:w="0" w:type="dxa"/>
            <w:right w:w="108" w:type="dxa"/>
          </w:tblCellMar>
        </w:tblPrEx>
        <w:trPr>
          <w:trHeight w:val="600" w:hRule="atLeast"/>
          <w:jc w:val="center"/>
        </w:trPr>
        <w:tc>
          <w:tcPr>
            <w:tcW w:w="993" w:type="dxa"/>
            <w:vMerge w:val="continue"/>
            <w:tcBorders>
              <w:top w:val="single" w:color="auto" w:sz="8" w:space="0"/>
              <w:left w:val="single" w:color="auto" w:sz="8" w:space="0"/>
              <w:bottom w:val="single" w:color="auto" w:sz="8" w:space="0"/>
              <w:right w:val="single" w:color="auto" w:sz="8" w:space="0"/>
            </w:tcBorders>
            <w:vAlign w:val="center"/>
          </w:tcPr>
          <w:p w14:paraId="61BACE35">
            <w:pPr>
              <w:keepNext w:val="0"/>
              <w:keepLines w:val="0"/>
              <w:widowControl/>
              <w:suppressLineNumbers w:val="0"/>
              <w:spacing w:before="0" w:beforeAutospacing="0" w:after="0" w:afterAutospacing="0"/>
              <w:ind w:left="0" w:right="0"/>
              <w:rPr>
                <w:rFonts w:hint="default" w:ascii="宋体" w:hAnsi="宋体" w:eastAsia="宋体" w:cs="宋体"/>
                <w:b/>
                <w:bCs/>
                <w:color w:val="000000"/>
                <w:sz w:val="18"/>
                <w:szCs w:val="18"/>
                <w:lang w:eastAsia="zh-CN"/>
              </w:rPr>
            </w:pPr>
          </w:p>
        </w:tc>
        <w:tc>
          <w:tcPr>
            <w:tcW w:w="993" w:type="dxa"/>
            <w:tcBorders>
              <w:top w:val="single" w:color="auto" w:sz="8" w:space="0"/>
              <w:left w:val="single" w:color="auto" w:sz="8" w:space="0"/>
              <w:bottom w:val="single" w:color="auto" w:sz="8" w:space="0"/>
              <w:right w:val="single" w:color="auto" w:sz="8" w:space="0"/>
            </w:tcBorders>
            <w:shd w:val="clear" w:color="auto" w:fill="FEF2CC"/>
            <w:vAlign w:val="center"/>
          </w:tcPr>
          <w:p w14:paraId="2119156C">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无责任</w:t>
            </w:r>
          </w:p>
        </w:tc>
        <w:tc>
          <w:tcPr>
            <w:tcW w:w="1858" w:type="dxa"/>
            <w:tcBorders>
              <w:top w:val="single" w:color="auto" w:sz="8" w:space="0"/>
              <w:left w:val="single" w:color="auto" w:sz="8" w:space="0"/>
              <w:bottom w:val="single" w:color="auto" w:sz="8" w:space="0"/>
              <w:right w:val="single" w:color="auto" w:sz="8" w:space="0"/>
            </w:tcBorders>
            <w:shd w:val="clear" w:color="auto" w:fill="FEF2CC"/>
            <w:vAlign w:val="center"/>
          </w:tcPr>
          <w:p w14:paraId="1410307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eastAsia" w:ascii="Times New Roman" w:hAnsi="Times New Roman" w:eastAsia="宋体" w:cs="Times New Roman"/>
                <w:color w:val="000000"/>
                <w:sz w:val="18"/>
                <w:szCs w:val="18"/>
                <w:lang w:eastAsia="zh-CN"/>
              </w:rPr>
              <w:t>0</w:t>
            </w:r>
          </w:p>
        </w:tc>
        <w:tc>
          <w:tcPr>
            <w:tcW w:w="1525" w:type="dxa"/>
            <w:tcBorders>
              <w:top w:val="single" w:color="auto" w:sz="8" w:space="0"/>
              <w:left w:val="single" w:color="auto" w:sz="8" w:space="0"/>
              <w:bottom w:val="single" w:color="auto" w:sz="8" w:space="0"/>
              <w:right w:val="single" w:color="auto" w:sz="8" w:space="0"/>
            </w:tcBorders>
            <w:shd w:val="clear" w:color="auto" w:fill="FEF2CC"/>
            <w:vAlign w:val="center"/>
          </w:tcPr>
          <w:p w14:paraId="20CDF0CA">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c>
          <w:tcPr>
            <w:tcW w:w="2656" w:type="dxa"/>
            <w:gridSpan w:val="2"/>
            <w:tcBorders>
              <w:top w:val="single" w:color="auto" w:sz="8" w:space="0"/>
              <w:left w:val="single" w:color="auto" w:sz="8" w:space="0"/>
              <w:bottom w:val="single" w:color="auto" w:sz="8" w:space="0"/>
              <w:right w:val="single" w:color="auto" w:sz="8" w:space="0"/>
            </w:tcBorders>
            <w:shd w:val="clear" w:color="auto" w:fill="FEF2CC"/>
            <w:vAlign w:val="center"/>
          </w:tcPr>
          <w:p w14:paraId="6D04A6E6">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c>
          <w:tcPr>
            <w:tcW w:w="2656" w:type="dxa"/>
            <w:gridSpan w:val="2"/>
            <w:tcBorders>
              <w:top w:val="single" w:color="auto" w:sz="8" w:space="0"/>
              <w:left w:val="single" w:color="auto" w:sz="8" w:space="0"/>
              <w:bottom w:val="single" w:color="auto" w:sz="8" w:space="0"/>
              <w:right w:val="single" w:color="auto" w:sz="8" w:space="0"/>
            </w:tcBorders>
            <w:shd w:val="clear" w:color="auto" w:fill="FEF2CC"/>
            <w:vAlign w:val="center"/>
          </w:tcPr>
          <w:p w14:paraId="0BCA533F">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r>
      <w:tr w14:paraId="4807ACFA">
        <w:tblPrEx>
          <w:tblCellMar>
            <w:top w:w="0" w:type="dxa"/>
            <w:left w:w="108" w:type="dxa"/>
            <w:bottom w:w="0" w:type="dxa"/>
            <w:right w:w="108" w:type="dxa"/>
          </w:tblCellMar>
        </w:tblPrEx>
        <w:trPr>
          <w:trHeight w:val="600" w:hRule="atLeast"/>
          <w:jc w:val="center"/>
        </w:trPr>
        <w:tc>
          <w:tcPr>
            <w:tcW w:w="993" w:type="dxa"/>
            <w:vMerge w:val="restart"/>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4E9330A5">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环境污染事故</w:t>
            </w:r>
          </w:p>
        </w:tc>
        <w:tc>
          <w:tcPr>
            <w:tcW w:w="993"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2F5304E4">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责任</w:t>
            </w:r>
          </w:p>
        </w:tc>
        <w:tc>
          <w:tcPr>
            <w:tcW w:w="1858"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17C14EF7">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1525"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3790E5A3">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r>
              <w:rPr>
                <w:rFonts w:hint="default" w:ascii="宋体" w:hAnsi="宋体" w:eastAsia="宋体" w:cs="Times New Roman"/>
                <w:color w:val="000000"/>
                <w:sz w:val="18"/>
                <w:szCs w:val="18"/>
                <w:lang w:eastAsia="zh-CN"/>
              </w:rPr>
              <w:t>劝退</w:t>
            </w:r>
          </w:p>
        </w:tc>
        <w:tc>
          <w:tcPr>
            <w:tcW w:w="2656" w:type="dxa"/>
            <w:gridSpan w:val="2"/>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5047562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default" w:ascii="Times New Roman" w:hAnsi="Times New Roman" w:eastAsia="宋体" w:cs="Times New Roman"/>
                <w:color w:val="000000"/>
                <w:sz w:val="18"/>
                <w:szCs w:val="18"/>
                <w:lang w:eastAsia="zh-CN"/>
              </w:rPr>
              <w:t>3000-5000</w:t>
            </w:r>
          </w:p>
        </w:tc>
        <w:tc>
          <w:tcPr>
            <w:tcW w:w="2656" w:type="dxa"/>
            <w:gridSpan w:val="2"/>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5D3E21D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eastAsia" w:ascii="Times New Roman" w:hAnsi="Times New Roman" w:eastAsia="宋体" w:cs="Times New Roman"/>
                <w:color w:val="000000"/>
                <w:sz w:val="18"/>
                <w:szCs w:val="18"/>
                <w:lang w:eastAsia="zh-CN"/>
              </w:rPr>
              <w:t>1500-2000</w:t>
            </w:r>
          </w:p>
        </w:tc>
      </w:tr>
      <w:tr w14:paraId="39C9D0D3">
        <w:tblPrEx>
          <w:tblCellMar>
            <w:top w:w="0" w:type="dxa"/>
            <w:left w:w="108" w:type="dxa"/>
            <w:bottom w:w="0" w:type="dxa"/>
            <w:right w:w="108" w:type="dxa"/>
          </w:tblCellMar>
        </w:tblPrEx>
        <w:trPr>
          <w:trHeight w:val="600" w:hRule="atLeast"/>
          <w:jc w:val="center"/>
        </w:trPr>
        <w:tc>
          <w:tcPr>
            <w:tcW w:w="993" w:type="dxa"/>
            <w:vMerge w:val="continue"/>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38C1FEA9">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p>
        </w:tc>
        <w:tc>
          <w:tcPr>
            <w:tcW w:w="993"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47266B1B">
            <w:pPr>
              <w:keepNext w:val="0"/>
              <w:keepLines w:val="0"/>
              <w:widowControl/>
              <w:suppressLineNumbers w:val="0"/>
              <w:spacing w:before="0" w:beforeAutospacing="0" w:after="0" w:afterAutospacing="0"/>
              <w:ind w:left="0" w:right="0"/>
              <w:jc w:val="center"/>
              <w:rPr>
                <w:rFonts w:hint="default"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非责任</w:t>
            </w:r>
          </w:p>
        </w:tc>
        <w:tc>
          <w:tcPr>
            <w:tcW w:w="1858"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169074B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eastAsia="zh-CN"/>
              </w:rPr>
            </w:pPr>
            <w:r>
              <w:rPr>
                <w:rFonts w:hint="eastAsia" w:ascii="Times New Roman" w:hAnsi="Times New Roman" w:eastAsia="宋体" w:cs="Times New Roman"/>
                <w:color w:val="000000"/>
                <w:sz w:val="18"/>
                <w:szCs w:val="18"/>
                <w:lang w:eastAsia="zh-CN"/>
              </w:rPr>
              <w:t>0</w:t>
            </w:r>
          </w:p>
        </w:tc>
        <w:tc>
          <w:tcPr>
            <w:tcW w:w="1525" w:type="dxa"/>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45175F7C">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c>
          <w:tcPr>
            <w:tcW w:w="2656" w:type="dxa"/>
            <w:gridSpan w:val="2"/>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518710C7">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c>
          <w:tcPr>
            <w:tcW w:w="2656" w:type="dxa"/>
            <w:gridSpan w:val="2"/>
            <w:tcBorders>
              <w:top w:val="single" w:color="auto" w:sz="8" w:space="0"/>
              <w:left w:val="single" w:color="auto" w:sz="8" w:space="0"/>
              <w:bottom w:val="single" w:color="auto" w:sz="8" w:space="0"/>
              <w:right w:val="single" w:color="auto" w:sz="8" w:space="0"/>
            </w:tcBorders>
            <w:shd w:val="clear" w:color="DEEAF6" w:themeColor="accent1" w:themeTint="33" w:fill="BDD6EE" w:themeFill="accent1" w:themeFillTint="66"/>
            <w:vAlign w:val="center"/>
          </w:tcPr>
          <w:p w14:paraId="6C14E42E">
            <w:pPr>
              <w:keepNext w:val="0"/>
              <w:keepLines w:val="0"/>
              <w:suppressLineNumbers w:val="0"/>
              <w:spacing w:before="0" w:beforeAutospacing="0" w:after="0" w:afterAutospacing="0"/>
              <w:ind w:left="0" w:right="0"/>
              <w:jc w:val="center"/>
              <w:rPr>
                <w:rFonts w:hint="default"/>
              </w:rPr>
            </w:pPr>
            <w:r>
              <w:rPr>
                <w:rFonts w:hint="eastAsia" w:ascii="Times New Roman" w:hAnsi="Times New Roman" w:eastAsia="宋体" w:cs="Times New Roman"/>
                <w:color w:val="000000"/>
                <w:sz w:val="18"/>
                <w:szCs w:val="18"/>
                <w:lang w:eastAsia="zh-CN"/>
              </w:rPr>
              <w:t>0</w:t>
            </w:r>
          </w:p>
        </w:tc>
      </w:tr>
    </w:tbl>
    <w:p w14:paraId="5918F7C4">
      <w:pPr>
        <w:keepNext w:val="0"/>
        <w:keepLines w:val="0"/>
        <w:widowControl w:val="0"/>
        <w:suppressLineNumbers w:val="0"/>
        <w:tabs>
          <w:tab w:val="left" w:pos="838"/>
        </w:tabs>
        <w:spacing w:before="0" w:beforeAutospacing="0" w:after="120" w:afterAutospacing="0" w:line="360" w:lineRule="auto"/>
        <w:ind w:left="0" w:right="153"/>
        <w:jc w:val="left"/>
        <w:outlineLvl w:val="0"/>
        <w:rPr>
          <w:rFonts w:hint="eastAsia" w:ascii="仿宋" w:hAnsi="仿宋" w:eastAsia="仿宋" w:cs="仿宋"/>
          <w:b/>
          <w:bCs w:val="0"/>
          <w:sz w:val="28"/>
          <w:szCs w:val="28"/>
          <w:lang w:val="en-US" w:eastAsia="zh-CN"/>
        </w:rPr>
      </w:pPr>
      <w:r>
        <w:rPr>
          <w:rFonts w:hint="eastAsia" w:ascii="仿宋" w:hAnsi="仿宋" w:eastAsia="仿宋" w:cs="仿宋"/>
          <w:lang w:eastAsia="zh-CN"/>
        </w:rPr>
        <w:br w:type="page"/>
      </w:r>
      <w:bookmarkStart w:id="25" w:name="_Toc13099"/>
      <w:bookmarkStart w:id="26" w:name="_Toc26388"/>
      <w:bookmarkStart w:id="27" w:name="_Toc17452"/>
      <w:r>
        <w:rPr>
          <w:rFonts w:hint="eastAsia" w:ascii="仿宋" w:hAnsi="仿宋" w:eastAsia="仿宋" w:cs="仿宋"/>
          <w:b/>
          <w:bCs w:val="0"/>
          <w:kern w:val="0"/>
          <w:sz w:val="28"/>
          <w:szCs w:val="28"/>
          <w:lang w:val="en-US" w:eastAsia="zh-CN" w:bidi="ar"/>
        </w:rPr>
        <w:t>附件2：HSE违章承诺书</w:t>
      </w:r>
      <w:bookmarkEnd w:id="25"/>
      <w:bookmarkEnd w:id="26"/>
      <w:bookmarkEnd w:id="27"/>
    </w:p>
    <w:p w14:paraId="5F902769">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sz w:val="30"/>
          <w:szCs w:val="30"/>
          <w:lang w:val="en-US" w:eastAsia="zh-CN"/>
        </w:rPr>
      </w:pPr>
    </w:p>
    <w:p w14:paraId="3377140F">
      <w:pPr>
        <w:spacing w:line="360" w:lineRule="auto"/>
        <w:ind w:firstLine="803" w:firstLineChars="200"/>
        <w:jc w:val="center"/>
        <w:rPr>
          <w:rFonts w:hint="eastAsia" w:ascii="仿宋" w:hAnsi="仿宋" w:eastAsia="仿宋" w:cs="仿宋"/>
          <w:b/>
          <w:bCs/>
          <w:sz w:val="40"/>
          <w:szCs w:val="40"/>
          <w:lang w:val="en-US" w:eastAsia="zh-CN"/>
        </w:rPr>
      </w:pPr>
      <w:r>
        <w:rPr>
          <w:rFonts w:hint="eastAsia" w:ascii="仿宋" w:hAnsi="仿宋" w:eastAsia="仿宋" w:cs="仿宋"/>
          <w:b/>
          <w:bCs/>
          <w:sz w:val="40"/>
          <w:szCs w:val="40"/>
          <w:lang w:val="en-US" w:eastAsia="zh-CN"/>
        </w:rPr>
        <w:t>HSE违章承诺书</w:t>
      </w:r>
    </w:p>
    <w:p w14:paraId="368F1D64">
      <w:pPr>
        <w:keepNext w:val="0"/>
        <w:keepLines w:val="0"/>
        <w:widowControl w:val="0"/>
        <w:suppressLineNumbers w:val="0"/>
        <w:spacing w:before="0" w:beforeAutospacing="0" w:after="0" w:afterAutospacing="0" w:line="360" w:lineRule="auto"/>
        <w:ind w:left="0" w:right="0"/>
        <w:jc w:val="both"/>
        <w:rPr>
          <w:rFonts w:hint="eastAsia" w:ascii="方正仿宋_GB2312" w:hAnsi="Calibri" w:eastAsia="方正仿宋_GB2312" w:cs="方正仿宋_GB2312"/>
          <w:lang w:val="en-US" w:eastAsia="zh-CN"/>
        </w:rPr>
      </w:pPr>
    </w:p>
    <w:p w14:paraId="2C4096BA">
      <w:pPr>
        <w:keepNext w:val="0"/>
        <w:keepLines w:val="0"/>
        <w:widowControl w:val="0"/>
        <w:suppressLineNumbers w:val="0"/>
        <w:spacing w:before="0" w:beforeAutospacing="0" w:after="0" w:afterAutospacing="0" w:line="360" w:lineRule="auto"/>
        <w:ind w:left="0" w:right="0"/>
        <w:jc w:val="both"/>
        <w:rPr>
          <w:rFonts w:hint="eastAsia" w:ascii="方正仿宋_GB2312" w:hAnsi="Calibri" w:eastAsia="方正仿宋_GB2312" w:cs="方正仿宋_GB2312"/>
          <w:lang w:val="en-US" w:eastAsia="zh-CN"/>
        </w:rPr>
      </w:pPr>
    </w:p>
    <w:p w14:paraId="0C77178A">
      <w:pPr>
        <w:keepNext w:val="0"/>
        <w:keepLines w:val="0"/>
        <w:widowControl w:val="0"/>
        <w:suppressLineNumbers w:val="0"/>
        <w:spacing w:before="0" w:beforeAutospacing="0" w:after="0" w:afterAutospacing="0" w:line="360" w:lineRule="auto"/>
        <w:ind w:left="187" w:leftChars="85" w:right="290" w:rightChars="132" w:firstLine="592" w:firstLineChars="185"/>
        <w:jc w:val="left"/>
        <w:rPr>
          <w:rFonts w:hint="eastAsia" w:ascii="仿宋" w:hAnsi="仿宋" w:eastAsia="仿宋" w:cs="仿宋"/>
          <w:sz w:val="32"/>
          <w:szCs w:val="32"/>
          <w:lang w:val="en-US" w:eastAsia="zh-CN"/>
        </w:rPr>
      </w:pPr>
      <w:r>
        <w:rPr>
          <w:rFonts w:hint="eastAsia" w:ascii="仿宋" w:hAnsi="仿宋" w:eastAsia="仿宋" w:cs="仿宋"/>
          <w:kern w:val="2"/>
          <w:sz w:val="32"/>
          <w:szCs w:val="32"/>
          <w:lang w:val="en-US" w:eastAsia="zh-CN" w:bidi="ar"/>
        </w:rPr>
        <w:t>本人</w:t>
      </w:r>
      <w:r>
        <w:rPr>
          <w:rFonts w:hint="eastAsia" w:ascii="仿宋" w:hAnsi="仿宋" w:eastAsia="仿宋" w:cs="仿宋"/>
          <w:kern w:val="2"/>
          <w:sz w:val="32"/>
          <w:szCs w:val="32"/>
          <w:u w:val="single"/>
          <w:lang w:val="en-US" w:eastAsia="zh-CN" w:bidi="ar"/>
        </w:rPr>
        <w:t xml:space="preserve">          </w:t>
      </w:r>
      <w:r>
        <w:rPr>
          <w:rFonts w:hint="eastAsia" w:ascii="仿宋" w:hAnsi="仿宋" w:eastAsia="仿宋" w:cs="仿宋"/>
          <w:kern w:val="2"/>
          <w:sz w:val="32"/>
          <w:szCs w:val="32"/>
          <w:lang w:val="en-US" w:eastAsia="zh-CN" w:bidi="ar"/>
        </w:rPr>
        <w:t>在（部门）</w:t>
      </w:r>
      <w:r>
        <w:rPr>
          <w:rFonts w:hint="eastAsia" w:ascii="仿宋" w:hAnsi="仿宋" w:eastAsia="仿宋" w:cs="仿宋"/>
          <w:kern w:val="2"/>
          <w:sz w:val="32"/>
          <w:szCs w:val="32"/>
          <w:u w:val="single"/>
          <w:lang w:val="en-US" w:eastAsia="zh-CN" w:bidi="ar"/>
        </w:rPr>
        <w:t xml:space="preserve">          </w:t>
      </w:r>
      <w:r>
        <w:rPr>
          <w:rFonts w:hint="eastAsia" w:ascii="仿宋" w:hAnsi="仿宋" w:eastAsia="仿宋" w:cs="仿宋"/>
          <w:kern w:val="2"/>
          <w:sz w:val="32"/>
          <w:szCs w:val="32"/>
          <w:lang w:val="en-US" w:eastAsia="zh-CN" w:bidi="ar"/>
        </w:rPr>
        <w:t>从事</w:t>
      </w:r>
      <w:r>
        <w:rPr>
          <w:rFonts w:hint="eastAsia" w:ascii="仿宋" w:hAnsi="仿宋" w:eastAsia="仿宋" w:cs="仿宋"/>
          <w:kern w:val="2"/>
          <w:sz w:val="32"/>
          <w:szCs w:val="32"/>
          <w:u w:val="single"/>
          <w:lang w:val="en-US" w:eastAsia="zh-CN" w:bidi="ar"/>
        </w:rPr>
        <w:t xml:space="preserve">             </w:t>
      </w:r>
      <w:r>
        <w:rPr>
          <w:rFonts w:hint="eastAsia" w:ascii="仿宋" w:hAnsi="仿宋" w:eastAsia="仿宋" w:cs="仿宋"/>
          <w:kern w:val="2"/>
          <w:sz w:val="32"/>
          <w:szCs w:val="32"/>
          <w:lang w:val="en-US" w:eastAsia="zh-CN" w:bidi="ar"/>
        </w:rPr>
        <w:t>工作，身份证号：</w:t>
      </w:r>
      <w:r>
        <w:rPr>
          <w:rFonts w:hint="eastAsia" w:ascii="仿宋" w:hAnsi="仿宋" w:eastAsia="仿宋" w:cs="仿宋"/>
          <w:kern w:val="2"/>
          <w:sz w:val="32"/>
          <w:szCs w:val="32"/>
          <w:u w:val="single"/>
          <w:lang w:val="en-US" w:eastAsia="zh-CN" w:bidi="ar"/>
        </w:rPr>
        <w:t xml:space="preserve">                    </w:t>
      </w:r>
      <w:r>
        <w:rPr>
          <w:rFonts w:hint="eastAsia" w:ascii="仿宋" w:hAnsi="仿宋" w:eastAsia="仿宋" w:cs="仿宋"/>
          <w:kern w:val="2"/>
          <w:sz w:val="32"/>
          <w:szCs w:val="32"/>
          <w:lang w:val="en-US" w:eastAsia="zh-CN" w:bidi="ar"/>
        </w:rPr>
        <w:t>。已接受入职安全培训并了解岗位相关安全管理要求。</w:t>
      </w:r>
    </w:p>
    <w:p w14:paraId="0787B5E5">
      <w:pPr>
        <w:keepNext w:val="0"/>
        <w:keepLines w:val="0"/>
        <w:widowControl w:val="0"/>
        <w:suppressLineNumbers w:val="0"/>
        <w:spacing w:before="0" w:beforeAutospacing="0" w:after="0" w:afterAutospacing="0" w:line="360" w:lineRule="auto"/>
        <w:ind w:left="187" w:leftChars="85" w:right="290" w:rightChars="132" w:firstLine="592" w:firstLineChars="185"/>
        <w:jc w:val="left"/>
        <w:rPr>
          <w:rFonts w:hint="eastAsia" w:ascii="仿宋" w:hAnsi="仿宋" w:eastAsia="仿宋" w:cs="仿宋"/>
          <w:sz w:val="32"/>
          <w:szCs w:val="32"/>
          <w:lang w:val="en-US" w:eastAsia="zh-CN"/>
        </w:rPr>
      </w:pPr>
      <w:r>
        <w:rPr>
          <w:rFonts w:hint="eastAsia" w:ascii="仿宋" w:hAnsi="仿宋" w:eastAsia="仿宋" w:cs="仿宋"/>
          <w:kern w:val="2"/>
          <w:sz w:val="32"/>
          <w:szCs w:val="32"/>
          <w:lang w:val="en-US" w:eastAsia="zh-CN" w:bidi="ar"/>
        </w:rPr>
        <w:t>我于</w:t>
      </w:r>
      <w:r>
        <w:rPr>
          <w:rFonts w:hint="eastAsia" w:ascii="仿宋" w:hAnsi="仿宋" w:eastAsia="仿宋" w:cs="仿宋"/>
          <w:kern w:val="2"/>
          <w:sz w:val="32"/>
          <w:szCs w:val="32"/>
          <w:u w:val="single"/>
          <w:lang w:val="en-US" w:eastAsia="zh-CN" w:bidi="ar"/>
        </w:rPr>
        <w:t xml:space="preserve">     </w:t>
      </w:r>
      <w:r>
        <w:rPr>
          <w:rFonts w:hint="eastAsia" w:ascii="仿宋" w:hAnsi="仿宋" w:eastAsia="仿宋" w:cs="仿宋"/>
          <w:kern w:val="2"/>
          <w:sz w:val="32"/>
          <w:szCs w:val="32"/>
          <w:lang w:val="en-US" w:eastAsia="zh-CN" w:bidi="ar"/>
        </w:rPr>
        <w:t>年</w:t>
      </w:r>
      <w:r>
        <w:rPr>
          <w:rFonts w:hint="eastAsia" w:ascii="仿宋" w:hAnsi="仿宋" w:eastAsia="仿宋" w:cs="仿宋"/>
          <w:kern w:val="2"/>
          <w:sz w:val="32"/>
          <w:szCs w:val="32"/>
          <w:u w:val="single"/>
          <w:lang w:val="en-US" w:eastAsia="zh-CN" w:bidi="ar"/>
        </w:rPr>
        <w:t xml:space="preserve">    </w:t>
      </w:r>
      <w:r>
        <w:rPr>
          <w:rFonts w:hint="eastAsia" w:ascii="仿宋" w:hAnsi="仿宋" w:eastAsia="仿宋" w:cs="仿宋"/>
          <w:kern w:val="2"/>
          <w:sz w:val="32"/>
          <w:szCs w:val="32"/>
          <w:lang w:val="en-US" w:eastAsia="zh-CN" w:bidi="ar"/>
        </w:rPr>
        <w:t>月</w:t>
      </w:r>
      <w:r>
        <w:rPr>
          <w:rFonts w:hint="eastAsia" w:ascii="仿宋" w:hAnsi="仿宋" w:eastAsia="仿宋" w:cs="仿宋"/>
          <w:kern w:val="2"/>
          <w:sz w:val="32"/>
          <w:szCs w:val="32"/>
          <w:u w:val="single"/>
          <w:lang w:val="en-US" w:eastAsia="zh-CN" w:bidi="ar"/>
        </w:rPr>
        <w:t xml:space="preserve">    </w:t>
      </w:r>
      <w:r>
        <w:rPr>
          <w:rFonts w:hint="eastAsia" w:ascii="仿宋" w:hAnsi="仿宋" w:eastAsia="仿宋" w:cs="仿宋"/>
          <w:kern w:val="2"/>
          <w:sz w:val="32"/>
          <w:szCs w:val="32"/>
          <w:lang w:val="en-US" w:eastAsia="zh-CN" w:bidi="ar"/>
        </w:rPr>
        <w:t>日，在</w:t>
      </w:r>
      <w:r>
        <w:rPr>
          <w:rFonts w:hint="eastAsia" w:ascii="仿宋" w:hAnsi="仿宋" w:eastAsia="仿宋" w:cs="仿宋"/>
          <w:kern w:val="2"/>
          <w:sz w:val="32"/>
          <w:szCs w:val="32"/>
          <w:u w:val="single"/>
          <w:lang w:val="en-US" w:eastAsia="zh-CN" w:bidi="ar"/>
        </w:rPr>
        <w:t xml:space="preserve">               </w:t>
      </w:r>
      <w:r>
        <w:rPr>
          <w:rFonts w:hint="eastAsia" w:ascii="仿宋" w:hAnsi="仿宋" w:eastAsia="仿宋" w:cs="仿宋"/>
          <w:kern w:val="2"/>
          <w:sz w:val="32"/>
          <w:szCs w:val="32"/>
          <w:lang w:val="en-US" w:eastAsia="zh-CN" w:bidi="ar"/>
        </w:rPr>
        <w:t>地点，从事</w:t>
      </w:r>
      <w:r>
        <w:rPr>
          <w:rFonts w:hint="eastAsia" w:ascii="仿宋" w:hAnsi="仿宋" w:eastAsia="仿宋" w:cs="仿宋"/>
          <w:kern w:val="2"/>
          <w:sz w:val="32"/>
          <w:szCs w:val="32"/>
          <w:u w:val="single"/>
          <w:lang w:val="en-US" w:eastAsia="zh-CN" w:bidi="ar"/>
        </w:rPr>
        <w:t xml:space="preserve">         </w:t>
      </w:r>
      <w:r>
        <w:rPr>
          <w:rFonts w:hint="eastAsia" w:ascii="仿宋" w:hAnsi="仿宋" w:eastAsia="仿宋" w:cs="仿宋"/>
          <w:kern w:val="2"/>
          <w:sz w:val="32"/>
          <w:szCs w:val="32"/>
          <w:lang w:val="en-US" w:eastAsia="zh-CN" w:bidi="ar"/>
        </w:rPr>
        <w:t>工作时，违反了</w:t>
      </w:r>
      <w:r>
        <w:rPr>
          <w:rFonts w:hint="eastAsia" w:ascii="仿宋" w:hAnsi="仿宋" w:eastAsia="仿宋" w:cs="仿宋"/>
          <w:kern w:val="2"/>
          <w:sz w:val="32"/>
          <w:szCs w:val="32"/>
          <w:u w:val="single"/>
          <w:lang w:val="en-US" w:eastAsia="zh-CN" w:bidi="ar"/>
        </w:rPr>
        <w:t xml:space="preserve">                          </w:t>
      </w:r>
      <w:r>
        <w:rPr>
          <w:rFonts w:hint="eastAsia" w:ascii="仿宋" w:hAnsi="仿宋" w:eastAsia="仿宋" w:cs="仿宋"/>
          <w:kern w:val="2"/>
          <w:sz w:val="32"/>
          <w:szCs w:val="32"/>
          <w:lang w:val="en-US" w:eastAsia="zh-CN" w:bidi="ar"/>
        </w:rPr>
        <w:t>安全管理规定。经公司人员安全教育，已深刻认识到自己所犯的错误。</w:t>
      </w:r>
    </w:p>
    <w:p w14:paraId="087E5E96">
      <w:pPr>
        <w:keepNext w:val="0"/>
        <w:keepLines w:val="0"/>
        <w:widowControl w:val="0"/>
        <w:suppressLineNumbers w:val="0"/>
        <w:spacing w:before="0" w:beforeAutospacing="0" w:after="0" w:afterAutospacing="0" w:line="360" w:lineRule="auto"/>
        <w:ind w:left="187" w:leftChars="85" w:right="290" w:rightChars="132" w:firstLine="592" w:firstLineChars="185"/>
        <w:jc w:val="left"/>
        <w:rPr>
          <w:rFonts w:hint="eastAsia" w:ascii="仿宋" w:hAnsi="仿宋" w:eastAsia="仿宋" w:cs="仿宋"/>
          <w:sz w:val="32"/>
          <w:szCs w:val="32"/>
          <w:lang w:val="en-US" w:eastAsia="zh-CN"/>
        </w:rPr>
      </w:pPr>
      <w:r>
        <w:rPr>
          <w:rFonts w:hint="eastAsia" w:ascii="仿宋" w:hAnsi="仿宋" w:eastAsia="仿宋" w:cs="仿宋"/>
          <w:kern w:val="2"/>
          <w:sz w:val="32"/>
          <w:szCs w:val="32"/>
          <w:lang w:val="en-US" w:eastAsia="zh-CN" w:bidi="ar"/>
        </w:rPr>
        <w:t>在以后的工作中，我将严格遵守安全规章制度，服从管理，若再次违反，自愿接受处罚直至辞退处理！</w:t>
      </w:r>
    </w:p>
    <w:p w14:paraId="2D039714">
      <w:pPr>
        <w:keepNext w:val="0"/>
        <w:keepLines w:val="0"/>
        <w:widowControl w:val="0"/>
        <w:suppressLineNumbers w:val="0"/>
        <w:spacing w:before="0" w:beforeAutospacing="0" w:after="0" w:afterAutospacing="0" w:line="360" w:lineRule="auto"/>
        <w:ind w:left="187" w:leftChars="85" w:right="290" w:rightChars="132" w:firstLine="432" w:firstLineChars="135"/>
        <w:jc w:val="left"/>
        <w:rPr>
          <w:rFonts w:hint="eastAsia" w:ascii="仿宋" w:hAnsi="仿宋" w:eastAsia="仿宋" w:cs="仿宋"/>
          <w:sz w:val="32"/>
          <w:szCs w:val="32"/>
          <w:lang w:val="en-US" w:eastAsia="zh-CN"/>
        </w:rPr>
      </w:pPr>
      <w:r>
        <w:rPr>
          <w:rFonts w:hint="eastAsia" w:ascii="仿宋" w:hAnsi="仿宋" w:eastAsia="仿宋" w:cs="仿宋"/>
          <w:kern w:val="2"/>
          <w:sz w:val="32"/>
          <w:szCs w:val="32"/>
          <w:lang w:val="en-US" w:eastAsia="zh-CN" w:bidi="ar"/>
        </w:rPr>
        <w:t xml:space="preserve">    特此郑重承诺。</w:t>
      </w:r>
    </w:p>
    <w:p w14:paraId="7BCC7928">
      <w:pPr>
        <w:keepNext w:val="0"/>
        <w:keepLines w:val="0"/>
        <w:widowControl w:val="0"/>
        <w:suppressLineNumbers w:val="0"/>
        <w:spacing w:before="0" w:beforeAutospacing="0" w:after="0" w:afterAutospacing="0" w:line="360" w:lineRule="auto"/>
        <w:ind w:left="187" w:leftChars="85" w:right="290" w:rightChars="132" w:firstLine="432" w:firstLineChars="135"/>
        <w:jc w:val="both"/>
        <w:rPr>
          <w:rFonts w:hint="eastAsia" w:ascii="仿宋" w:hAnsi="仿宋" w:eastAsia="仿宋" w:cs="仿宋"/>
          <w:sz w:val="32"/>
          <w:szCs w:val="32"/>
          <w:lang w:val="en-US" w:eastAsia="zh-CN"/>
        </w:rPr>
      </w:pPr>
    </w:p>
    <w:p w14:paraId="6B79A3FA">
      <w:pPr>
        <w:keepNext w:val="0"/>
        <w:keepLines w:val="0"/>
        <w:widowControl w:val="0"/>
        <w:suppressLineNumbers w:val="0"/>
        <w:spacing w:before="0" w:beforeAutospacing="0" w:after="0" w:afterAutospacing="0" w:line="360" w:lineRule="auto"/>
        <w:ind w:left="187" w:leftChars="85" w:right="290" w:rightChars="132" w:firstLine="432" w:firstLineChars="135"/>
        <w:jc w:val="both"/>
        <w:rPr>
          <w:rFonts w:hint="eastAsia" w:ascii="仿宋" w:hAnsi="仿宋" w:eastAsia="仿宋" w:cs="仿宋"/>
          <w:sz w:val="32"/>
          <w:szCs w:val="32"/>
          <w:lang w:val="en-US" w:eastAsia="zh-CN"/>
        </w:rPr>
      </w:pPr>
    </w:p>
    <w:p w14:paraId="77A0C240">
      <w:pPr>
        <w:keepNext w:val="0"/>
        <w:keepLines w:val="0"/>
        <w:widowControl w:val="0"/>
        <w:suppressLineNumbers w:val="0"/>
        <w:spacing w:before="0" w:beforeAutospacing="0" w:after="0" w:afterAutospacing="0" w:line="360" w:lineRule="auto"/>
        <w:ind w:left="187" w:leftChars="85" w:right="290" w:rightChars="132" w:firstLine="5971" w:firstLineChars="1866"/>
        <w:jc w:val="left"/>
        <w:rPr>
          <w:rFonts w:hint="eastAsia" w:ascii="仿宋" w:hAnsi="仿宋" w:eastAsia="仿宋" w:cs="仿宋"/>
          <w:sz w:val="32"/>
          <w:szCs w:val="32"/>
          <w:u w:val="single"/>
          <w:lang w:val="en-US" w:eastAsia="zh-CN"/>
        </w:rPr>
      </w:pPr>
      <w:r>
        <w:rPr>
          <w:rFonts w:hint="eastAsia" w:ascii="仿宋" w:hAnsi="仿宋" w:eastAsia="仿宋" w:cs="仿宋"/>
          <w:kern w:val="2"/>
          <w:sz w:val="32"/>
          <w:szCs w:val="32"/>
          <w:lang w:val="en-US" w:eastAsia="zh-CN" w:bidi="ar"/>
        </w:rPr>
        <w:t>承诺人：</w:t>
      </w:r>
      <w:r>
        <w:rPr>
          <w:rFonts w:hint="eastAsia" w:ascii="仿宋" w:hAnsi="仿宋" w:eastAsia="仿宋" w:cs="仿宋"/>
          <w:kern w:val="2"/>
          <w:sz w:val="32"/>
          <w:szCs w:val="32"/>
          <w:u w:val="single"/>
          <w:lang w:val="en-US" w:eastAsia="zh-CN" w:bidi="ar"/>
        </w:rPr>
        <w:t xml:space="preserve">       </w:t>
      </w:r>
    </w:p>
    <w:p w14:paraId="7F2A29B5">
      <w:pPr>
        <w:keepNext w:val="0"/>
        <w:keepLines w:val="0"/>
        <w:widowControl w:val="0"/>
        <w:suppressLineNumbers w:val="0"/>
        <w:wordWrap w:val="0"/>
        <w:spacing w:before="0" w:beforeAutospacing="0" w:after="0" w:afterAutospacing="0" w:line="360" w:lineRule="auto"/>
        <w:ind w:left="187" w:leftChars="85" w:right="290" w:rightChars="132" w:firstLine="5971" w:firstLineChars="1866"/>
        <w:jc w:val="left"/>
        <w:rPr>
          <w:rFonts w:hint="eastAsia" w:ascii="仿宋" w:hAnsi="仿宋" w:eastAsia="仿宋" w:cs="仿宋"/>
          <w:sz w:val="32"/>
          <w:szCs w:val="32"/>
          <w:u w:val="single"/>
          <w:lang w:val="en-US" w:eastAsia="zh-CN"/>
        </w:rPr>
      </w:pPr>
      <w:r>
        <w:rPr>
          <w:rFonts w:hint="eastAsia" w:ascii="仿宋" w:hAnsi="仿宋" w:eastAsia="仿宋" w:cs="仿宋"/>
          <w:kern w:val="2"/>
          <w:sz w:val="32"/>
          <w:szCs w:val="32"/>
          <w:lang w:val="en-US" w:eastAsia="zh-CN" w:bidi="ar"/>
        </w:rPr>
        <w:t>日  期：</w:t>
      </w:r>
      <w:r>
        <w:rPr>
          <w:rFonts w:hint="eastAsia" w:ascii="仿宋" w:hAnsi="仿宋" w:eastAsia="仿宋" w:cs="仿宋"/>
          <w:kern w:val="2"/>
          <w:sz w:val="32"/>
          <w:szCs w:val="32"/>
          <w:u w:val="single"/>
          <w:lang w:val="en-US" w:eastAsia="zh-CN" w:bidi="ar"/>
        </w:rPr>
        <w:t xml:space="preserve">        </w:t>
      </w:r>
    </w:p>
    <w:p w14:paraId="008E51DD">
      <w:pPr>
        <w:keepNext w:val="0"/>
        <w:keepLines w:val="0"/>
        <w:widowControl w:val="0"/>
        <w:suppressLineNumbers w:val="0"/>
        <w:spacing w:before="0" w:beforeAutospacing="0" w:after="0" w:afterAutospacing="0" w:line="360" w:lineRule="auto"/>
        <w:ind w:left="5635" w:leftChars="334" w:right="0" w:hanging="4900" w:hangingChars="1750"/>
        <w:jc w:val="both"/>
        <w:rPr>
          <w:rFonts w:hint="eastAsia" w:ascii="宋体" w:hAnsi="宋体" w:eastAsia="宋体" w:cs="宋体"/>
          <w:sz w:val="28"/>
          <w:szCs w:val="28"/>
          <w:lang w:val="en-US" w:eastAsia="zh-CN"/>
        </w:rPr>
      </w:pPr>
    </w:p>
    <w:p w14:paraId="01637944">
      <w:pPr>
        <w:keepNext w:val="0"/>
        <w:keepLines w:val="0"/>
        <w:widowControl w:val="0"/>
        <w:suppressLineNumbers w:val="0"/>
        <w:spacing w:before="0" w:beforeAutospacing="0" w:after="0" w:afterAutospacing="0" w:line="360" w:lineRule="auto"/>
        <w:ind w:left="4935" w:leftChars="334" w:right="0" w:hanging="4200" w:hangingChars="1750"/>
        <w:jc w:val="both"/>
        <w:rPr>
          <w:rFonts w:hint="eastAsia" w:ascii="宋体" w:hAnsi="宋体" w:eastAsia="宋体" w:cs="宋体"/>
          <w:sz w:val="24"/>
          <w:szCs w:val="22"/>
          <w:lang w:val="en-US" w:eastAsia="zh-CN"/>
        </w:rPr>
      </w:pPr>
      <w:r>
        <w:rPr>
          <w:rFonts w:hint="eastAsia" w:ascii="宋体" w:hAnsi="宋体" w:eastAsia="宋体" w:cs="Times New Roman"/>
          <w:kern w:val="2"/>
          <w:sz w:val="24"/>
          <w:szCs w:val="22"/>
          <w:lang w:val="en-US" w:eastAsia="zh-CN" w:bidi="ar"/>
        </w:rPr>
        <w:br w:type="page"/>
      </w:r>
    </w:p>
    <w:p w14:paraId="268D5A77">
      <w:pPr>
        <w:keepNext w:val="0"/>
        <w:keepLines w:val="0"/>
        <w:widowControl w:val="0"/>
        <w:suppressLineNumbers w:val="0"/>
        <w:tabs>
          <w:tab w:val="left" w:pos="838"/>
        </w:tabs>
        <w:spacing w:before="0" w:beforeAutospacing="0" w:after="120" w:afterAutospacing="0" w:line="360" w:lineRule="auto"/>
        <w:ind w:left="0" w:right="153"/>
        <w:jc w:val="left"/>
        <w:outlineLvl w:val="0"/>
        <w:rPr>
          <w:rFonts w:hint="eastAsia" w:ascii="仿宋" w:hAnsi="仿宋" w:eastAsia="仿宋" w:cs="仿宋"/>
          <w:b/>
          <w:bCs w:val="0"/>
          <w:sz w:val="28"/>
          <w:szCs w:val="28"/>
          <w:lang w:val="en-US" w:eastAsia="zh-CN"/>
        </w:rPr>
      </w:pPr>
      <w:bookmarkStart w:id="28" w:name="_Toc11110"/>
      <w:bookmarkStart w:id="29" w:name="_Toc19728"/>
      <w:bookmarkStart w:id="30" w:name="_Toc20542"/>
      <w:r>
        <w:rPr>
          <w:rFonts w:hint="eastAsia" w:ascii="仿宋" w:hAnsi="仿宋" w:eastAsia="仿宋" w:cs="仿宋"/>
          <w:b/>
          <w:bCs w:val="0"/>
          <w:kern w:val="0"/>
          <w:sz w:val="28"/>
          <w:szCs w:val="28"/>
          <w:lang w:val="en-US" w:eastAsia="zh-CN" w:bidi="ar"/>
        </w:rPr>
        <w:t>附件3：员工违规违纪处罚单</w:t>
      </w:r>
      <w:bookmarkEnd w:id="28"/>
      <w:bookmarkEnd w:id="29"/>
      <w:bookmarkEnd w:id="30"/>
    </w:p>
    <w:p w14:paraId="1A32FD82">
      <w:pPr>
        <w:jc w:val="center"/>
        <w:rPr>
          <w:rFonts w:hint="eastAsia" w:ascii="仿宋" w:hAnsi="仿宋" w:eastAsia="仿宋" w:cs="仿宋"/>
          <w:sz w:val="30"/>
          <w:szCs w:val="30"/>
          <w:lang w:val="en-US" w:eastAsia="zh-CN"/>
        </w:rPr>
      </w:pPr>
      <w:r>
        <w:rPr>
          <w:rFonts w:hint="eastAsia" w:ascii="仿宋" w:hAnsi="仿宋" w:eastAsia="仿宋" w:cs="仿宋"/>
          <w:sz w:val="30"/>
          <w:szCs w:val="30"/>
          <w:lang w:eastAsia="zh-CN"/>
        </w:rPr>
        <w:t>宁津北控城市环境服务有限公司</w:t>
      </w:r>
    </w:p>
    <w:p w14:paraId="0A1DEA20">
      <w:pPr>
        <w:jc w:val="center"/>
        <w:rPr>
          <w:rFonts w:hint="eastAsia" w:ascii="仿宋" w:hAnsi="仿宋" w:eastAsia="仿宋" w:cs="仿宋"/>
          <w:sz w:val="30"/>
          <w:szCs w:val="30"/>
          <w:vertAlign w:val="baseline"/>
        </w:rPr>
      </w:pPr>
      <w:r>
        <w:rPr>
          <w:rFonts w:hint="eastAsia" w:ascii="仿宋" w:hAnsi="仿宋" w:eastAsia="仿宋" w:cs="仿宋"/>
          <w:sz w:val="30"/>
          <w:szCs w:val="30"/>
        </w:rPr>
        <w:t>员工违规违纪处罚单</w:t>
      </w:r>
    </w:p>
    <w:tbl>
      <w:tblPr>
        <w:tblStyle w:val="14"/>
        <w:tblW w:w="90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3349"/>
        <w:gridCol w:w="1818"/>
        <w:gridCol w:w="1791"/>
      </w:tblGrid>
      <w:tr w14:paraId="47E8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2130" w:type="dxa"/>
            <w:vAlign w:val="center"/>
          </w:tcPr>
          <w:p w14:paraId="22B8552A">
            <w:pPr>
              <w:keepNext w:val="0"/>
              <w:keepLines w:val="0"/>
              <w:suppressLineNumbers w:val="0"/>
              <w:spacing w:before="0" w:beforeAutospacing="0" w:after="0" w:afterAutospacing="0"/>
              <w:ind w:left="0" w:right="0"/>
              <w:jc w:val="left"/>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姓名：</w:t>
            </w:r>
          </w:p>
        </w:tc>
        <w:tc>
          <w:tcPr>
            <w:tcW w:w="3349" w:type="dxa"/>
            <w:vAlign w:val="center"/>
          </w:tcPr>
          <w:p w14:paraId="2BF3BB25">
            <w:pPr>
              <w:keepNext w:val="0"/>
              <w:keepLines w:val="0"/>
              <w:suppressLineNumbers w:val="0"/>
              <w:spacing w:before="0" w:beforeAutospacing="0" w:after="0" w:afterAutospacing="0"/>
              <w:ind w:left="0" w:right="0"/>
              <w:jc w:val="left"/>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时间：</w:t>
            </w:r>
          </w:p>
        </w:tc>
        <w:tc>
          <w:tcPr>
            <w:tcW w:w="1818" w:type="dxa"/>
            <w:vAlign w:val="center"/>
          </w:tcPr>
          <w:p w14:paraId="4D90180C">
            <w:pPr>
              <w:keepNext w:val="0"/>
              <w:keepLines w:val="0"/>
              <w:suppressLineNumbers w:val="0"/>
              <w:spacing w:before="0" w:beforeAutospacing="0" w:after="0" w:afterAutospacing="0"/>
              <w:ind w:left="0" w:right="0"/>
              <w:jc w:val="left"/>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部门：</w:t>
            </w:r>
          </w:p>
        </w:tc>
        <w:tc>
          <w:tcPr>
            <w:tcW w:w="1791" w:type="dxa"/>
            <w:vAlign w:val="center"/>
          </w:tcPr>
          <w:p w14:paraId="2FCF1894">
            <w:pPr>
              <w:keepNext w:val="0"/>
              <w:keepLines w:val="0"/>
              <w:suppressLineNumbers w:val="0"/>
              <w:spacing w:before="0" w:beforeAutospacing="0" w:after="0" w:afterAutospacing="0"/>
              <w:ind w:left="0" w:right="0"/>
              <w:jc w:val="left"/>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岗位：</w:t>
            </w:r>
          </w:p>
        </w:tc>
      </w:tr>
      <w:tr w14:paraId="0EFDB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8" w:hRule="atLeast"/>
        </w:trPr>
        <w:tc>
          <w:tcPr>
            <w:tcW w:w="9088" w:type="dxa"/>
            <w:gridSpan w:val="4"/>
            <w:vAlign w:val="top"/>
          </w:tcPr>
          <w:p w14:paraId="516118CE">
            <w:pPr>
              <w:keepNext w:val="0"/>
              <w:keepLines w:val="0"/>
              <w:suppressLineNumbers w:val="0"/>
              <w:spacing w:before="0" w:beforeAutospacing="0" w:after="0" w:afterAutospacing="0"/>
              <w:ind w:left="0" w:right="0"/>
              <w:jc w:val="left"/>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违纪事由：</w:t>
            </w:r>
          </w:p>
        </w:tc>
      </w:tr>
      <w:tr w14:paraId="03715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9088" w:type="dxa"/>
            <w:gridSpan w:val="4"/>
            <w:vAlign w:val="center"/>
          </w:tcPr>
          <w:p w14:paraId="7CA5D1D6">
            <w:pPr>
              <w:keepNext w:val="0"/>
              <w:keepLines w:val="0"/>
              <w:suppressLineNumbers w:val="0"/>
              <w:tabs>
                <w:tab w:val="left" w:pos="2533"/>
              </w:tabs>
              <w:spacing w:before="0" w:beforeAutospacing="0" w:after="0" w:afterAutospacing="0"/>
              <w:ind w:left="0" w:right="0"/>
              <w:jc w:val="center"/>
              <w:rPr>
                <w:rFonts w:hint="eastAsia" w:ascii="仿宋" w:hAnsi="仿宋" w:eastAsia="仿宋" w:cs="仿宋"/>
                <w:sz w:val="21"/>
                <w:szCs w:val="21"/>
                <w:vertAlign w:val="baseline"/>
                <w:lang w:eastAsia="zh-CN"/>
              </w:rPr>
            </w:pPr>
            <w:r>
              <w:rPr>
                <w:rFonts w:hint="eastAsia" w:ascii="仿宋" w:hAnsi="仿宋" w:eastAsia="仿宋" w:cs="仿宋"/>
                <w:snapToGrid w:val="0"/>
                <w:color w:val="000000"/>
                <w:spacing w:val="-2"/>
                <w:kern w:val="0"/>
                <w:sz w:val="21"/>
                <w:szCs w:val="21"/>
                <w:lang w:val="en-US" w:eastAsia="zh-CN"/>
              </w:rPr>
              <w:t>处理决定：</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警告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经济处罚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降职、降薪和调岗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解除劳动合同（劳务协议）</w:t>
            </w:r>
          </w:p>
        </w:tc>
      </w:tr>
      <w:tr w14:paraId="0ABA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9088" w:type="dxa"/>
            <w:gridSpan w:val="4"/>
            <w:vAlign w:val="center"/>
          </w:tcPr>
          <w:p w14:paraId="0F650E91">
            <w:pPr>
              <w:keepNext w:val="0"/>
              <w:keepLines w:val="0"/>
              <w:suppressLineNumbers w:val="0"/>
              <w:spacing w:before="0" w:beforeAutospacing="0" w:after="0" w:afterAutospacing="0"/>
              <w:ind w:left="0" w:right="0"/>
              <w:jc w:val="both"/>
              <w:rPr>
                <w:rFonts w:hint="default" w:ascii="仿宋" w:hAnsi="仿宋" w:eastAsia="仿宋" w:cs="仿宋"/>
                <w:sz w:val="21"/>
                <w:szCs w:val="21"/>
                <w:vertAlign w:val="baseline"/>
                <w:lang w:val="en-US" w:eastAsia="zh-CN"/>
              </w:rPr>
            </w:pPr>
            <w:r>
              <w:rPr>
                <w:rFonts w:hint="eastAsia" w:ascii="仿宋" w:hAnsi="仿宋" w:eastAsia="仿宋" w:cs="仿宋"/>
                <w:snapToGrid w:val="0"/>
                <w:color w:val="000000"/>
                <w:spacing w:val="-2"/>
                <w:kern w:val="0"/>
                <w:sz w:val="21"/>
                <w:szCs w:val="21"/>
                <w:lang w:val="en-US" w:eastAsia="zh-CN"/>
              </w:rPr>
              <w:t>经济处罚额度：</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10元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20元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30元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50元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100元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200元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300元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其他</w:t>
            </w:r>
            <w:r>
              <w:rPr>
                <w:rFonts w:hint="eastAsia" w:ascii="仿宋" w:hAnsi="仿宋" w:eastAsia="仿宋" w:cs="仿宋"/>
                <w:snapToGrid w:val="0"/>
                <w:color w:val="000000"/>
                <w:spacing w:val="-2"/>
                <w:kern w:val="0"/>
                <w:sz w:val="21"/>
                <w:szCs w:val="21"/>
                <w:u w:val="single"/>
                <w:lang w:val="en-US" w:eastAsia="zh-CN"/>
              </w:rPr>
              <w:t xml:space="preserve">      </w:t>
            </w:r>
          </w:p>
        </w:tc>
      </w:tr>
      <w:tr w14:paraId="524D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7" w:hRule="atLeast"/>
        </w:trPr>
        <w:tc>
          <w:tcPr>
            <w:tcW w:w="9088" w:type="dxa"/>
            <w:gridSpan w:val="4"/>
          </w:tcPr>
          <w:p w14:paraId="65D5AF80">
            <w:pPr>
              <w:keepNext w:val="0"/>
              <w:keepLines w:val="0"/>
              <w:suppressLineNumbers w:val="0"/>
              <w:spacing w:before="0" w:beforeAutospacing="0" w:after="0" w:afterAutospacing="0"/>
              <w:ind w:left="0" w:right="0"/>
              <w:jc w:val="both"/>
              <w:rPr>
                <w:rFonts w:hint="eastAsia" w:ascii="仿宋" w:hAnsi="仿宋" w:eastAsia="仿宋" w:cs="仿宋"/>
                <w:snapToGrid w:val="0"/>
                <w:color w:val="000000"/>
                <w:spacing w:val="-2"/>
                <w:kern w:val="0"/>
                <w:sz w:val="21"/>
                <w:szCs w:val="21"/>
                <w:lang w:val="en-US" w:eastAsia="zh-CN"/>
              </w:rPr>
            </w:pPr>
          </w:p>
          <w:p w14:paraId="2AE0C178">
            <w:pPr>
              <w:keepNext w:val="0"/>
              <w:keepLines w:val="0"/>
              <w:suppressLineNumbers w:val="0"/>
              <w:spacing w:before="0" w:beforeAutospacing="0" w:after="0" w:afterAutospacing="0"/>
              <w:ind w:left="0" w:right="0"/>
              <w:jc w:val="both"/>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本人签字确认：                 主管：                部门负责人：</w:t>
            </w:r>
          </w:p>
          <w:p w14:paraId="5EF1D71B">
            <w:pPr>
              <w:keepNext w:val="0"/>
              <w:keepLines w:val="0"/>
              <w:suppressLineNumbers w:val="0"/>
              <w:spacing w:before="0" w:beforeAutospacing="0" w:after="0" w:afterAutospacing="0"/>
              <w:ind w:left="0" w:right="0"/>
              <w:jc w:val="both"/>
              <w:rPr>
                <w:rFonts w:hint="eastAsia" w:ascii="仿宋" w:hAnsi="仿宋" w:eastAsia="仿宋" w:cs="仿宋"/>
                <w:snapToGrid w:val="0"/>
                <w:color w:val="000000"/>
                <w:spacing w:val="-2"/>
                <w:kern w:val="0"/>
                <w:sz w:val="21"/>
                <w:szCs w:val="21"/>
                <w:lang w:val="en-US" w:eastAsia="zh-CN"/>
              </w:rPr>
            </w:pPr>
          </w:p>
          <w:p w14:paraId="107E263E">
            <w:pPr>
              <w:keepNext w:val="0"/>
              <w:keepLines w:val="0"/>
              <w:suppressLineNumbers w:val="0"/>
              <w:spacing w:before="0" w:beforeAutospacing="0" w:after="0" w:afterAutospacing="0"/>
              <w:ind w:left="0" w:right="0"/>
              <w:jc w:val="both"/>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人力综合部：           安环品质部：         分管领导：          项目负责人：</w:t>
            </w:r>
          </w:p>
          <w:p w14:paraId="62EFEF11">
            <w:pPr>
              <w:keepNext w:val="0"/>
              <w:keepLines w:val="0"/>
              <w:suppressLineNumbers w:val="0"/>
              <w:spacing w:before="0" w:beforeAutospacing="0" w:after="0" w:afterAutospacing="0"/>
              <w:ind w:left="0" w:right="0"/>
              <w:jc w:val="both"/>
              <w:rPr>
                <w:rFonts w:hint="eastAsia" w:ascii="仿宋" w:hAnsi="仿宋" w:eastAsia="仿宋" w:cs="仿宋"/>
                <w:snapToGrid w:val="0"/>
                <w:color w:val="000000"/>
                <w:spacing w:val="-2"/>
                <w:kern w:val="0"/>
                <w:sz w:val="21"/>
                <w:szCs w:val="21"/>
                <w:lang w:val="en-US" w:eastAsia="zh-CN"/>
              </w:rPr>
            </w:pPr>
          </w:p>
        </w:tc>
      </w:tr>
    </w:tbl>
    <w:p w14:paraId="7ACEFDD7">
      <w:pPr>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中缝线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p>
    <w:p w14:paraId="4E4BA1D9">
      <w:pPr>
        <w:jc w:val="center"/>
        <w:rPr>
          <w:rFonts w:hint="eastAsia" w:ascii="微软雅黑" w:hAnsi="微软雅黑" w:eastAsia="微软雅黑" w:cs="微软雅黑"/>
          <w:sz w:val="21"/>
          <w:szCs w:val="21"/>
          <w:lang w:val="en-US" w:eastAsia="zh-CN"/>
        </w:rPr>
      </w:pPr>
    </w:p>
    <w:p w14:paraId="53D79F50">
      <w:pPr>
        <w:jc w:val="center"/>
        <w:rPr>
          <w:rFonts w:hint="eastAsia" w:ascii="仿宋" w:hAnsi="仿宋" w:eastAsia="仿宋" w:cs="仿宋"/>
          <w:sz w:val="30"/>
          <w:szCs w:val="30"/>
          <w:lang w:val="en-US" w:eastAsia="zh-CN"/>
        </w:rPr>
      </w:pPr>
      <w:r>
        <w:rPr>
          <w:rFonts w:hint="eastAsia" w:ascii="仿宋" w:hAnsi="仿宋" w:eastAsia="仿宋" w:cs="仿宋"/>
          <w:sz w:val="30"/>
          <w:szCs w:val="30"/>
          <w:lang w:eastAsia="zh-CN"/>
        </w:rPr>
        <w:t>宁津北控城市环境服务有限公司</w:t>
      </w:r>
    </w:p>
    <w:p w14:paraId="2D871E47">
      <w:pPr>
        <w:jc w:val="center"/>
        <w:rPr>
          <w:rFonts w:hint="eastAsia" w:ascii="仿宋" w:hAnsi="仿宋" w:eastAsia="仿宋" w:cs="仿宋"/>
          <w:sz w:val="30"/>
          <w:szCs w:val="30"/>
          <w:vertAlign w:val="baseline"/>
        </w:rPr>
      </w:pPr>
      <w:r>
        <w:rPr>
          <w:rFonts w:hint="eastAsia" w:ascii="仿宋" w:hAnsi="仿宋" w:eastAsia="仿宋" w:cs="仿宋"/>
          <w:sz w:val="30"/>
          <w:szCs w:val="30"/>
        </w:rPr>
        <w:t>员工违规违纪处罚单</w:t>
      </w:r>
    </w:p>
    <w:tbl>
      <w:tblPr>
        <w:tblStyle w:val="14"/>
        <w:tblW w:w="90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3349"/>
        <w:gridCol w:w="1818"/>
        <w:gridCol w:w="1791"/>
      </w:tblGrid>
      <w:tr w14:paraId="59577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2130" w:type="dxa"/>
            <w:vAlign w:val="center"/>
          </w:tcPr>
          <w:p w14:paraId="601CEC37">
            <w:pPr>
              <w:keepNext w:val="0"/>
              <w:keepLines w:val="0"/>
              <w:suppressLineNumbers w:val="0"/>
              <w:spacing w:before="0" w:beforeAutospacing="0" w:after="0" w:afterAutospacing="0"/>
              <w:ind w:left="0" w:right="0"/>
              <w:jc w:val="left"/>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姓名：</w:t>
            </w:r>
          </w:p>
        </w:tc>
        <w:tc>
          <w:tcPr>
            <w:tcW w:w="3349" w:type="dxa"/>
            <w:vAlign w:val="center"/>
          </w:tcPr>
          <w:p w14:paraId="16455109">
            <w:pPr>
              <w:keepNext w:val="0"/>
              <w:keepLines w:val="0"/>
              <w:suppressLineNumbers w:val="0"/>
              <w:spacing w:before="0" w:beforeAutospacing="0" w:after="0" w:afterAutospacing="0"/>
              <w:ind w:left="0" w:right="0"/>
              <w:jc w:val="left"/>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时间：</w:t>
            </w:r>
          </w:p>
        </w:tc>
        <w:tc>
          <w:tcPr>
            <w:tcW w:w="1818" w:type="dxa"/>
            <w:vAlign w:val="center"/>
          </w:tcPr>
          <w:p w14:paraId="035DA0AC">
            <w:pPr>
              <w:keepNext w:val="0"/>
              <w:keepLines w:val="0"/>
              <w:suppressLineNumbers w:val="0"/>
              <w:spacing w:before="0" w:beforeAutospacing="0" w:after="0" w:afterAutospacing="0"/>
              <w:ind w:left="0" w:right="0"/>
              <w:jc w:val="left"/>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部门：</w:t>
            </w:r>
          </w:p>
        </w:tc>
        <w:tc>
          <w:tcPr>
            <w:tcW w:w="1791" w:type="dxa"/>
            <w:vAlign w:val="center"/>
          </w:tcPr>
          <w:p w14:paraId="5A7F1AD1">
            <w:pPr>
              <w:keepNext w:val="0"/>
              <w:keepLines w:val="0"/>
              <w:suppressLineNumbers w:val="0"/>
              <w:spacing w:before="0" w:beforeAutospacing="0" w:after="0" w:afterAutospacing="0"/>
              <w:ind w:left="0" w:right="0"/>
              <w:jc w:val="left"/>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岗位：</w:t>
            </w:r>
          </w:p>
        </w:tc>
      </w:tr>
      <w:tr w14:paraId="44503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8" w:hRule="atLeast"/>
        </w:trPr>
        <w:tc>
          <w:tcPr>
            <w:tcW w:w="9088" w:type="dxa"/>
            <w:gridSpan w:val="4"/>
            <w:vAlign w:val="top"/>
          </w:tcPr>
          <w:p w14:paraId="28B0A3E2">
            <w:pPr>
              <w:keepNext w:val="0"/>
              <w:keepLines w:val="0"/>
              <w:suppressLineNumbers w:val="0"/>
              <w:spacing w:before="0" w:beforeAutospacing="0" w:after="0" w:afterAutospacing="0"/>
              <w:ind w:left="0" w:right="0"/>
              <w:jc w:val="left"/>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违纪事由：</w:t>
            </w:r>
          </w:p>
        </w:tc>
      </w:tr>
      <w:tr w14:paraId="42AD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9088" w:type="dxa"/>
            <w:gridSpan w:val="4"/>
            <w:vAlign w:val="center"/>
          </w:tcPr>
          <w:p w14:paraId="6E17A7A8">
            <w:pPr>
              <w:keepNext w:val="0"/>
              <w:keepLines w:val="0"/>
              <w:suppressLineNumbers w:val="0"/>
              <w:tabs>
                <w:tab w:val="left" w:pos="2533"/>
              </w:tabs>
              <w:spacing w:before="0" w:beforeAutospacing="0" w:after="0" w:afterAutospacing="0"/>
              <w:ind w:left="0" w:leftChars="0" w:right="0" w:rightChars="0"/>
              <w:jc w:val="center"/>
              <w:rPr>
                <w:rFonts w:hint="eastAsia" w:ascii="仿宋" w:hAnsi="仿宋" w:eastAsia="仿宋" w:cs="仿宋"/>
                <w:sz w:val="21"/>
                <w:szCs w:val="21"/>
                <w:vertAlign w:val="baseline"/>
                <w:lang w:eastAsia="zh-CN"/>
              </w:rPr>
            </w:pPr>
            <w:r>
              <w:rPr>
                <w:rFonts w:hint="eastAsia" w:ascii="仿宋" w:hAnsi="仿宋" w:eastAsia="仿宋" w:cs="仿宋"/>
                <w:snapToGrid w:val="0"/>
                <w:color w:val="000000"/>
                <w:spacing w:val="-2"/>
                <w:kern w:val="0"/>
                <w:sz w:val="21"/>
                <w:szCs w:val="21"/>
                <w:lang w:val="en-US" w:eastAsia="zh-CN"/>
              </w:rPr>
              <w:t>处理决定：</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警告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经济处罚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降职、降薪和调岗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解除劳动合同（劳务协议）</w:t>
            </w:r>
          </w:p>
        </w:tc>
      </w:tr>
      <w:tr w14:paraId="1B56D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9088" w:type="dxa"/>
            <w:gridSpan w:val="4"/>
            <w:vAlign w:val="center"/>
          </w:tcPr>
          <w:p w14:paraId="2272CF39">
            <w:pPr>
              <w:keepNext w:val="0"/>
              <w:keepLines w:val="0"/>
              <w:suppressLineNumbers w:val="0"/>
              <w:spacing w:before="0" w:beforeAutospacing="0" w:after="0" w:afterAutospacing="0"/>
              <w:ind w:left="0" w:right="0"/>
              <w:jc w:val="both"/>
              <w:rPr>
                <w:rFonts w:hint="eastAsia" w:ascii="仿宋" w:hAnsi="仿宋" w:eastAsia="仿宋" w:cs="仿宋"/>
                <w:sz w:val="21"/>
                <w:szCs w:val="21"/>
                <w:vertAlign w:val="baseline"/>
                <w:lang w:val="en-US" w:eastAsia="zh-CN"/>
              </w:rPr>
            </w:pPr>
            <w:r>
              <w:rPr>
                <w:rFonts w:hint="eastAsia" w:ascii="仿宋" w:hAnsi="仿宋" w:eastAsia="仿宋" w:cs="仿宋"/>
                <w:snapToGrid w:val="0"/>
                <w:color w:val="000000"/>
                <w:spacing w:val="-2"/>
                <w:kern w:val="0"/>
                <w:sz w:val="21"/>
                <w:szCs w:val="21"/>
                <w:lang w:val="en-US" w:eastAsia="zh-CN"/>
              </w:rPr>
              <w:t>经济处罚额度：</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10元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20元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30元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50元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100元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200元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 xml:space="preserve">300元  </w:t>
            </w:r>
            <w:r>
              <w:rPr>
                <w:rFonts w:hint="eastAsia" w:ascii="仿宋" w:hAnsi="仿宋" w:eastAsia="仿宋" w:cs="仿宋"/>
                <w:kern w:val="0"/>
                <w:sz w:val="21"/>
                <w:szCs w:val="21"/>
              </w:rPr>
              <w:sym w:font="Wingdings 2" w:char="00A3"/>
            </w:r>
            <w:r>
              <w:rPr>
                <w:rFonts w:hint="eastAsia" w:ascii="仿宋" w:hAnsi="仿宋" w:eastAsia="仿宋" w:cs="仿宋"/>
                <w:snapToGrid w:val="0"/>
                <w:color w:val="000000"/>
                <w:spacing w:val="-2"/>
                <w:kern w:val="0"/>
                <w:sz w:val="21"/>
                <w:szCs w:val="21"/>
                <w:lang w:val="en-US" w:eastAsia="zh-CN"/>
              </w:rPr>
              <w:t>其他</w:t>
            </w:r>
          </w:p>
        </w:tc>
      </w:tr>
      <w:tr w14:paraId="77C86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7" w:hRule="atLeast"/>
        </w:trPr>
        <w:tc>
          <w:tcPr>
            <w:tcW w:w="9088" w:type="dxa"/>
            <w:gridSpan w:val="4"/>
          </w:tcPr>
          <w:p w14:paraId="6D9C8043">
            <w:pPr>
              <w:keepNext w:val="0"/>
              <w:keepLines w:val="0"/>
              <w:suppressLineNumbers w:val="0"/>
              <w:spacing w:before="0" w:beforeAutospacing="0" w:after="0" w:afterAutospacing="0"/>
              <w:ind w:left="0" w:right="0"/>
              <w:jc w:val="both"/>
              <w:rPr>
                <w:rFonts w:hint="eastAsia" w:ascii="仿宋" w:hAnsi="仿宋" w:eastAsia="仿宋" w:cs="仿宋"/>
                <w:snapToGrid w:val="0"/>
                <w:color w:val="000000"/>
                <w:spacing w:val="-2"/>
                <w:kern w:val="0"/>
                <w:sz w:val="21"/>
                <w:szCs w:val="21"/>
                <w:lang w:val="en-US" w:eastAsia="zh-CN"/>
              </w:rPr>
            </w:pPr>
          </w:p>
          <w:p w14:paraId="07D252CF">
            <w:pPr>
              <w:keepNext w:val="0"/>
              <w:keepLines w:val="0"/>
              <w:suppressLineNumbers w:val="0"/>
              <w:spacing w:before="0" w:beforeAutospacing="0" w:after="0" w:afterAutospacing="0"/>
              <w:ind w:left="0" w:right="0"/>
              <w:jc w:val="both"/>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本人签字确认：                 主管：                部门负责人：</w:t>
            </w:r>
          </w:p>
          <w:p w14:paraId="61163649">
            <w:pPr>
              <w:keepNext w:val="0"/>
              <w:keepLines w:val="0"/>
              <w:suppressLineNumbers w:val="0"/>
              <w:spacing w:before="0" w:beforeAutospacing="0" w:after="0" w:afterAutospacing="0"/>
              <w:ind w:left="0" w:right="0"/>
              <w:jc w:val="both"/>
              <w:rPr>
                <w:rFonts w:hint="eastAsia" w:ascii="仿宋" w:hAnsi="仿宋" w:eastAsia="仿宋" w:cs="仿宋"/>
                <w:snapToGrid w:val="0"/>
                <w:color w:val="000000"/>
                <w:spacing w:val="-2"/>
                <w:kern w:val="0"/>
                <w:sz w:val="21"/>
                <w:szCs w:val="21"/>
                <w:lang w:val="en-US" w:eastAsia="zh-CN"/>
              </w:rPr>
            </w:pPr>
          </w:p>
          <w:p w14:paraId="3D818689">
            <w:pPr>
              <w:keepNext w:val="0"/>
              <w:keepLines w:val="0"/>
              <w:suppressLineNumbers w:val="0"/>
              <w:spacing w:before="0" w:beforeAutospacing="0" w:after="0" w:afterAutospacing="0"/>
              <w:ind w:left="0" w:right="0"/>
              <w:jc w:val="both"/>
              <w:rPr>
                <w:rFonts w:hint="eastAsia" w:ascii="仿宋" w:hAnsi="仿宋" w:eastAsia="仿宋" w:cs="仿宋"/>
                <w:snapToGrid w:val="0"/>
                <w:color w:val="000000"/>
                <w:spacing w:val="-2"/>
                <w:kern w:val="0"/>
                <w:sz w:val="21"/>
                <w:szCs w:val="21"/>
                <w:lang w:val="en-US" w:eastAsia="zh-CN"/>
              </w:rPr>
            </w:pPr>
            <w:r>
              <w:rPr>
                <w:rFonts w:hint="eastAsia" w:ascii="仿宋" w:hAnsi="仿宋" w:eastAsia="仿宋" w:cs="仿宋"/>
                <w:snapToGrid w:val="0"/>
                <w:color w:val="000000"/>
                <w:spacing w:val="-2"/>
                <w:kern w:val="0"/>
                <w:sz w:val="21"/>
                <w:szCs w:val="21"/>
                <w:lang w:val="en-US" w:eastAsia="zh-CN"/>
              </w:rPr>
              <w:t>人力综合部：           安环品质部：         分管领导：          项目负责人：</w:t>
            </w:r>
          </w:p>
          <w:p w14:paraId="5EAA1F32">
            <w:pPr>
              <w:keepNext w:val="0"/>
              <w:keepLines w:val="0"/>
              <w:suppressLineNumbers w:val="0"/>
              <w:spacing w:before="0" w:beforeAutospacing="0" w:after="0" w:afterAutospacing="0"/>
              <w:ind w:left="0" w:right="0"/>
              <w:jc w:val="both"/>
              <w:rPr>
                <w:rFonts w:hint="eastAsia" w:ascii="仿宋" w:hAnsi="仿宋" w:eastAsia="仿宋" w:cs="仿宋"/>
                <w:snapToGrid w:val="0"/>
                <w:color w:val="000000"/>
                <w:spacing w:val="-2"/>
                <w:kern w:val="0"/>
                <w:sz w:val="21"/>
                <w:szCs w:val="21"/>
                <w:lang w:val="en-US" w:eastAsia="zh-CN"/>
              </w:rPr>
            </w:pPr>
          </w:p>
        </w:tc>
      </w:tr>
    </w:tbl>
    <w:p w14:paraId="040E53E0">
      <w:pPr>
        <w:pStyle w:val="9"/>
        <w:spacing w:line="360" w:lineRule="auto"/>
        <w:rPr>
          <w:rFonts w:hint="eastAsia" w:ascii="仿宋" w:hAnsi="仿宋" w:eastAsia="仿宋" w:cs="仿宋"/>
          <w:lang w:eastAsia="zh-CN"/>
        </w:rPr>
      </w:pPr>
    </w:p>
    <w:sectPr>
      <w:headerReference r:id="rId5" w:type="default"/>
      <w:footerReference r:id="rId6" w:type="default"/>
      <w:pgSz w:w="11910" w:h="16840"/>
      <w:pgMar w:top="1417" w:right="1474" w:bottom="1417" w:left="1587" w:header="820" w:footer="1051" w:gutter="0"/>
      <w:pgBorders>
        <w:top w:val="none" w:sz="0" w:space="0"/>
        <w:left w:val="none" w:sz="0" w:space="0"/>
        <w:bottom w:val="none" w:sz="0" w:space="0"/>
        <w:right w:val="none" w:sz="0" w:space="0"/>
      </w:pgBorders>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DE9BC10-5ECB-41CB-BFF0-05E4A8E1AD2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053DCE18-8957-4F5A-9808-9710A16284F8}"/>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embedRegular r:id="rId3" w:fontKey="{D281E6B9-2D94-4A52-AAE8-16420C7C0BBB}"/>
  </w:font>
  <w:font w:name="楷体">
    <w:panose1 w:val="02010609060101010101"/>
    <w:charset w:val="86"/>
    <w:family w:val="modern"/>
    <w:pitch w:val="default"/>
    <w:sig w:usb0="800002BF" w:usb1="38CF7CFA" w:usb2="00000016" w:usb3="00000000" w:csb0="00040001" w:csb1="00000000"/>
    <w:embedRegular r:id="rId4" w:fontKey="{809E8AD6-CD62-46CF-B59D-CF197423CD1A}"/>
  </w:font>
  <w:font w:name="方正仿宋_GB2312">
    <w:panose1 w:val="02000000000000000000"/>
    <w:charset w:val="86"/>
    <w:family w:val="auto"/>
    <w:pitch w:val="default"/>
    <w:sig w:usb0="A00002BF" w:usb1="184F6CFA" w:usb2="00000012" w:usb3="00000000" w:csb0="00040001" w:csb1="00000000"/>
    <w:embedRegular r:id="rId5" w:fontKey="{9CFD4344-4236-483E-AEE9-107F989B7AF2}"/>
  </w:font>
  <w:font w:name="Wingdings 2">
    <w:panose1 w:val="05020102010507070707"/>
    <w:charset w:val="02"/>
    <w:family w:val="auto"/>
    <w:pitch w:val="default"/>
    <w:sig w:usb0="00000000" w:usb1="00000000" w:usb2="00000000" w:usb3="00000000" w:csb0="80000000" w:csb1="00000000"/>
    <w:embedRegular r:id="rId6" w:fontKey="{EC6F2428-CAB7-4A4A-8198-6602C28814EC}"/>
  </w:font>
  <w:font w:name="微软雅黑">
    <w:panose1 w:val="020B0503020204020204"/>
    <w:charset w:val="86"/>
    <w:family w:val="auto"/>
    <w:pitch w:val="default"/>
    <w:sig w:usb0="80000287" w:usb1="2ACF3C50" w:usb2="00000016" w:usb3="00000000" w:csb0="0004001F" w:csb1="00000000"/>
    <w:embedRegular r:id="rId7" w:fontKey="{4CAA117E-6703-4F6F-89C5-103FC8BCFB27}"/>
  </w:font>
  <w:font w:name="WPSEMBED1">
    <w:panose1 w:val="02000000000000000000"/>
    <w:charset w:val="86"/>
    <w:family w:val="auto"/>
    <w:pitch w:val="default"/>
    <w:sig w:usb0="A00002BF" w:usb1="184F6CFA" w:usb2="00000012" w:usb3="00000000" w:csb0="00040001" w:csb1="00000000"/>
  </w:font>
  <w:font w:name="WPSEMBED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3921E">
    <w:pPr>
      <w:pStyle w:val="1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A2A8E8">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9A2A8E8">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DFA4F">
    <w:pPr>
      <w:spacing w:line="14" w:lineRule="auto"/>
      <w:rPr>
        <w:sz w:val="20"/>
        <w:szCs w:val="20"/>
      </w:rPr>
    </w:pPr>
    <w:r>
      <w:rPr>
        <w:lang w:eastAsia="zh-CN"/>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67005" cy="139700"/>
              <wp:effectExtent l="0" t="0" r="0" b="0"/>
              <wp:wrapNone/>
              <wp:docPr id="1604" name="Text Box 9"/>
              <wp:cNvGraphicFramePr/>
              <a:graphic xmlns:a="http://schemas.openxmlformats.org/drawingml/2006/main">
                <a:graphicData uri="http://schemas.microsoft.com/office/word/2010/wordprocessingShape">
                  <wps:wsp>
                    <wps:cNvSpPr txBox="1">
                      <a:spLocks noChangeArrowheads="1"/>
                    </wps:cNvSpPr>
                    <wps:spPr bwMode="auto">
                      <a:xfrm>
                        <a:off x="0" y="0"/>
                        <a:ext cx="167005" cy="139700"/>
                      </a:xfrm>
                      <a:prstGeom prst="rect">
                        <a:avLst/>
                      </a:prstGeom>
                      <a:noFill/>
                      <a:ln>
                        <a:noFill/>
                      </a:ln>
                      <a:effectLst/>
                    </wps:spPr>
                    <wps:txbx>
                      <w:txbxContent>
                        <w:p w14:paraId="5090009C">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top:0pt;height:11pt;width:13.15pt;mso-position-horizontal:center;mso-position-horizontal-relative:margin;z-index:251661312;mso-width-relative:page;mso-height-relative:page;" filled="f" stroked="f" coordsize="21600,21600" o:gfxdata="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myT9o0wAAAAMBAAAPAAAAAAAAAAEAIAAAACIAAABkcnMvZG93bnJl&#10;di54bWxQSwECFAAUAAAACACHTuJA8SkzgwICAAAUBAAADgAAAAAAAAABACAAAAAiAQAAZHJzL2Uy&#10;b0RvYy54bWxQSwUGAAAAAAYABgBZAQAAlgUAAAAA&#10;">
              <v:fill on="f" focussize="0,0"/>
              <v:stroke on="f"/>
              <v:imagedata o:title=""/>
              <o:lock v:ext="edit" aspectratio="f"/>
              <v:textbox inset="0mm,0mm,0mm,0mm">
                <w:txbxContent>
                  <w:p w14:paraId="5090009C">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268CB">
    <w:pPr>
      <w:pBdr>
        <w:bottom w:val="single" w:color="auto" w:sz="4" w:space="1"/>
      </w:pBdr>
      <w:spacing w:line="520" w:lineRule="exact"/>
      <w:jc w:val="center"/>
      <w:rPr>
        <w:rFonts w:hint="eastAsia" w:ascii="楷体" w:hAnsi="楷体" w:eastAsia="楷体"/>
        <w:b/>
        <w:bCs/>
        <w:sz w:val="20"/>
        <w:szCs w:val="20"/>
        <w:lang w:eastAsia="zh-CN"/>
      </w:rPr>
    </w:pPr>
    <w:r>
      <w:rPr>
        <w:rFonts w:ascii="楷体" w:hAnsi="楷体" w:eastAsia="楷体"/>
        <w:b/>
        <w:bCs/>
        <w:lang w:eastAsia="zh-CN"/>
      </w:rPr>
      <w:drawing>
        <wp:anchor distT="0" distB="0" distL="114300" distR="114300" simplePos="0" relativeHeight="251662336"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lang w:eastAsia="zh-CN"/>
      </w:rPr>
      <w:t>宁津北控城市环境服务有限公司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9CFAE">
    <w:pPr>
      <w:pBdr>
        <w:bottom w:val="single" w:color="auto" w:sz="4" w:space="1"/>
      </w:pBdr>
      <w:spacing w:line="520" w:lineRule="exact"/>
      <w:jc w:val="center"/>
      <w:rPr>
        <w:rFonts w:hint="eastAsia" w:ascii="楷体" w:hAnsi="楷体" w:eastAsia="楷体"/>
        <w:b/>
        <w:bCs/>
        <w:sz w:val="20"/>
        <w:szCs w:val="20"/>
        <w:lang w:eastAsia="zh-CN"/>
      </w:rPr>
    </w:pPr>
    <w:r>
      <w:rPr>
        <w:rFonts w:ascii="楷体" w:hAnsi="楷体" w:eastAsia="楷体"/>
        <w:b/>
        <w:bCs/>
        <w:lang w:eastAsia="zh-CN"/>
      </w:rPr>
      <w:drawing>
        <wp:anchor distT="0" distB="0" distL="114300" distR="114300" simplePos="0" relativeHeight="251660288" behindDoc="0" locked="0" layoutInCell="1" allowOverlap="1">
          <wp:simplePos x="0" y="0"/>
          <wp:positionH relativeFrom="column">
            <wp:posOffset>5064125</wp:posOffset>
          </wp:positionH>
          <wp:positionV relativeFrom="paragraph">
            <wp:posOffset>-177800</wp:posOffset>
          </wp:positionV>
          <wp:extent cx="499745" cy="485140"/>
          <wp:effectExtent l="0" t="0" r="14605" b="10160"/>
          <wp:wrapNone/>
          <wp:docPr id="1612" name="图片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 name="图片 16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lang w:eastAsia="zh-CN"/>
      </w:rPr>
      <w:t>宁津北控城市环境服务有限公司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AE5A46"/>
    <w:multiLevelType w:val="singleLevel"/>
    <w:tmpl w:val="66AE5A46"/>
    <w:lvl w:ilvl="0" w:tentative="0">
      <w:start w:val="1"/>
      <w:numFmt w:val="decimal"/>
      <w:suff w:val="nothing"/>
      <w:lvlText w:val="%1、"/>
      <w:lvlJc w:val="left"/>
    </w:lvl>
  </w:abstractNum>
  <w:abstractNum w:abstractNumId="1">
    <w:nsid w:val="6BC132EB"/>
    <w:multiLevelType w:val="multilevel"/>
    <w:tmpl w:val="6BC132EB"/>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suff w:val="space"/>
      <w:lvlText w:val="%1.%2.%3."/>
      <w:lvlJc w:val="left"/>
      <w:pPr>
        <w:ind w:left="709" w:hanging="709"/>
      </w:pPr>
      <w:rPr>
        <w:rFonts w:hint="default"/>
      </w:rPr>
    </w:lvl>
    <w:lvl w:ilvl="3" w:tentative="0">
      <w:start w:val="1"/>
      <w:numFmt w:val="decimal"/>
      <w:suff w:val="space"/>
      <w:lvlText w:val="%1.%2.%3.%4."/>
      <w:lvlJc w:val="left"/>
      <w:pPr>
        <w:ind w:left="850" w:hanging="850"/>
      </w:pPr>
      <w:rPr>
        <w:rFonts w:hint="default"/>
      </w:rPr>
    </w:lvl>
    <w:lvl w:ilvl="4" w:tentative="0">
      <w:start w:val="1"/>
      <w:numFmt w:val="decimal"/>
      <w:suff w:val="space"/>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mYzMWFkYjk1ZWEzYTQ1ZGNkMGYxYWQ3Y2E2NzYifQ=="/>
    <w:docVar w:name="KSO_WPS_MARK_KEY" w:val="5ae51f5d-b905-44b9-9fef-7f0b7d106c21"/>
  </w:docVars>
  <w:rsids>
    <w:rsidRoot w:val="7EDF0F19"/>
    <w:rsid w:val="0001649A"/>
    <w:rsid w:val="00050346"/>
    <w:rsid w:val="00060B63"/>
    <w:rsid w:val="00071B6D"/>
    <w:rsid w:val="00085032"/>
    <w:rsid w:val="0009075B"/>
    <w:rsid w:val="000B0BAF"/>
    <w:rsid w:val="000D1630"/>
    <w:rsid w:val="000D7AD6"/>
    <w:rsid w:val="0014182B"/>
    <w:rsid w:val="00195132"/>
    <w:rsid w:val="001A686A"/>
    <w:rsid w:val="001A7CA9"/>
    <w:rsid w:val="00200A3E"/>
    <w:rsid w:val="00270F7E"/>
    <w:rsid w:val="00276D79"/>
    <w:rsid w:val="002929B0"/>
    <w:rsid w:val="002F2333"/>
    <w:rsid w:val="002F42CC"/>
    <w:rsid w:val="003A27C9"/>
    <w:rsid w:val="003E6BDE"/>
    <w:rsid w:val="003E7A38"/>
    <w:rsid w:val="00425DC3"/>
    <w:rsid w:val="0043740F"/>
    <w:rsid w:val="00485A8D"/>
    <w:rsid w:val="004C3956"/>
    <w:rsid w:val="004E0C11"/>
    <w:rsid w:val="00541F1E"/>
    <w:rsid w:val="005863BD"/>
    <w:rsid w:val="005931DF"/>
    <w:rsid w:val="005B2797"/>
    <w:rsid w:val="005C6F64"/>
    <w:rsid w:val="00614429"/>
    <w:rsid w:val="00615FDD"/>
    <w:rsid w:val="00641DEE"/>
    <w:rsid w:val="00663F3F"/>
    <w:rsid w:val="0069366E"/>
    <w:rsid w:val="006D1626"/>
    <w:rsid w:val="006D3112"/>
    <w:rsid w:val="006F22E3"/>
    <w:rsid w:val="0071275A"/>
    <w:rsid w:val="007263C6"/>
    <w:rsid w:val="007527FB"/>
    <w:rsid w:val="00845E09"/>
    <w:rsid w:val="008558EB"/>
    <w:rsid w:val="0089189B"/>
    <w:rsid w:val="008C019A"/>
    <w:rsid w:val="009014C7"/>
    <w:rsid w:val="00934357"/>
    <w:rsid w:val="009575DF"/>
    <w:rsid w:val="009776C7"/>
    <w:rsid w:val="00992A2C"/>
    <w:rsid w:val="00A47544"/>
    <w:rsid w:val="00A7645D"/>
    <w:rsid w:val="00AA2120"/>
    <w:rsid w:val="00AC7D86"/>
    <w:rsid w:val="00B9119A"/>
    <w:rsid w:val="00BD0619"/>
    <w:rsid w:val="00C11739"/>
    <w:rsid w:val="00C32E33"/>
    <w:rsid w:val="00C55F23"/>
    <w:rsid w:val="00CB069D"/>
    <w:rsid w:val="00CD47DB"/>
    <w:rsid w:val="00CF1D9A"/>
    <w:rsid w:val="00D3064D"/>
    <w:rsid w:val="00D60729"/>
    <w:rsid w:val="00D81A17"/>
    <w:rsid w:val="00DB73F4"/>
    <w:rsid w:val="00DD5D31"/>
    <w:rsid w:val="00E125E2"/>
    <w:rsid w:val="00E141CB"/>
    <w:rsid w:val="00E225D5"/>
    <w:rsid w:val="00E865C2"/>
    <w:rsid w:val="00EB7C03"/>
    <w:rsid w:val="00EC1DB5"/>
    <w:rsid w:val="00F145D3"/>
    <w:rsid w:val="00F25975"/>
    <w:rsid w:val="00F3643E"/>
    <w:rsid w:val="00F36547"/>
    <w:rsid w:val="00F602B3"/>
    <w:rsid w:val="00F73244"/>
    <w:rsid w:val="00FB4547"/>
    <w:rsid w:val="013E4434"/>
    <w:rsid w:val="014F6641"/>
    <w:rsid w:val="01657C13"/>
    <w:rsid w:val="01A70B88"/>
    <w:rsid w:val="01E21263"/>
    <w:rsid w:val="020B4616"/>
    <w:rsid w:val="023C6C9C"/>
    <w:rsid w:val="02940352"/>
    <w:rsid w:val="02BA21E0"/>
    <w:rsid w:val="03173601"/>
    <w:rsid w:val="033F6FA1"/>
    <w:rsid w:val="034321D6"/>
    <w:rsid w:val="037405E1"/>
    <w:rsid w:val="03A148C1"/>
    <w:rsid w:val="04461F7D"/>
    <w:rsid w:val="045126D0"/>
    <w:rsid w:val="04694FDC"/>
    <w:rsid w:val="049B394B"/>
    <w:rsid w:val="04BF27C1"/>
    <w:rsid w:val="04C057C0"/>
    <w:rsid w:val="04CA6CEA"/>
    <w:rsid w:val="04D31337"/>
    <w:rsid w:val="05085485"/>
    <w:rsid w:val="054B2AF8"/>
    <w:rsid w:val="055B3806"/>
    <w:rsid w:val="05687CD1"/>
    <w:rsid w:val="057B5C57"/>
    <w:rsid w:val="05A6141F"/>
    <w:rsid w:val="05CA098C"/>
    <w:rsid w:val="05EA4B8A"/>
    <w:rsid w:val="05EF03F3"/>
    <w:rsid w:val="05F257ED"/>
    <w:rsid w:val="0600615C"/>
    <w:rsid w:val="063543C5"/>
    <w:rsid w:val="06473D8B"/>
    <w:rsid w:val="067F1777"/>
    <w:rsid w:val="06B55198"/>
    <w:rsid w:val="06C70A28"/>
    <w:rsid w:val="06C76C7A"/>
    <w:rsid w:val="070103DE"/>
    <w:rsid w:val="078437C1"/>
    <w:rsid w:val="07BA2CD0"/>
    <w:rsid w:val="07CF5DE6"/>
    <w:rsid w:val="080971AF"/>
    <w:rsid w:val="080D0C0C"/>
    <w:rsid w:val="08596656"/>
    <w:rsid w:val="085A5BA3"/>
    <w:rsid w:val="08DC1C6E"/>
    <w:rsid w:val="08E458C1"/>
    <w:rsid w:val="09304A34"/>
    <w:rsid w:val="095961AB"/>
    <w:rsid w:val="09880942"/>
    <w:rsid w:val="09AA18C7"/>
    <w:rsid w:val="09C539CD"/>
    <w:rsid w:val="09DE3509"/>
    <w:rsid w:val="09F36FDE"/>
    <w:rsid w:val="09F519F8"/>
    <w:rsid w:val="0A2104D6"/>
    <w:rsid w:val="0A31121D"/>
    <w:rsid w:val="0A47106E"/>
    <w:rsid w:val="0A825391"/>
    <w:rsid w:val="0AA3355A"/>
    <w:rsid w:val="0AC73A13"/>
    <w:rsid w:val="0ACF3DEB"/>
    <w:rsid w:val="0ADD2F10"/>
    <w:rsid w:val="0AF53DB5"/>
    <w:rsid w:val="0B260413"/>
    <w:rsid w:val="0B666A61"/>
    <w:rsid w:val="0B89469A"/>
    <w:rsid w:val="0B955598"/>
    <w:rsid w:val="0B965E5E"/>
    <w:rsid w:val="0BF21BF2"/>
    <w:rsid w:val="0C25691C"/>
    <w:rsid w:val="0C28640C"/>
    <w:rsid w:val="0C691684"/>
    <w:rsid w:val="0D006A41"/>
    <w:rsid w:val="0D132C19"/>
    <w:rsid w:val="0D181FDD"/>
    <w:rsid w:val="0D2B61B4"/>
    <w:rsid w:val="0D3B31E6"/>
    <w:rsid w:val="0D5B011C"/>
    <w:rsid w:val="0DB93F87"/>
    <w:rsid w:val="0DCB67AE"/>
    <w:rsid w:val="0DD56120"/>
    <w:rsid w:val="0DDD5437"/>
    <w:rsid w:val="0DEA7AAE"/>
    <w:rsid w:val="0DEC3DB3"/>
    <w:rsid w:val="0E176739"/>
    <w:rsid w:val="0E1A2A75"/>
    <w:rsid w:val="0E307666"/>
    <w:rsid w:val="0E682AF0"/>
    <w:rsid w:val="0E835B7C"/>
    <w:rsid w:val="0EA414D3"/>
    <w:rsid w:val="0EC85D65"/>
    <w:rsid w:val="0F0767AD"/>
    <w:rsid w:val="0F173471"/>
    <w:rsid w:val="0F424977"/>
    <w:rsid w:val="0F4672D5"/>
    <w:rsid w:val="0F900551"/>
    <w:rsid w:val="0F997970"/>
    <w:rsid w:val="0F9A317D"/>
    <w:rsid w:val="0FAE6C29"/>
    <w:rsid w:val="100B407B"/>
    <w:rsid w:val="107C0AD5"/>
    <w:rsid w:val="10816968"/>
    <w:rsid w:val="10BE54AF"/>
    <w:rsid w:val="10DC1574"/>
    <w:rsid w:val="10E55663"/>
    <w:rsid w:val="10F1501F"/>
    <w:rsid w:val="10F92E76"/>
    <w:rsid w:val="10FC5772"/>
    <w:rsid w:val="11407AFE"/>
    <w:rsid w:val="11C66BB0"/>
    <w:rsid w:val="12045226"/>
    <w:rsid w:val="121A05C9"/>
    <w:rsid w:val="12301B77"/>
    <w:rsid w:val="125515DD"/>
    <w:rsid w:val="12AD6D05"/>
    <w:rsid w:val="12C20A5B"/>
    <w:rsid w:val="12EC0194"/>
    <w:rsid w:val="13201BEB"/>
    <w:rsid w:val="133C426F"/>
    <w:rsid w:val="133D79DF"/>
    <w:rsid w:val="13695352"/>
    <w:rsid w:val="13D84274"/>
    <w:rsid w:val="14263231"/>
    <w:rsid w:val="146B50E8"/>
    <w:rsid w:val="14C709EA"/>
    <w:rsid w:val="14D2223F"/>
    <w:rsid w:val="14D6741E"/>
    <w:rsid w:val="150177FB"/>
    <w:rsid w:val="153669B3"/>
    <w:rsid w:val="1548367B"/>
    <w:rsid w:val="160A6986"/>
    <w:rsid w:val="16281C01"/>
    <w:rsid w:val="164B44B0"/>
    <w:rsid w:val="16695657"/>
    <w:rsid w:val="16781D3E"/>
    <w:rsid w:val="16A4024D"/>
    <w:rsid w:val="16CD208A"/>
    <w:rsid w:val="16D57995"/>
    <w:rsid w:val="16F65E40"/>
    <w:rsid w:val="172E58CC"/>
    <w:rsid w:val="172E69C9"/>
    <w:rsid w:val="17683B61"/>
    <w:rsid w:val="17FB49D5"/>
    <w:rsid w:val="18081861"/>
    <w:rsid w:val="181141F9"/>
    <w:rsid w:val="18383533"/>
    <w:rsid w:val="18B95BA2"/>
    <w:rsid w:val="18BA2B68"/>
    <w:rsid w:val="18E436BB"/>
    <w:rsid w:val="18ED07C2"/>
    <w:rsid w:val="18F02060"/>
    <w:rsid w:val="19107827"/>
    <w:rsid w:val="1914379B"/>
    <w:rsid w:val="198F54C1"/>
    <w:rsid w:val="19960E59"/>
    <w:rsid w:val="199979DB"/>
    <w:rsid w:val="19AA66B3"/>
    <w:rsid w:val="19AD7F51"/>
    <w:rsid w:val="19D46F7A"/>
    <w:rsid w:val="19EF2318"/>
    <w:rsid w:val="19F65454"/>
    <w:rsid w:val="1A107B73"/>
    <w:rsid w:val="1A606D71"/>
    <w:rsid w:val="1A69031C"/>
    <w:rsid w:val="1A8B2040"/>
    <w:rsid w:val="1A8F5D7D"/>
    <w:rsid w:val="1AAE5D2F"/>
    <w:rsid w:val="1ADC6D40"/>
    <w:rsid w:val="1B0D514B"/>
    <w:rsid w:val="1B2F53B1"/>
    <w:rsid w:val="1B634D6B"/>
    <w:rsid w:val="1B656D35"/>
    <w:rsid w:val="1B6D7998"/>
    <w:rsid w:val="1B972C67"/>
    <w:rsid w:val="1B9E3D36"/>
    <w:rsid w:val="1BA710FC"/>
    <w:rsid w:val="1BAB226E"/>
    <w:rsid w:val="1C146065"/>
    <w:rsid w:val="1C3F0199"/>
    <w:rsid w:val="1C513BF3"/>
    <w:rsid w:val="1C7800C7"/>
    <w:rsid w:val="1C790E34"/>
    <w:rsid w:val="1C8261A0"/>
    <w:rsid w:val="1C9473B2"/>
    <w:rsid w:val="1CF34907"/>
    <w:rsid w:val="1D174F3D"/>
    <w:rsid w:val="1D202CCC"/>
    <w:rsid w:val="1D2A12B7"/>
    <w:rsid w:val="1D8316F5"/>
    <w:rsid w:val="1D951428"/>
    <w:rsid w:val="1DC569B6"/>
    <w:rsid w:val="1DC63FBA"/>
    <w:rsid w:val="1DE03191"/>
    <w:rsid w:val="1E082BE2"/>
    <w:rsid w:val="1E116D00"/>
    <w:rsid w:val="1E2B647E"/>
    <w:rsid w:val="1E691397"/>
    <w:rsid w:val="1E707ECB"/>
    <w:rsid w:val="1E796654"/>
    <w:rsid w:val="1E973172"/>
    <w:rsid w:val="1ECA5FEF"/>
    <w:rsid w:val="1F1703CD"/>
    <w:rsid w:val="1F1A3993"/>
    <w:rsid w:val="1F282554"/>
    <w:rsid w:val="1F325180"/>
    <w:rsid w:val="1F550E6F"/>
    <w:rsid w:val="1F6857F3"/>
    <w:rsid w:val="1F7A08D5"/>
    <w:rsid w:val="1F8D23B7"/>
    <w:rsid w:val="1F933745"/>
    <w:rsid w:val="1FD940E2"/>
    <w:rsid w:val="1FE43008"/>
    <w:rsid w:val="20346CD6"/>
    <w:rsid w:val="20513559"/>
    <w:rsid w:val="20A2466A"/>
    <w:rsid w:val="20C04E59"/>
    <w:rsid w:val="20C47B88"/>
    <w:rsid w:val="20D64231"/>
    <w:rsid w:val="20E00C0C"/>
    <w:rsid w:val="20EC5803"/>
    <w:rsid w:val="20F574AE"/>
    <w:rsid w:val="20FB5A46"/>
    <w:rsid w:val="21426B3C"/>
    <w:rsid w:val="21A34113"/>
    <w:rsid w:val="21AD0AEE"/>
    <w:rsid w:val="21B54027"/>
    <w:rsid w:val="21EB3DF9"/>
    <w:rsid w:val="21F33E3C"/>
    <w:rsid w:val="21F91F85"/>
    <w:rsid w:val="221E714A"/>
    <w:rsid w:val="223C0C43"/>
    <w:rsid w:val="228F28EA"/>
    <w:rsid w:val="22CF0F38"/>
    <w:rsid w:val="22FB21BD"/>
    <w:rsid w:val="230476A6"/>
    <w:rsid w:val="23177672"/>
    <w:rsid w:val="232B2612"/>
    <w:rsid w:val="238420FA"/>
    <w:rsid w:val="23AB5501"/>
    <w:rsid w:val="23DC6F96"/>
    <w:rsid w:val="23EE53EE"/>
    <w:rsid w:val="248D10AB"/>
    <w:rsid w:val="24AE33BA"/>
    <w:rsid w:val="24B44889"/>
    <w:rsid w:val="253F4153"/>
    <w:rsid w:val="261C4494"/>
    <w:rsid w:val="26215F4F"/>
    <w:rsid w:val="264659B5"/>
    <w:rsid w:val="26D47BDC"/>
    <w:rsid w:val="2705317A"/>
    <w:rsid w:val="277327DA"/>
    <w:rsid w:val="277F4CDB"/>
    <w:rsid w:val="27A01D11"/>
    <w:rsid w:val="27A053DF"/>
    <w:rsid w:val="27B92B32"/>
    <w:rsid w:val="27BC6787"/>
    <w:rsid w:val="281F64BE"/>
    <w:rsid w:val="282F3ABE"/>
    <w:rsid w:val="28C72DDD"/>
    <w:rsid w:val="29121B7F"/>
    <w:rsid w:val="29437F8A"/>
    <w:rsid w:val="296543A4"/>
    <w:rsid w:val="298D515C"/>
    <w:rsid w:val="29D161C5"/>
    <w:rsid w:val="29E67293"/>
    <w:rsid w:val="2A494B11"/>
    <w:rsid w:val="2A950CB9"/>
    <w:rsid w:val="2AAA4765"/>
    <w:rsid w:val="2AAF4357"/>
    <w:rsid w:val="2AD76082"/>
    <w:rsid w:val="2AFC4894"/>
    <w:rsid w:val="2B163BA8"/>
    <w:rsid w:val="2B560CA2"/>
    <w:rsid w:val="2B7E174D"/>
    <w:rsid w:val="2B8C5C18"/>
    <w:rsid w:val="2B9D456D"/>
    <w:rsid w:val="2BB51BBB"/>
    <w:rsid w:val="2BC96E6C"/>
    <w:rsid w:val="2BE96259"/>
    <w:rsid w:val="2C0A4D8F"/>
    <w:rsid w:val="2C0B2FE1"/>
    <w:rsid w:val="2C0B5C39"/>
    <w:rsid w:val="2C1F6A8C"/>
    <w:rsid w:val="2C33078A"/>
    <w:rsid w:val="2C5A5D16"/>
    <w:rsid w:val="2C88209B"/>
    <w:rsid w:val="2C974875"/>
    <w:rsid w:val="2C9A4365"/>
    <w:rsid w:val="2CC23858"/>
    <w:rsid w:val="2D05368C"/>
    <w:rsid w:val="2D4D7629"/>
    <w:rsid w:val="2D4F0982"/>
    <w:rsid w:val="2D7746A6"/>
    <w:rsid w:val="2D823307"/>
    <w:rsid w:val="2D893754"/>
    <w:rsid w:val="2DBE22D5"/>
    <w:rsid w:val="2E0757BB"/>
    <w:rsid w:val="2E0A551A"/>
    <w:rsid w:val="2E5D19A7"/>
    <w:rsid w:val="2EDE2C2F"/>
    <w:rsid w:val="2EF95337"/>
    <w:rsid w:val="2EFA550F"/>
    <w:rsid w:val="2F124686"/>
    <w:rsid w:val="2F407445"/>
    <w:rsid w:val="2F601896"/>
    <w:rsid w:val="2F653D5F"/>
    <w:rsid w:val="2F9D385D"/>
    <w:rsid w:val="2FA56B84"/>
    <w:rsid w:val="2FAA0D63"/>
    <w:rsid w:val="2FB90FA6"/>
    <w:rsid w:val="2FC00586"/>
    <w:rsid w:val="2FC526AC"/>
    <w:rsid w:val="30107F28"/>
    <w:rsid w:val="306E7FE2"/>
    <w:rsid w:val="3095731D"/>
    <w:rsid w:val="30AC28B9"/>
    <w:rsid w:val="30D928D3"/>
    <w:rsid w:val="31014620"/>
    <w:rsid w:val="31605B7D"/>
    <w:rsid w:val="31734D6B"/>
    <w:rsid w:val="3196159F"/>
    <w:rsid w:val="3199108F"/>
    <w:rsid w:val="325A081E"/>
    <w:rsid w:val="325F273B"/>
    <w:rsid w:val="32A0467B"/>
    <w:rsid w:val="32DA195F"/>
    <w:rsid w:val="33356B95"/>
    <w:rsid w:val="336B25B7"/>
    <w:rsid w:val="33791BF6"/>
    <w:rsid w:val="33D36F82"/>
    <w:rsid w:val="33DC12FA"/>
    <w:rsid w:val="34207846"/>
    <w:rsid w:val="343230D5"/>
    <w:rsid w:val="349E16B3"/>
    <w:rsid w:val="34E856BE"/>
    <w:rsid w:val="35061C61"/>
    <w:rsid w:val="351A6043"/>
    <w:rsid w:val="35777939"/>
    <w:rsid w:val="35CD2973"/>
    <w:rsid w:val="35F06715"/>
    <w:rsid w:val="36555BF0"/>
    <w:rsid w:val="36D861B6"/>
    <w:rsid w:val="370E0330"/>
    <w:rsid w:val="374B4BD9"/>
    <w:rsid w:val="376C4B50"/>
    <w:rsid w:val="38044D88"/>
    <w:rsid w:val="38305784"/>
    <w:rsid w:val="383428CA"/>
    <w:rsid w:val="38464CE3"/>
    <w:rsid w:val="38472D48"/>
    <w:rsid w:val="385D2C15"/>
    <w:rsid w:val="38897362"/>
    <w:rsid w:val="389B4C19"/>
    <w:rsid w:val="38A5656B"/>
    <w:rsid w:val="38AD2ECF"/>
    <w:rsid w:val="38B64049"/>
    <w:rsid w:val="38B9241E"/>
    <w:rsid w:val="38DE55D9"/>
    <w:rsid w:val="38F512A1"/>
    <w:rsid w:val="3932205A"/>
    <w:rsid w:val="39557F91"/>
    <w:rsid w:val="396D6D0A"/>
    <w:rsid w:val="399565E0"/>
    <w:rsid w:val="39E72CA0"/>
    <w:rsid w:val="39FE0F50"/>
    <w:rsid w:val="3A085004"/>
    <w:rsid w:val="3A0F6392"/>
    <w:rsid w:val="3A1439A9"/>
    <w:rsid w:val="3A190FBF"/>
    <w:rsid w:val="3A241712"/>
    <w:rsid w:val="3A2B6F44"/>
    <w:rsid w:val="3A2D4229"/>
    <w:rsid w:val="3A37092E"/>
    <w:rsid w:val="3A5C0EAC"/>
    <w:rsid w:val="3A5C5916"/>
    <w:rsid w:val="3ABC00D4"/>
    <w:rsid w:val="3AC32CD9"/>
    <w:rsid w:val="3B251BE5"/>
    <w:rsid w:val="3B2C7418"/>
    <w:rsid w:val="3BA96372"/>
    <w:rsid w:val="3BB77BFA"/>
    <w:rsid w:val="3BFA097C"/>
    <w:rsid w:val="3C414657"/>
    <w:rsid w:val="3C794C55"/>
    <w:rsid w:val="3D197528"/>
    <w:rsid w:val="3D1D0229"/>
    <w:rsid w:val="3D2757A1"/>
    <w:rsid w:val="3D4B5C0A"/>
    <w:rsid w:val="3D4F2EC7"/>
    <w:rsid w:val="3D5A2B87"/>
    <w:rsid w:val="3D89020A"/>
    <w:rsid w:val="3D9B6278"/>
    <w:rsid w:val="3D9F3D0F"/>
    <w:rsid w:val="3DBB238D"/>
    <w:rsid w:val="3DF77869"/>
    <w:rsid w:val="3E012496"/>
    <w:rsid w:val="3E375EB7"/>
    <w:rsid w:val="3E595E2E"/>
    <w:rsid w:val="3EBA43F3"/>
    <w:rsid w:val="3EC55C67"/>
    <w:rsid w:val="3F221ED3"/>
    <w:rsid w:val="3F255D10"/>
    <w:rsid w:val="3F3256A8"/>
    <w:rsid w:val="3F3F4E37"/>
    <w:rsid w:val="3F6E5909"/>
    <w:rsid w:val="3F9A748B"/>
    <w:rsid w:val="3FC90AB1"/>
    <w:rsid w:val="3FD85478"/>
    <w:rsid w:val="401C763F"/>
    <w:rsid w:val="402F7339"/>
    <w:rsid w:val="405C7E57"/>
    <w:rsid w:val="4067667F"/>
    <w:rsid w:val="40744D9F"/>
    <w:rsid w:val="40BC6B48"/>
    <w:rsid w:val="40F7192E"/>
    <w:rsid w:val="41406E31"/>
    <w:rsid w:val="414C7ECC"/>
    <w:rsid w:val="41522326"/>
    <w:rsid w:val="41BB1BDA"/>
    <w:rsid w:val="41DB2FFE"/>
    <w:rsid w:val="41E00614"/>
    <w:rsid w:val="41F90D6B"/>
    <w:rsid w:val="41FB205F"/>
    <w:rsid w:val="4213277A"/>
    <w:rsid w:val="421A7398"/>
    <w:rsid w:val="422E312E"/>
    <w:rsid w:val="42300D9C"/>
    <w:rsid w:val="425012F6"/>
    <w:rsid w:val="43107F32"/>
    <w:rsid w:val="432C51A8"/>
    <w:rsid w:val="43324E9F"/>
    <w:rsid w:val="434846C3"/>
    <w:rsid w:val="43947557"/>
    <w:rsid w:val="43AD1DD0"/>
    <w:rsid w:val="44250560"/>
    <w:rsid w:val="44A26055"/>
    <w:rsid w:val="44A66CC7"/>
    <w:rsid w:val="44C24DD1"/>
    <w:rsid w:val="44FA379B"/>
    <w:rsid w:val="4547339B"/>
    <w:rsid w:val="45536C05"/>
    <w:rsid w:val="45A35BE1"/>
    <w:rsid w:val="45AA0B3B"/>
    <w:rsid w:val="45B107A9"/>
    <w:rsid w:val="45C21FEB"/>
    <w:rsid w:val="45CA7611"/>
    <w:rsid w:val="45D40490"/>
    <w:rsid w:val="45E22BAD"/>
    <w:rsid w:val="46072613"/>
    <w:rsid w:val="46394713"/>
    <w:rsid w:val="463D22ED"/>
    <w:rsid w:val="46481E1C"/>
    <w:rsid w:val="46654471"/>
    <w:rsid w:val="46795A93"/>
    <w:rsid w:val="46DF44FE"/>
    <w:rsid w:val="46E82445"/>
    <w:rsid w:val="471A1ED2"/>
    <w:rsid w:val="473C070F"/>
    <w:rsid w:val="47414E6F"/>
    <w:rsid w:val="4757210F"/>
    <w:rsid w:val="476F66C2"/>
    <w:rsid w:val="47881532"/>
    <w:rsid w:val="4792662B"/>
    <w:rsid w:val="4884637B"/>
    <w:rsid w:val="4901159C"/>
    <w:rsid w:val="494D658F"/>
    <w:rsid w:val="498943B8"/>
    <w:rsid w:val="49A10689"/>
    <w:rsid w:val="49A1090B"/>
    <w:rsid w:val="49B04D70"/>
    <w:rsid w:val="49C5081B"/>
    <w:rsid w:val="49F21E6C"/>
    <w:rsid w:val="4A1452FF"/>
    <w:rsid w:val="4A9326C8"/>
    <w:rsid w:val="4AA11DB7"/>
    <w:rsid w:val="4AA2290B"/>
    <w:rsid w:val="4AD44476"/>
    <w:rsid w:val="4AE57855"/>
    <w:rsid w:val="4AF84C20"/>
    <w:rsid w:val="4B052668"/>
    <w:rsid w:val="4B2B208B"/>
    <w:rsid w:val="4B2F45CF"/>
    <w:rsid w:val="4B393687"/>
    <w:rsid w:val="4B49547C"/>
    <w:rsid w:val="4BB74194"/>
    <w:rsid w:val="4BC15012"/>
    <w:rsid w:val="4BC335AA"/>
    <w:rsid w:val="4BD40DF5"/>
    <w:rsid w:val="4BE07DBA"/>
    <w:rsid w:val="4C520360"/>
    <w:rsid w:val="4C667968"/>
    <w:rsid w:val="4C7A2190"/>
    <w:rsid w:val="4C865556"/>
    <w:rsid w:val="4C8C5620"/>
    <w:rsid w:val="4CC01E38"/>
    <w:rsid w:val="4D072EF9"/>
    <w:rsid w:val="4D0E072B"/>
    <w:rsid w:val="4D33005B"/>
    <w:rsid w:val="4D4B4442"/>
    <w:rsid w:val="4D662315"/>
    <w:rsid w:val="4D771A7A"/>
    <w:rsid w:val="4D8409ED"/>
    <w:rsid w:val="4DAD57AA"/>
    <w:rsid w:val="4E54216E"/>
    <w:rsid w:val="4E546612"/>
    <w:rsid w:val="4E9545DD"/>
    <w:rsid w:val="4E9C3B15"/>
    <w:rsid w:val="4EB41388"/>
    <w:rsid w:val="4ECC7F56"/>
    <w:rsid w:val="4EEE4370"/>
    <w:rsid w:val="4EEF106B"/>
    <w:rsid w:val="4EF70D4B"/>
    <w:rsid w:val="4F08489B"/>
    <w:rsid w:val="4F364092"/>
    <w:rsid w:val="4F530677"/>
    <w:rsid w:val="4F6C798B"/>
    <w:rsid w:val="4F953ACC"/>
    <w:rsid w:val="503E4E84"/>
    <w:rsid w:val="504F7091"/>
    <w:rsid w:val="50770396"/>
    <w:rsid w:val="50812026"/>
    <w:rsid w:val="509947B0"/>
    <w:rsid w:val="50D31F30"/>
    <w:rsid w:val="50D47057"/>
    <w:rsid w:val="510075C0"/>
    <w:rsid w:val="515D4046"/>
    <w:rsid w:val="517174DB"/>
    <w:rsid w:val="51A24771"/>
    <w:rsid w:val="51D43B4B"/>
    <w:rsid w:val="51D830B6"/>
    <w:rsid w:val="51DD247A"/>
    <w:rsid w:val="525C4887"/>
    <w:rsid w:val="52862B12"/>
    <w:rsid w:val="528F19C6"/>
    <w:rsid w:val="529E7E5B"/>
    <w:rsid w:val="52A11AF7"/>
    <w:rsid w:val="52AC3716"/>
    <w:rsid w:val="52CD3966"/>
    <w:rsid w:val="52FB705C"/>
    <w:rsid w:val="5302488E"/>
    <w:rsid w:val="531169F3"/>
    <w:rsid w:val="53281E1B"/>
    <w:rsid w:val="53803A05"/>
    <w:rsid w:val="538426F2"/>
    <w:rsid w:val="538F3C48"/>
    <w:rsid w:val="53A85DBF"/>
    <w:rsid w:val="53C25CB3"/>
    <w:rsid w:val="541505F1"/>
    <w:rsid w:val="541E478D"/>
    <w:rsid w:val="543F11CA"/>
    <w:rsid w:val="546260B3"/>
    <w:rsid w:val="54935924"/>
    <w:rsid w:val="54C31DFB"/>
    <w:rsid w:val="552503C0"/>
    <w:rsid w:val="5540436E"/>
    <w:rsid w:val="559D43FA"/>
    <w:rsid w:val="55DE29C5"/>
    <w:rsid w:val="55E0078B"/>
    <w:rsid w:val="56321E8D"/>
    <w:rsid w:val="56327239"/>
    <w:rsid w:val="56AB2B47"/>
    <w:rsid w:val="56F46741"/>
    <w:rsid w:val="571E6D47"/>
    <w:rsid w:val="572A4F61"/>
    <w:rsid w:val="572D4D57"/>
    <w:rsid w:val="57407733"/>
    <w:rsid w:val="574216FD"/>
    <w:rsid w:val="57664CC0"/>
    <w:rsid w:val="577B0A1D"/>
    <w:rsid w:val="57AB4B41"/>
    <w:rsid w:val="57B679F5"/>
    <w:rsid w:val="57BB14B0"/>
    <w:rsid w:val="57BB31E5"/>
    <w:rsid w:val="57BB62E9"/>
    <w:rsid w:val="57D60097"/>
    <w:rsid w:val="57F86260"/>
    <w:rsid w:val="582009BE"/>
    <w:rsid w:val="58296AA8"/>
    <w:rsid w:val="583D3584"/>
    <w:rsid w:val="58523BC2"/>
    <w:rsid w:val="58835249"/>
    <w:rsid w:val="588A16DB"/>
    <w:rsid w:val="588E2720"/>
    <w:rsid w:val="59147FCC"/>
    <w:rsid w:val="596753BC"/>
    <w:rsid w:val="59B61F2F"/>
    <w:rsid w:val="59D23CDC"/>
    <w:rsid w:val="5A1530F9"/>
    <w:rsid w:val="5A753425"/>
    <w:rsid w:val="5A871B1D"/>
    <w:rsid w:val="5ABA5A4E"/>
    <w:rsid w:val="5B41252A"/>
    <w:rsid w:val="5B425500"/>
    <w:rsid w:val="5B4A69FC"/>
    <w:rsid w:val="5B653C0C"/>
    <w:rsid w:val="5B94486F"/>
    <w:rsid w:val="5BCB71AE"/>
    <w:rsid w:val="5BE11DED"/>
    <w:rsid w:val="5C681F7F"/>
    <w:rsid w:val="5C735EB5"/>
    <w:rsid w:val="5CBB785C"/>
    <w:rsid w:val="5CC26E3C"/>
    <w:rsid w:val="5D1330D6"/>
    <w:rsid w:val="5D193B32"/>
    <w:rsid w:val="5D1F603D"/>
    <w:rsid w:val="5D2538D3"/>
    <w:rsid w:val="5D2A0C2B"/>
    <w:rsid w:val="5D6C1DD6"/>
    <w:rsid w:val="5D6D6DA8"/>
    <w:rsid w:val="5D916F3A"/>
    <w:rsid w:val="5DAB167E"/>
    <w:rsid w:val="5DAC665A"/>
    <w:rsid w:val="5DC7673D"/>
    <w:rsid w:val="5DD15589"/>
    <w:rsid w:val="5DFB2606"/>
    <w:rsid w:val="5E005736"/>
    <w:rsid w:val="5E145476"/>
    <w:rsid w:val="5E170D70"/>
    <w:rsid w:val="5E2C0A11"/>
    <w:rsid w:val="5E5164E2"/>
    <w:rsid w:val="5E8C5954"/>
    <w:rsid w:val="5E9C444A"/>
    <w:rsid w:val="5EA8072F"/>
    <w:rsid w:val="5EAB2CA0"/>
    <w:rsid w:val="5EEC63F2"/>
    <w:rsid w:val="5EFD0600"/>
    <w:rsid w:val="5F033415"/>
    <w:rsid w:val="5F094B10"/>
    <w:rsid w:val="5F465B03"/>
    <w:rsid w:val="5F4973A1"/>
    <w:rsid w:val="5F5346CF"/>
    <w:rsid w:val="5F537C06"/>
    <w:rsid w:val="5F5C0E82"/>
    <w:rsid w:val="5F990328"/>
    <w:rsid w:val="5FF90DC7"/>
    <w:rsid w:val="60206354"/>
    <w:rsid w:val="60443165"/>
    <w:rsid w:val="606F4BE5"/>
    <w:rsid w:val="60854409"/>
    <w:rsid w:val="608F0917"/>
    <w:rsid w:val="60A91DBE"/>
    <w:rsid w:val="60FA229F"/>
    <w:rsid w:val="61451E88"/>
    <w:rsid w:val="615D5386"/>
    <w:rsid w:val="61866DDE"/>
    <w:rsid w:val="61C40F61"/>
    <w:rsid w:val="61E0223F"/>
    <w:rsid w:val="61EE4BCC"/>
    <w:rsid w:val="62075531"/>
    <w:rsid w:val="620D1767"/>
    <w:rsid w:val="62201DB9"/>
    <w:rsid w:val="622814F0"/>
    <w:rsid w:val="625F73F5"/>
    <w:rsid w:val="6260512D"/>
    <w:rsid w:val="62C6265A"/>
    <w:rsid w:val="62D37BD7"/>
    <w:rsid w:val="63260125"/>
    <w:rsid w:val="632E4E68"/>
    <w:rsid w:val="635A392B"/>
    <w:rsid w:val="63A112B5"/>
    <w:rsid w:val="63CB5574"/>
    <w:rsid w:val="63E1404C"/>
    <w:rsid w:val="64371EBE"/>
    <w:rsid w:val="644F0FB6"/>
    <w:rsid w:val="64EF6415"/>
    <w:rsid w:val="65143FAD"/>
    <w:rsid w:val="655273AB"/>
    <w:rsid w:val="656D41FC"/>
    <w:rsid w:val="6586565A"/>
    <w:rsid w:val="65A65A90"/>
    <w:rsid w:val="66155668"/>
    <w:rsid w:val="663E7D2D"/>
    <w:rsid w:val="665874C4"/>
    <w:rsid w:val="665A00E6"/>
    <w:rsid w:val="665F56FC"/>
    <w:rsid w:val="66B809E5"/>
    <w:rsid w:val="671C61EA"/>
    <w:rsid w:val="675B5EC3"/>
    <w:rsid w:val="67FD51CC"/>
    <w:rsid w:val="681C6773"/>
    <w:rsid w:val="6853303E"/>
    <w:rsid w:val="685C1EF3"/>
    <w:rsid w:val="68686AEA"/>
    <w:rsid w:val="687731D1"/>
    <w:rsid w:val="68906041"/>
    <w:rsid w:val="68F43F12"/>
    <w:rsid w:val="69232A11"/>
    <w:rsid w:val="692D172F"/>
    <w:rsid w:val="69692B1A"/>
    <w:rsid w:val="697F145C"/>
    <w:rsid w:val="69C2222A"/>
    <w:rsid w:val="6A204DA1"/>
    <w:rsid w:val="6A560ED8"/>
    <w:rsid w:val="6A911080"/>
    <w:rsid w:val="6A95793E"/>
    <w:rsid w:val="6AA45DD3"/>
    <w:rsid w:val="6ABE6E95"/>
    <w:rsid w:val="6AD870C7"/>
    <w:rsid w:val="6AF0580E"/>
    <w:rsid w:val="6B040620"/>
    <w:rsid w:val="6B1B7E43"/>
    <w:rsid w:val="6B3E1D84"/>
    <w:rsid w:val="6B5F4D2C"/>
    <w:rsid w:val="6BA37E39"/>
    <w:rsid w:val="6BAE2FAE"/>
    <w:rsid w:val="6BBB1626"/>
    <w:rsid w:val="6BBF5F4A"/>
    <w:rsid w:val="6BCC1125"/>
    <w:rsid w:val="6BF055A6"/>
    <w:rsid w:val="6C2216A6"/>
    <w:rsid w:val="6C376EFF"/>
    <w:rsid w:val="6C3C2767"/>
    <w:rsid w:val="6C702411"/>
    <w:rsid w:val="6CB00D71"/>
    <w:rsid w:val="6CBF0D13"/>
    <w:rsid w:val="6CD94028"/>
    <w:rsid w:val="6D0824AC"/>
    <w:rsid w:val="6D0E5B92"/>
    <w:rsid w:val="6D714693"/>
    <w:rsid w:val="6D7646C0"/>
    <w:rsid w:val="6D9F1E88"/>
    <w:rsid w:val="6DBB0C25"/>
    <w:rsid w:val="6DBF4748"/>
    <w:rsid w:val="6DC9627D"/>
    <w:rsid w:val="6DDC17C3"/>
    <w:rsid w:val="6E753D0F"/>
    <w:rsid w:val="6E896EA8"/>
    <w:rsid w:val="6F046E40"/>
    <w:rsid w:val="6FBE782E"/>
    <w:rsid w:val="6FCF56A0"/>
    <w:rsid w:val="706A31E5"/>
    <w:rsid w:val="70B07B83"/>
    <w:rsid w:val="70BD6944"/>
    <w:rsid w:val="70EE6EB8"/>
    <w:rsid w:val="711710AD"/>
    <w:rsid w:val="71470049"/>
    <w:rsid w:val="715A58D2"/>
    <w:rsid w:val="7179774D"/>
    <w:rsid w:val="717D604E"/>
    <w:rsid w:val="71804EA4"/>
    <w:rsid w:val="71A76161"/>
    <w:rsid w:val="71E76CD1"/>
    <w:rsid w:val="721D1E0D"/>
    <w:rsid w:val="72233A82"/>
    <w:rsid w:val="72432764"/>
    <w:rsid w:val="72516841"/>
    <w:rsid w:val="725E6399"/>
    <w:rsid w:val="729D55E2"/>
    <w:rsid w:val="72EF388E"/>
    <w:rsid w:val="731B41FE"/>
    <w:rsid w:val="732674ED"/>
    <w:rsid w:val="73542CA9"/>
    <w:rsid w:val="735824C2"/>
    <w:rsid w:val="73C41155"/>
    <w:rsid w:val="7411311D"/>
    <w:rsid w:val="741713C4"/>
    <w:rsid w:val="74393A30"/>
    <w:rsid w:val="744B176E"/>
    <w:rsid w:val="747A6FC5"/>
    <w:rsid w:val="74EB38E2"/>
    <w:rsid w:val="752925BA"/>
    <w:rsid w:val="754B57C9"/>
    <w:rsid w:val="756108E7"/>
    <w:rsid w:val="75861C2C"/>
    <w:rsid w:val="759C3D28"/>
    <w:rsid w:val="75AC428F"/>
    <w:rsid w:val="75EF43A6"/>
    <w:rsid w:val="7614205F"/>
    <w:rsid w:val="76143E0D"/>
    <w:rsid w:val="76277FE4"/>
    <w:rsid w:val="76830F93"/>
    <w:rsid w:val="769D2054"/>
    <w:rsid w:val="76AA6960"/>
    <w:rsid w:val="76F93003"/>
    <w:rsid w:val="772F4564"/>
    <w:rsid w:val="775E5C88"/>
    <w:rsid w:val="77DC0CC6"/>
    <w:rsid w:val="77E500C2"/>
    <w:rsid w:val="785C02A9"/>
    <w:rsid w:val="7862489F"/>
    <w:rsid w:val="788A485A"/>
    <w:rsid w:val="78CD6F5F"/>
    <w:rsid w:val="78EF4614"/>
    <w:rsid w:val="790A7749"/>
    <w:rsid w:val="795966DA"/>
    <w:rsid w:val="79632C35"/>
    <w:rsid w:val="796C59D2"/>
    <w:rsid w:val="7A0917AF"/>
    <w:rsid w:val="7A613399"/>
    <w:rsid w:val="7A770E0E"/>
    <w:rsid w:val="7A9E45ED"/>
    <w:rsid w:val="7AA51086"/>
    <w:rsid w:val="7AE465A8"/>
    <w:rsid w:val="7B166879"/>
    <w:rsid w:val="7B3B1E3C"/>
    <w:rsid w:val="7B615BE8"/>
    <w:rsid w:val="7B7328D2"/>
    <w:rsid w:val="7B785221"/>
    <w:rsid w:val="7B845591"/>
    <w:rsid w:val="7B8657AD"/>
    <w:rsid w:val="7B934935"/>
    <w:rsid w:val="7B96681E"/>
    <w:rsid w:val="7BBA5457"/>
    <w:rsid w:val="7BE91898"/>
    <w:rsid w:val="7C246ADF"/>
    <w:rsid w:val="7C670D6B"/>
    <w:rsid w:val="7C7747BB"/>
    <w:rsid w:val="7CB00608"/>
    <w:rsid w:val="7CE65DD7"/>
    <w:rsid w:val="7D384885"/>
    <w:rsid w:val="7D407BDD"/>
    <w:rsid w:val="7D8A60E2"/>
    <w:rsid w:val="7DFD787D"/>
    <w:rsid w:val="7E265025"/>
    <w:rsid w:val="7E3A60FF"/>
    <w:rsid w:val="7E405FCF"/>
    <w:rsid w:val="7E431733"/>
    <w:rsid w:val="7E5A6A7D"/>
    <w:rsid w:val="7E5C27F5"/>
    <w:rsid w:val="7E7023C7"/>
    <w:rsid w:val="7E7C1B38"/>
    <w:rsid w:val="7EA56115"/>
    <w:rsid w:val="7ECB797B"/>
    <w:rsid w:val="7EDF0F19"/>
    <w:rsid w:val="7EE15A29"/>
    <w:rsid w:val="7F181C41"/>
    <w:rsid w:val="7F6417B4"/>
    <w:rsid w:val="7F7D0C75"/>
    <w:rsid w:val="7FF33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99"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6"/>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7"/>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8"/>
    <w:unhideWhenUsed/>
    <w:qFormat/>
    <w:uiPriority w:val="0"/>
    <w:pPr>
      <w:keepNext/>
      <w:keepLines/>
      <w:spacing w:before="280" w:after="290" w:line="376" w:lineRule="auto"/>
      <w:outlineLvl w:val="4"/>
    </w:pPr>
    <w:rPr>
      <w:b/>
      <w:bCs/>
      <w:sz w:val="28"/>
      <w:szCs w:val="28"/>
    </w:rPr>
  </w:style>
  <w:style w:type="paragraph" w:styleId="7">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character" w:default="1" w:styleId="15">
    <w:name w:val="Default Paragraph Font"/>
    <w:unhideWhenUsed/>
    <w:qFormat/>
    <w:uiPriority w:val="1"/>
  </w:style>
  <w:style w:type="table" w:default="1" w:styleId="1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toa heading"/>
    <w:basedOn w:val="1"/>
    <w:next w:val="1"/>
    <w:qFormat/>
    <w:uiPriority w:val="99"/>
    <w:pPr>
      <w:spacing w:before="120"/>
    </w:pPr>
    <w:rPr>
      <w:rFonts w:ascii="等线 Light" w:hAnsi="等线 Light" w:eastAsia="等线 Light"/>
    </w:rPr>
  </w:style>
  <w:style w:type="paragraph" w:styleId="9">
    <w:name w:val="Body Text"/>
    <w:basedOn w:val="1"/>
    <w:qFormat/>
    <w:uiPriority w:val="1"/>
    <w:pPr>
      <w:ind w:left="138"/>
    </w:pPr>
    <w:rPr>
      <w:rFonts w:ascii="宋体" w:hAnsi="宋体" w:eastAsia="宋体"/>
      <w:sz w:val="24"/>
      <w:szCs w:val="24"/>
    </w:rPr>
  </w:style>
  <w:style w:type="paragraph" w:styleId="10">
    <w:name w:val="footer"/>
    <w:basedOn w:val="1"/>
    <w:qFormat/>
    <w:uiPriority w:val="0"/>
    <w:pPr>
      <w:tabs>
        <w:tab w:val="center" w:pos="4153"/>
        <w:tab w:val="right" w:pos="8306"/>
      </w:tabs>
      <w:snapToGrid w:val="0"/>
    </w:pPr>
    <w:rPr>
      <w:sz w:val="18"/>
    </w:rPr>
  </w:style>
  <w:style w:type="paragraph" w:styleId="11">
    <w:name w:val="toc 1"/>
    <w:basedOn w:val="1"/>
    <w:next w:val="1"/>
    <w:qFormat/>
    <w:uiPriority w:val="39"/>
    <w:pPr>
      <w:spacing w:before="120" w:after="120"/>
    </w:pPr>
    <w:rPr>
      <w:rFonts w:cstheme="minorHAnsi"/>
      <w:b/>
      <w:bCs/>
      <w:caps/>
      <w:sz w:val="20"/>
      <w:szCs w:val="20"/>
    </w:rPr>
  </w:style>
  <w:style w:type="paragraph" w:styleId="12">
    <w:name w:val="Normal (Web)"/>
    <w:basedOn w:val="1"/>
    <w:qFormat/>
    <w:uiPriority w:val="0"/>
    <w:pPr>
      <w:widowControl/>
      <w:spacing w:before="100" w:beforeAutospacing="1" w:after="100" w:afterAutospacing="1"/>
    </w:pPr>
    <w:rPr>
      <w:rFonts w:ascii="宋体" w:hAnsi="宋体" w:eastAsia="宋体" w:cs="宋体"/>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mphasis"/>
    <w:basedOn w:val="15"/>
    <w:qFormat/>
    <w:uiPriority w:val="0"/>
    <w:rPr>
      <w:i/>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paragraph" w:customStyle="1" w:styleId="18">
    <w:name w:val="方案正文"/>
    <w:basedOn w:val="1"/>
    <w:qFormat/>
    <w:uiPriority w:val="0"/>
    <w:pPr>
      <w:spacing w:line="312" w:lineRule="auto"/>
      <w:ind w:firstLine="200" w:firstLineChars="200"/>
    </w:pPr>
    <w:rPr>
      <w:rFonts w:cs="Times New Roman"/>
      <w:kern w:val="16"/>
    </w:rPr>
  </w:style>
  <w:style w:type="paragraph" w:styleId="19">
    <w:name w:val="List Paragraph"/>
    <w:basedOn w:val="1"/>
    <w:unhideWhenUsed/>
    <w:qFormat/>
    <w:uiPriority w:val="99"/>
    <w:pPr>
      <w:ind w:firstLine="420" w:firstLineChars="200"/>
    </w:pPr>
  </w:style>
  <w:style w:type="paragraph" w:customStyle="1" w:styleId="20">
    <w:name w:val="WPSOffice手动目录 1"/>
    <w:qFormat/>
    <w:uiPriority w:val="0"/>
    <w:rPr>
      <w:rFonts w:ascii="Times New Roman" w:hAnsi="Times New Roman" w:eastAsia="宋体" w:cs="Times New Roman"/>
      <w:lang w:val="en-US" w:eastAsia="zh-CN" w:bidi="ar-SA"/>
    </w:rPr>
  </w:style>
  <w:style w:type="paragraph" w:customStyle="1" w:styleId="21">
    <w:name w:val="Table Paragraph"/>
    <w:basedOn w:val="1"/>
    <w:qFormat/>
    <w:uiPriority w:val="1"/>
    <w:rPr>
      <w:rFonts w:ascii="宋体" w:hAnsi="宋体" w:eastAsia="宋体" w:cs="宋体"/>
      <w:lang w:val="zh-CN" w:eastAsia="zh-CN" w:bidi="zh-CN"/>
    </w:rPr>
  </w:style>
  <w:style w:type="paragraph" w:customStyle="1" w:styleId="22">
    <w:name w:val="列表段落1"/>
    <w:basedOn w:val="1"/>
    <w:qFormat/>
    <w:uiPriority w:val="0"/>
    <w:pPr>
      <w:ind w:firstLine="420" w:firstLineChars="200"/>
      <w:jc w:val="both"/>
    </w:pPr>
    <w:rPr>
      <w:rFonts w:ascii="Calibri" w:hAnsi="Calibri" w:eastAsia="宋体" w:cs="Times New Roman"/>
      <w:kern w:val="2"/>
      <w:sz w:val="21"/>
      <w:lang w:eastAsia="zh-CN"/>
    </w:rPr>
  </w:style>
  <w:style w:type="table" w:customStyle="1" w:styleId="23">
    <w:name w:val="Table Normal"/>
    <w:semiHidden/>
    <w:unhideWhenUsed/>
    <w:qFormat/>
    <w:uiPriority w:val="0"/>
    <w:tblPr>
      <w:tblCellMar>
        <w:top w:w="0" w:type="dxa"/>
        <w:left w:w="0" w:type="dxa"/>
        <w:bottom w:w="0" w:type="dxa"/>
        <w:right w:w="0" w:type="dxa"/>
      </w:tblCellMar>
    </w:tblPr>
  </w:style>
  <w:style w:type="character" w:customStyle="1" w:styleId="24">
    <w:name w:val="font11"/>
    <w:basedOn w:val="15"/>
    <w:qFormat/>
    <w:uiPriority w:val="0"/>
    <w:rPr>
      <w:rFonts w:hint="eastAsia" w:ascii="宋体" w:hAnsi="宋体" w:eastAsia="宋体" w:cs="宋体"/>
      <w:color w:val="000000"/>
      <w:sz w:val="24"/>
      <w:szCs w:val="24"/>
      <w:u w:val="none"/>
    </w:rPr>
  </w:style>
  <w:style w:type="character" w:customStyle="1" w:styleId="25">
    <w:name w:val="font21"/>
    <w:basedOn w:val="15"/>
    <w:qFormat/>
    <w:uiPriority w:val="0"/>
    <w:rPr>
      <w:rFonts w:hint="eastAsia" w:ascii="宋体" w:hAnsi="宋体" w:eastAsia="宋体" w:cs="宋体"/>
      <w:color w:val="FF0000"/>
      <w:sz w:val="24"/>
      <w:szCs w:val="24"/>
      <w:u w:val="none"/>
    </w:rPr>
  </w:style>
  <w:style w:type="character" w:customStyle="1" w:styleId="26">
    <w:name w:val="标题 3 字符"/>
    <w:basedOn w:val="15"/>
    <w:link w:val="4"/>
    <w:qFormat/>
    <w:uiPriority w:val="0"/>
    <w:rPr>
      <w:rFonts w:asciiTheme="minorHAnsi" w:hAnsiTheme="minorHAnsi" w:eastAsiaTheme="minorHAnsi" w:cstheme="minorBidi"/>
      <w:b/>
      <w:bCs/>
      <w:sz w:val="32"/>
      <w:szCs w:val="32"/>
      <w:lang w:eastAsia="en-US"/>
    </w:rPr>
  </w:style>
  <w:style w:type="character" w:customStyle="1" w:styleId="27">
    <w:name w:val="标题 4 字符"/>
    <w:basedOn w:val="15"/>
    <w:link w:val="5"/>
    <w:qFormat/>
    <w:uiPriority w:val="0"/>
    <w:rPr>
      <w:rFonts w:asciiTheme="majorHAnsi" w:hAnsiTheme="majorHAnsi" w:eastAsiaTheme="majorEastAsia" w:cstheme="majorBidi"/>
      <w:b/>
      <w:bCs/>
      <w:sz w:val="28"/>
      <w:szCs w:val="28"/>
      <w:lang w:eastAsia="en-US"/>
    </w:rPr>
  </w:style>
  <w:style w:type="character" w:customStyle="1" w:styleId="28">
    <w:name w:val="标题 5 字符"/>
    <w:basedOn w:val="15"/>
    <w:link w:val="6"/>
    <w:qFormat/>
    <w:uiPriority w:val="0"/>
    <w:rPr>
      <w:rFonts w:asciiTheme="minorHAnsi" w:hAnsiTheme="minorHAnsi" w:eastAsiaTheme="minorHAnsi" w:cstheme="minorBidi"/>
      <w:b/>
      <w:bCs/>
      <w:sz w:val="28"/>
      <w:szCs w:val="28"/>
      <w:lang w:eastAsia="en-US"/>
    </w:rPr>
  </w:style>
  <w:style w:type="character" w:customStyle="1" w:styleId="29">
    <w:name w:val="font31"/>
    <w:basedOn w:val="15"/>
    <w:qFormat/>
    <w:uiPriority w:val="0"/>
    <w:rPr>
      <w:rFonts w:hint="eastAsia" w:ascii="宋体" w:hAnsi="宋体" w:eastAsia="宋体"/>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3347</Words>
  <Characters>3773</Characters>
  <Lines>109</Lines>
  <Paragraphs>30</Paragraphs>
  <TotalTime>31</TotalTime>
  <ScaleCrop>false</ScaleCrop>
  <LinksUpToDate>false</LinksUpToDate>
  <CharactersWithSpaces>3858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2020-11-04T13:22:00Z</dcterms:created>
  <dc:creator>lenovo</dc:creator>
  <cp:lastModifiedBy>随遇而安</cp:lastModifiedBy>
  <cp:lastPrinted>2023-03-22T08:23:00Z</cp:lastPrinted>
  <dcterms:modified xsi:type="dcterms:W3CDTF">2025-12-19T07:40:49Z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07541DCCB16C415DAABB74E692F3676B_13</vt:lpwstr>
  </property>
  <property fmtid="{D5CDD505-2E9C-101B-9397-08002B2CF9AE}" pid="4" name="KSOTemplateDocerSaveRecord">
    <vt:lpwstr>eyJoZGlkIjoiYzZhMGE2YjQ0MDBlNjRiZjAxOTgyNGFjYjQ1NDNmNGUiLCJ1c2VySWQiOiI4MDkyMjY1NDIifQ==</vt:lpwstr>
  </property>
</Properties>
</file>