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65C9E">
      <w:pPr>
        <w:spacing w:line="360" w:lineRule="auto"/>
        <w:jc w:val="center"/>
        <w:rPr>
          <w:rFonts w:ascii="黑体" w:hAnsi="Times New Roman" w:eastAsia="黑体" w:cs="Times New Roman"/>
          <w:b/>
          <w:bCs/>
          <w:sz w:val="52"/>
          <w:szCs w:val="52"/>
        </w:rPr>
      </w:pPr>
      <w:bookmarkStart w:id="0" w:name="_Hlk503270419"/>
      <w:r>
        <w:rPr>
          <w:rFonts w:hint="eastAsia" w:ascii="黑体" w:hAnsi="Times New Roman" w:eastAsia="黑体" w:cs="Times New Roman"/>
          <w:b/>
          <w:bCs/>
          <w:sz w:val="52"/>
          <w:szCs w:val="52"/>
        </w:rPr>
        <w:t>北 控 城 市 资 源 集 团</w:t>
      </w:r>
    </w:p>
    <w:p w14:paraId="6406A732">
      <w:pPr>
        <w:snapToGrid w:val="0"/>
        <w:spacing w:line="360" w:lineRule="auto"/>
        <w:jc w:val="center"/>
        <w:rPr>
          <w:rFonts w:hint="default" w:ascii="黑体" w:hAnsi="Times New Roman" w:eastAsia="黑体" w:cs="Times New Roman"/>
          <w:b/>
          <w:bCs/>
          <w:sz w:val="52"/>
          <w:szCs w:val="52"/>
          <w:lang w:val="en-US" w:eastAsia="zh-CN"/>
        </w:rPr>
      </w:pPr>
      <w:r>
        <w:rPr>
          <w:rFonts w:hint="eastAsia" w:ascii="黑体" w:hAnsi="Times New Roman" w:eastAsia="黑体" w:cs="Times New Roman"/>
          <w:b/>
          <w:bCs/>
          <w:sz w:val="52"/>
          <w:szCs w:val="52"/>
          <w:lang w:val="en-US" w:eastAsia="zh-CN"/>
        </w:rPr>
        <w:t>宁 津 项 目</w:t>
      </w:r>
    </w:p>
    <w:p w14:paraId="6E3C73AA">
      <w:pPr>
        <w:snapToGrid w:val="0"/>
        <w:spacing w:line="360" w:lineRule="auto"/>
        <w:jc w:val="center"/>
        <w:rPr>
          <w:rFonts w:ascii="黑体" w:hAnsi="Times New Roman" w:eastAsia="黑体" w:cs="Times New Roman"/>
          <w:b/>
          <w:bCs/>
          <w:sz w:val="24"/>
          <w:szCs w:val="24"/>
        </w:rPr>
      </w:pPr>
      <w:r>
        <w:rPr>
          <w:rFonts w:hint="eastAsia" w:ascii="黑体" w:hAnsi="Times New Roman" w:eastAsia="黑体" w:cs="Times New Roman"/>
          <w:b/>
          <w:bCs/>
          <w:sz w:val="32"/>
          <w:szCs w:val="32"/>
        </w:rPr>
        <w:t>企 业 标 准</w:t>
      </w:r>
    </w:p>
    <w:p w14:paraId="202E2F48">
      <w:pPr>
        <w:snapToGrid w:val="0"/>
        <w:spacing w:line="360" w:lineRule="auto"/>
        <w:jc w:val="left"/>
        <w:rPr>
          <w:rFonts w:ascii="黑体" w:hAnsi="Times New Roman" w:eastAsia="黑体" w:cs="Times New Roman"/>
          <w:b/>
          <w:bCs/>
          <w:sz w:val="32"/>
          <w:szCs w:val="32"/>
        </w:rPr>
      </w:pPr>
    </w:p>
    <w:p w14:paraId="26D88DA3">
      <w:pPr>
        <w:spacing w:line="360" w:lineRule="auto"/>
        <w:jc w:val="right"/>
        <w:rPr>
          <w:rFonts w:hint="eastAsia" w:ascii="黑体" w:hAnsi="Times New Roman" w:eastAsia="黑体" w:cs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292735</wp:posOffset>
                </wp:positionV>
                <wp:extent cx="5715000" cy="0"/>
                <wp:effectExtent l="0" t="12700" r="0" b="1587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23.05pt;height:0pt;width:450pt;mso-position-horizontal:right;mso-position-horizontal-relative:margin;z-index:251660288;mso-width-relative:page;mso-height-relative:page;" filled="f" stroked="t" coordsize="21600,21600" o:gfxdata="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By9pdLTAAAABgEA&#10;AA8AAAAAAAAAAQAgAAAAIgAAAGRycy9kb3ducmV2LnhtbFBLAQIUABQAAAAIAIdO4kC9EJMr5gEA&#10;ALkDAAAOAAAAAAAAAAEAIAAAACIBAABkcnMvZTJvRG9jLnhtbFBLBQYAAAAABgAGAFkBAAB6BQAA&#10;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Times New Roman" w:eastAsia="黑体" w:cs="Times New Roman"/>
          <w:bCs/>
          <w:sz w:val="24"/>
          <w:szCs w:val="24"/>
        </w:rPr>
        <w:t>制度编号：</w:t>
      </w:r>
    </w:p>
    <w:p w14:paraId="5CBE6DB2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10832A72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130016A8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0571EA33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6D68C1E3">
      <w:pPr>
        <w:spacing w:line="360" w:lineRule="auto"/>
        <w:jc w:val="center"/>
        <w:rPr>
          <w:rFonts w:hint="default" w:ascii="黑体" w:hAnsi="宋体" w:eastAsia="黑体" w:cs="Times New Roman"/>
          <w:bCs/>
          <w:sz w:val="52"/>
          <w:szCs w:val="52"/>
          <w:lang w:val="en-US" w:eastAsia="zh-CN"/>
        </w:rPr>
      </w:pPr>
      <w:r>
        <w:rPr>
          <w:rFonts w:hint="eastAsia" w:ascii="黑体" w:hAnsi="宋体" w:eastAsia="黑体" w:cs="Times New Roman"/>
          <w:bCs/>
          <w:sz w:val="52"/>
          <w:szCs w:val="52"/>
          <w:lang w:val="en-US" w:eastAsia="zh-CN"/>
        </w:rPr>
        <w:t>安全生产网格体系管理办法</w:t>
      </w:r>
    </w:p>
    <w:p w14:paraId="66E303D8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2E176257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52247A86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5C7D3521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4A6C13A5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2F3A86EC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7356C760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632B9E31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1B60A26F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65442DA0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039740E6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5CA16F00">
      <w:pPr>
        <w:spacing w:line="360" w:lineRule="auto"/>
        <w:ind w:right="84"/>
        <w:jc w:val="left"/>
        <w:rPr>
          <w:rFonts w:hint="eastAsia" w:ascii="黑体" w:hAnsi="黑体" w:eastAsia="黑体" w:cs="Times New Roman"/>
          <w:bCs/>
          <w:sz w:val="28"/>
          <w:szCs w:val="28"/>
        </w:rPr>
      </w:pPr>
      <w:r>
        <w:rPr>
          <w:rFonts w:hint="eastAsia" w:ascii="宋体" w:hAnsi="宋体" w:eastAsia="宋体" w:cs="Times New Roman"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292735</wp:posOffset>
                </wp:positionV>
                <wp:extent cx="5240655" cy="1143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40655" cy="114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23.05pt;height:0.9pt;width:412.65pt;mso-position-horizontal-relative:margin;z-index:251661312;mso-width-relative:page;mso-height-relative:page;" filled="f" stroked="t" coordsize="21600,21600" o:gfxdata="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B57N7NQAAAAGAQAADwAAAAAAAAABACAAAAAiAAAAZHJzL2Rvd25yZXYueG1sUEsBAhQA&#10;FAAAAAgAh07iQPudxx/2AQAAxwMAAA4AAAAAAAAAAQAgAAAAIwEAAGRycy9lMm9Eb2MueG1sUEsF&#10;BgAAAAAGAAYAWQEAAIs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Times New Roman"/>
          <w:bCs/>
          <w:sz w:val="28"/>
          <w:szCs w:val="28"/>
        </w:rPr>
        <w:t>20</w:t>
      </w: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XX</w:t>
      </w:r>
      <w:r>
        <w:rPr>
          <w:rFonts w:hint="eastAsia" w:ascii="黑体" w:hAnsi="黑体" w:eastAsia="黑体" w:cs="Times New Roman"/>
          <w:bCs/>
          <w:sz w:val="28"/>
          <w:szCs w:val="28"/>
        </w:rPr>
        <w:t>-</w:t>
      </w: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XX</w:t>
      </w:r>
      <w:r>
        <w:rPr>
          <w:rFonts w:hint="eastAsia" w:ascii="黑体" w:hAnsi="黑体" w:eastAsia="黑体" w:cs="Times New Roman"/>
          <w:bCs/>
          <w:sz w:val="28"/>
          <w:szCs w:val="28"/>
        </w:rPr>
        <w:t xml:space="preserve">发布 </w:t>
      </w:r>
      <w:r>
        <w:rPr>
          <w:rFonts w:ascii="黑体" w:hAnsi="黑体" w:eastAsia="黑体" w:cs="Times New Roman"/>
          <w:bCs/>
          <w:sz w:val="28"/>
          <w:szCs w:val="28"/>
        </w:rPr>
        <w:t xml:space="preserve">      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          </w:t>
      </w:r>
      <w:r>
        <w:rPr>
          <w:rFonts w:ascii="宋体" w:hAnsi="宋体" w:eastAsia="宋体" w:cs="Times New Roman"/>
          <w:bCs/>
          <w:sz w:val="28"/>
          <w:szCs w:val="28"/>
        </w:rPr>
        <w:t xml:space="preserve">               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Times New Roman"/>
          <w:bCs/>
          <w:sz w:val="28"/>
          <w:szCs w:val="28"/>
        </w:rPr>
        <w:t>20</w:t>
      </w: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XX</w:t>
      </w:r>
      <w:r>
        <w:rPr>
          <w:rFonts w:hint="eastAsia" w:ascii="黑体" w:hAnsi="黑体" w:eastAsia="黑体" w:cs="Times New Roman"/>
          <w:bCs/>
          <w:sz w:val="28"/>
          <w:szCs w:val="28"/>
        </w:rPr>
        <w:t>-</w:t>
      </w: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XX</w:t>
      </w:r>
      <w:r>
        <w:rPr>
          <w:rFonts w:hint="eastAsia" w:ascii="黑体" w:hAnsi="黑体" w:eastAsia="黑体" w:cs="Times New Roman"/>
          <w:bCs/>
          <w:sz w:val="28"/>
          <w:szCs w:val="28"/>
        </w:rPr>
        <w:t>实施</w:t>
      </w:r>
    </w:p>
    <w:p w14:paraId="07572D82">
      <w:pPr>
        <w:spacing w:line="360" w:lineRule="auto"/>
        <w:jc w:val="center"/>
        <w:rPr>
          <w:rFonts w:hint="eastAsia" w:ascii="黑体" w:hAnsi="Times New Roman" w:eastAsia="黑体" w:cs="Times New Roman"/>
          <w:bCs/>
          <w:sz w:val="32"/>
          <w:szCs w:val="32"/>
        </w:rPr>
      </w:pPr>
      <w:r>
        <w:rPr>
          <w:rFonts w:hint="eastAsia" w:ascii="黑体" w:hAnsi="Times New Roman" w:eastAsia="黑体" w:cs="Times New Roman"/>
          <w:bCs/>
          <w:sz w:val="32"/>
          <w:szCs w:val="32"/>
          <w:lang w:val="en-US" w:eastAsia="zh-CN"/>
        </w:rPr>
        <w:t>宁津北控城市环境服务有限公司</w:t>
      </w:r>
      <w:r>
        <w:rPr>
          <w:rFonts w:hint="eastAsia" w:ascii="黑体" w:hAnsi="Times New Roman" w:eastAsia="黑体" w:cs="Times New Roman"/>
          <w:bCs/>
          <w:sz w:val="32"/>
          <w:szCs w:val="32"/>
        </w:rPr>
        <w:t xml:space="preserve">  发布</w:t>
      </w:r>
      <w:bookmarkEnd w:id="0"/>
    </w:p>
    <w:p w14:paraId="108BB183">
      <w:pPr>
        <w:rPr>
          <w:rFonts w:hint="eastAsia" w:ascii="黑体" w:hAnsi="Times New Roman" w:eastAsia="黑体" w:cs="Times New Roman"/>
          <w:bCs/>
          <w:sz w:val="32"/>
          <w:szCs w:val="32"/>
          <w:lang w:eastAsia="zh-CN"/>
        </w:rPr>
      </w:pPr>
      <w:r>
        <w:rPr>
          <w:rFonts w:hint="eastAsia" w:ascii="黑体" w:hAnsi="Times New Roman" w:eastAsia="黑体" w:cs="Times New Roman"/>
          <w:bCs/>
          <w:sz w:val="32"/>
          <w:szCs w:val="32"/>
          <w:lang w:eastAsia="zh-CN"/>
        </w:rPr>
        <w:br w:type="page"/>
      </w:r>
    </w:p>
    <w:p w14:paraId="36797EC9">
      <w:pPr>
        <w:snapToGrid w:val="0"/>
        <w:spacing w:line="360" w:lineRule="auto"/>
        <w:jc w:val="center"/>
        <w:rPr>
          <w:rFonts w:ascii="黑体" w:hAnsi="Times New Roman" w:eastAsia="黑体" w:cs="Times New Roman"/>
          <w:bCs/>
          <w:sz w:val="30"/>
          <w:szCs w:val="30"/>
        </w:rPr>
      </w:pPr>
      <w:r>
        <w:rPr>
          <w:rFonts w:hint="eastAsia" w:ascii="黑体" w:hAnsi="Times New Roman" w:eastAsia="黑体" w:cs="Times New Roman"/>
          <w:bCs/>
          <w:sz w:val="30"/>
          <w:szCs w:val="30"/>
        </w:rPr>
        <w:t>制度控制表</w:t>
      </w:r>
    </w:p>
    <w:tbl>
      <w:tblPr>
        <w:tblStyle w:val="5"/>
        <w:tblW w:w="101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795"/>
        <w:gridCol w:w="1063"/>
        <w:gridCol w:w="1143"/>
        <w:gridCol w:w="1418"/>
        <w:gridCol w:w="1225"/>
        <w:gridCol w:w="1134"/>
        <w:gridCol w:w="1212"/>
        <w:gridCol w:w="1036"/>
      </w:tblGrid>
      <w:tr w14:paraId="19743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153" w:type="dxa"/>
            <w:vAlign w:val="center"/>
          </w:tcPr>
          <w:p w14:paraId="6E01C573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制度名称</w:t>
            </w:r>
          </w:p>
        </w:tc>
        <w:tc>
          <w:tcPr>
            <w:tcW w:w="9026" w:type="dxa"/>
            <w:gridSpan w:val="8"/>
            <w:vAlign w:val="center"/>
          </w:tcPr>
          <w:p w14:paraId="5500C436">
            <w:pPr>
              <w:spacing w:line="360" w:lineRule="auto"/>
              <w:rPr>
                <w:rFonts w:hint="default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Cs w:val="21"/>
                <w:lang w:val="en-US" w:eastAsia="zh-CN"/>
              </w:rPr>
              <w:t>安全生产网格体系管理办法</w:t>
            </w:r>
          </w:p>
        </w:tc>
      </w:tr>
      <w:tr w14:paraId="7C6A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153" w:type="dxa"/>
            <w:vAlign w:val="center"/>
          </w:tcPr>
          <w:p w14:paraId="1AE7277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制度编号</w:t>
            </w:r>
          </w:p>
        </w:tc>
        <w:tc>
          <w:tcPr>
            <w:tcW w:w="9026" w:type="dxa"/>
            <w:gridSpan w:val="8"/>
            <w:vAlign w:val="center"/>
          </w:tcPr>
          <w:p w14:paraId="30E28090">
            <w:pPr>
              <w:spacing w:line="360" w:lineRule="auto"/>
              <w:rPr>
                <w:rFonts w:hint="default" w:ascii="宋体" w:hAnsi="宋体" w:eastAsia="宋体" w:cs="Times New Roman"/>
                <w:bCs/>
                <w:szCs w:val="21"/>
                <w:highlight w:val="yellow"/>
                <w:lang w:val="en-US" w:eastAsia="zh-CN"/>
              </w:rPr>
            </w:pPr>
          </w:p>
        </w:tc>
      </w:tr>
      <w:tr w14:paraId="64418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1153" w:type="dxa"/>
            <w:vAlign w:val="center"/>
          </w:tcPr>
          <w:p w14:paraId="29C1281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版本</w:t>
            </w:r>
          </w:p>
        </w:tc>
        <w:tc>
          <w:tcPr>
            <w:tcW w:w="795" w:type="dxa"/>
            <w:vAlign w:val="center"/>
          </w:tcPr>
          <w:p w14:paraId="722AB092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状态</w:t>
            </w:r>
          </w:p>
        </w:tc>
        <w:tc>
          <w:tcPr>
            <w:tcW w:w="1063" w:type="dxa"/>
            <w:vAlign w:val="center"/>
          </w:tcPr>
          <w:p w14:paraId="6AC4CB2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实施日期</w:t>
            </w:r>
          </w:p>
        </w:tc>
        <w:tc>
          <w:tcPr>
            <w:tcW w:w="1143" w:type="dxa"/>
            <w:vAlign w:val="center"/>
          </w:tcPr>
          <w:p w14:paraId="1AB333D3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起草部门</w:t>
            </w:r>
          </w:p>
        </w:tc>
        <w:tc>
          <w:tcPr>
            <w:tcW w:w="1418" w:type="dxa"/>
            <w:vAlign w:val="center"/>
          </w:tcPr>
          <w:p w14:paraId="67D7DB3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会签部门</w:t>
            </w:r>
          </w:p>
        </w:tc>
        <w:tc>
          <w:tcPr>
            <w:tcW w:w="1225" w:type="dxa"/>
            <w:vAlign w:val="center"/>
          </w:tcPr>
          <w:p w14:paraId="5F02150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主管领导审核</w:t>
            </w:r>
          </w:p>
        </w:tc>
        <w:tc>
          <w:tcPr>
            <w:tcW w:w="1134" w:type="dxa"/>
            <w:vAlign w:val="center"/>
          </w:tcPr>
          <w:p w14:paraId="6DEDF9B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审核部门</w:t>
            </w:r>
          </w:p>
        </w:tc>
        <w:tc>
          <w:tcPr>
            <w:tcW w:w="1212" w:type="dxa"/>
            <w:vAlign w:val="center"/>
          </w:tcPr>
          <w:p w14:paraId="5D9206E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签发人</w:t>
            </w:r>
          </w:p>
        </w:tc>
        <w:tc>
          <w:tcPr>
            <w:tcW w:w="1036" w:type="dxa"/>
            <w:vAlign w:val="center"/>
          </w:tcPr>
          <w:p w14:paraId="462067F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是否修订</w:t>
            </w:r>
          </w:p>
        </w:tc>
      </w:tr>
      <w:tr w14:paraId="54A4C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1153" w:type="dxa"/>
            <w:shd w:val="clear" w:color="auto" w:fill="auto"/>
            <w:vAlign w:val="center"/>
          </w:tcPr>
          <w:p w14:paraId="40BC10C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14:paraId="09DD15F7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试用执行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01A04C8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3" w:type="dxa"/>
            <w:shd w:val="clear" w:color="auto" w:fill="auto"/>
            <w:vAlign w:val="center"/>
          </w:tcPr>
          <w:p w14:paraId="7DA44F1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 w14:paraId="237B688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</w:p>
        </w:tc>
        <w:tc>
          <w:tcPr>
            <w:tcW w:w="1225" w:type="dxa"/>
            <w:vAlign w:val="center"/>
          </w:tcPr>
          <w:p w14:paraId="5066889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0893F35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</w:p>
        </w:tc>
        <w:tc>
          <w:tcPr>
            <w:tcW w:w="1212" w:type="dxa"/>
            <w:vAlign w:val="center"/>
          </w:tcPr>
          <w:p w14:paraId="2EEBE1B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</w:p>
        </w:tc>
        <w:tc>
          <w:tcPr>
            <w:tcW w:w="1036" w:type="dxa"/>
            <w:vAlign w:val="center"/>
          </w:tcPr>
          <w:p w14:paraId="2A3F2CC2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</w:p>
        </w:tc>
      </w:tr>
      <w:tr w14:paraId="708F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153" w:type="dxa"/>
            <w:vAlign w:val="center"/>
          </w:tcPr>
          <w:p w14:paraId="510A6FC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795" w:type="dxa"/>
            <w:vAlign w:val="center"/>
          </w:tcPr>
          <w:p w14:paraId="186F9C5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63" w:type="dxa"/>
            <w:vAlign w:val="center"/>
          </w:tcPr>
          <w:p w14:paraId="0CCD3DB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43" w:type="dxa"/>
            <w:vAlign w:val="center"/>
          </w:tcPr>
          <w:p w14:paraId="38C4C72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701A10A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25" w:type="dxa"/>
            <w:vAlign w:val="center"/>
          </w:tcPr>
          <w:p w14:paraId="32FE4B9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0A7714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12" w:type="dxa"/>
            <w:vAlign w:val="center"/>
          </w:tcPr>
          <w:p w14:paraId="12B1367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36" w:type="dxa"/>
            <w:vAlign w:val="center"/>
          </w:tcPr>
          <w:p w14:paraId="33842BC2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</w:tr>
      <w:tr w14:paraId="7280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153" w:type="dxa"/>
            <w:vAlign w:val="center"/>
          </w:tcPr>
          <w:p w14:paraId="4BB5AD0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795" w:type="dxa"/>
            <w:vAlign w:val="center"/>
          </w:tcPr>
          <w:p w14:paraId="13BCE7A7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63" w:type="dxa"/>
            <w:vAlign w:val="center"/>
          </w:tcPr>
          <w:p w14:paraId="510FA4E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43" w:type="dxa"/>
            <w:vAlign w:val="center"/>
          </w:tcPr>
          <w:p w14:paraId="6036AE8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2CD14A41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25" w:type="dxa"/>
            <w:vAlign w:val="center"/>
          </w:tcPr>
          <w:p w14:paraId="741A6CB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4C97EC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12" w:type="dxa"/>
            <w:vAlign w:val="center"/>
          </w:tcPr>
          <w:p w14:paraId="31123B8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36" w:type="dxa"/>
            <w:vAlign w:val="center"/>
          </w:tcPr>
          <w:p w14:paraId="2382F86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</w:tr>
      <w:tr w14:paraId="7401F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153" w:type="dxa"/>
            <w:vAlign w:val="center"/>
          </w:tcPr>
          <w:p w14:paraId="37FF274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795" w:type="dxa"/>
            <w:vAlign w:val="center"/>
          </w:tcPr>
          <w:p w14:paraId="52938A51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63" w:type="dxa"/>
            <w:vAlign w:val="center"/>
          </w:tcPr>
          <w:p w14:paraId="012E1B0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43" w:type="dxa"/>
            <w:vAlign w:val="center"/>
          </w:tcPr>
          <w:p w14:paraId="60CE6CB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6A2EB97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25" w:type="dxa"/>
            <w:vAlign w:val="center"/>
          </w:tcPr>
          <w:p w14:paraId="1D8F27D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7F8096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12" w:type="dxa"/>
            <w:vAlign w:val="center"/>
          </w:tcPr>
          <w:p w14:paraId="218D3A9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36" w:type="dxa"/>
            <w:vAlign w:val="center"/>
          </w:tcPr>
          <w:p w14:paraId="420C7C1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</w:tr>
      <w:tr w14:paraId="176BC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9" w:hRule="atLeast"/>
          <w:jc w:val="center"/>
        </w:trPr>
        <w:tc>
          <w:tcPr>
            <w:tcW w:w="1153" w:type="dxa"/>
            <w:vAlign w:val="center"/>
          </w:tcPr>
          <w:p w14:paraId="0980A067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此</w:t>
            </w:r>
          </w:p>
          <w:p w14:paraId="2696497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次</w:t>
            </w:r>
          </w:p>
          <w:p w14:paraId="6E8E117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修</w:t>
            </w:r>
          </w:p>
          <w:p w14:paraId="5B418A0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改</w:t>
            </w:r>
          </w:p>
          <w:p w14:paraId="7C5A03F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的</w:t>
            </w:r>
          </w:p>
          <w:p w14:paraId="2457F70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主</w:t>
            </w:r>
          </w:p>
          <w:p w14:paraId="5DAB78A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要</w:t>
            </w:r>
          </w:p>
          <w:p w14:paraId="1640FE6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内</w:t>
            </w:r>
          </w:p>
          <w:p w14:paraId="566C9DC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容</w:t>
            </w:r>
          </w:p>
        </w:tc>
        <w:tc>
          <w:tcPr>
            <w:tcW w:w="9026" w:type="dxa"/>
            <w:gridSpan w:val="8"/>
            <w:vAlign w:val="center"/>
          </w:tcPr>
          <w:p w14:paraId="1FEE4F90">
            <w:pPr>
              <w:spacing w:line="360" w:lineRule="auto"/>
              <w:rPr>
                <w:rFonts w:hint="eastAsia" w:ascii="宋体" w:hAnsi="宋体" w:eastAsia="宋体" w:cs="Times New Roman"/>
                <w:szCs w:val="21"/>
              </w:rPr>
            </w:pPr>
          </w:p>
          <w:p w14:paraId="146F007C">
            <w:pPr>
              <w:spacing w:line="360" w:lineRule="auto"/>
              <w:rPr>
                <w:rFonts w:hint="eastAsia" w:ascii="宋体" w:hAnsi="宋体" w:eastAsia="宋体" w:cs="Times New Roman"/>
                <w:szCs w:val="21"/>
                <w:lang w:eastAsia="zh-CN"/>
              </w:rPr>
            </w:pPr>
          </w:p>
          <w:p w14:paraId="01725F3B">
            <w:pPr>
              <w:spacing w:line="360" w:lineRule="auto"/>
              <w:rPr>
                <w:rFonts w:hint="eastAsia" w:ascii="宋体" w:hAnsi="宋体" w:eastAsia="宋体" w:cs="Times New Roman"/>
                <w:szCs w:val="21"/>
              </w:rPr>
            </w:pPr>
          </w:p>
          <w:p w14:paraId="1BBC072B">
            <w:pPr>
              <w:spacing w:line="360" w:lineRule="auto"/>
              <w:rPr>
                <w:rFonts w:hint="eastAsia" w:ascii="宋体" w:hAnsi="宋体" w:eastAsia="宋体" w:cs="Times New Roman"/>
                <w:szCs w:val="21"/>
              </w:rPr>
            </w:pPr>
          </w:p>
        </w:tc>
      </w:tr>
      <w:tr w14:paraId="42C12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  <w:jc w:val="center"/>
        </w:trPr>
        <w:tc>
          <w:tcPr>
            <w:tcW w:w="1153" w:type="dxa"/>
            <w:vAlign w:val="center"/>
          </w:tcPr>
          <w:p w14:paraId="1BD64F2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解释部门</w:t>
            </w:r>
          </w:p>
        </w:tc>
        <w:tc>
          <w:tcPr>
            <w:tcW w:w="9026" w:type="dxa"/>
            <w:gridSpan w:val="8"/>
            <w:vAlign w:val="center"/>
          </w:tcPr>
          <w:p w14:paraId="07A7930E">
            <w:pPr>
              <w:spacing w:line="360" w:lineRule="auto"/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</w:p>
        </w:tc>
      </w:tr>
    </w:tbl>
    <w:p w14:paraId="7E97BFA8">
      <w:r>
        <w:br w:type="page"/>
      </w:r>
    </w:p>
    <w:p w14:paraId="359285CD"/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4008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0FC4260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40"/>
            </w:rPr>
          </w:pPr>
          <w:r>
            <w:rPr>
              <w:rFonts w:ascii="宋体" w:hAnsi="宋体" w:eastAsia="宋体"/>
              <w:sz w:val="32"/>
              <w:szCs w:val="40"/>
            </w:rPr>
            <w:t>目录</w:t>
          </w:r>
        </w:p>
        <w:p w14:paraId="2B3381D4">
          <w:pPr>
            <w:pStyle w:val="4"/>
            <w:tabs>
              <w:tab w:val="right" w:leader="dot" w:pos="8306"/>
            </w:tabs>
          </w:pP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TOC \o "1-1" \h \u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Cs w:val="40"/>
            </w:rPr>
            <w:fldChar w:fldCharType="begin"/>
          </w:r>
          <w:r>
            <w:rPr>
              <w:szCs w:val="40"/>
            </w:rPr>
            <w:instrText xml:space="preserve"> HYPERLINK \l _Toc19552 </w:instrText>
          </w:r>
          <w:r>
            <w:rPr>
              <w:szCs w:val="40"/>
            </w:rPr>
            <w:fldChar w:fldCharType="separate"/>
          </w:r>
          <w:r>
            <w:rPr>
              <w:rFonts w:hint="eastAsia" w:ascii="宋体"/>
            </w:rPr>
            <w:t xml:space="preserve">1.0 </w:t>
          </w:r>
          <w:r>
            <w:rPr>
              <w:rFonts w:hint="eastAsia" w:ascii="宋体"/>
              <w:highlight w:val="none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_Toc19552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40"/>
            </w:rPr>
            <w:fldChar w:fldCharType="end"/>
          </w:r>
        </w:p>
        <w:p w14:paraId="1103B688">
          <w:pPr>
            <w:pStyle w:val="4"/>
            <w:tabs>
              <w:tab w:val="right" w:leader="dot" w:pos="8306"/>
            </w:tabs>
          </w:pPr>
          <w:r>
            <w:rPr>
              <w:szCs w:val="40"/>
            </w:rPr>
            <w:fldChar w:fldCharType="begin"/>
          </w:r>
          <w:r>
            <w:rPr>
              <w:szCs w:val="40"/>
            </w:rPr>
            <w:instrText xml:space="preserve"> HYPERLINK \l _Toc21861 </w:instrText>
          </w:r>
          <w:r>
            <w:rPr>
              <w:szCs w:val="40"/>
            </w:rPr>
            <w:fldChar w:fldCharType="separate"/>
          </w:r>
          <w:r>
            <w:rPr>
              <w:rFonts w:hint="eastAsia" w:ascii="宋体"/>
            </w:rPr>
            <w:t xml:space="preserve">2.0 </w:t>
          </w:r>
          <w:r>
            <w:rPr>
              <w:rFonts w:hint="eastAsia" w:ascii="宋体"/>
              <w:highlight w:val="none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40"/>
            </w:rPr>
            <w:fldChar w:fldCharType="end"/>
          </w:r>
        </w:p>
        <w:p w14:paraId="7DD1BC90">
          <w:pPr>
            <w:pStyle w:val="4"/>
            <w:tabs>
              <w:tab w:val="right" w:leader="dot" w:pos="8306"/>
            </w:tabs>
          </w:pPr>
          <w:r>
            <w:rPr>
              <w:szCs w:val="40"/>
            </w:rPr>
            <w:fldChar w:fldCharType="begin"/>
          </w:r>
          <w:r>
            <w:rPr>
              <w:szCs w:val="40"/>
            </w:rPr>
            <w:instrText xml:space="preserve"> HYPERLINK \l _Toc3110 </w:instrText>
          </w:r>
          <w:r>
            <w:rPr>
              <w:szCs w:val="40"/>
            </w:rPr>
            <w:fldChar w:fldCharType="separate"/>
          </w:r>
          <w:r>
            <w:rPr>
              <w:rFonts w:hint="eastAsia" w:ascii="宋体"/>
            </w:rPr>
            <w:t xml:space="preserve">3.0 </w:t>
          </w:r>
          <w:r>
            <w:rPr>
              <w:rFonts w:hint="eastAsia" w:ascii="宋体"/>
              <w:highlight w:val="none"/>
            </w:rPr>
            <w:t>术语与定义</w:t>
          </w:r>
          <w:r>
            <w:tab/>
          </w:r>
          <w:r>
            <w:fldChar w:fldCharType="begin"/>
          </w:r>
          <w:r>
            <w:instrText xml:space="preserve"> PAGEREF _Toc3110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40"/>
            </w:rPr>
            <w:fldChar w:fldCharType="end"/>
          </w:r>
        </w:p>
        <w:p w14:paraId="4310B88D">
          <w:pPr>
            <w:pStyle w:val="4"/>
            <w:tabs>
              <w:tab w:val="right" w:leader="dot" w:pos="8306"/>
            </w:tabs>
          </w:pPr>
          <w:r>
            <w:rPr>
              <w:szCs w:val="40"/>
            </w:rPr>
            <w:fldChar w:fldCharType="begin"/>
          </w:r>
          <w:r>
            <w:rPr>
              <w:szCs w:val="40"/>
            </w:rPr>
            <w:instrText xml:space="preserve"> HYPERLINK \l _Toc26922 </w:instrText>
          </w:r>
          <w:r>
            <w:rPr>
              <w:szCs w:val="40"/>
            </w:rPr>
            <w:fldChar w:fldCharType="separate"/>
          </w:r>
          <w:r>
            <w:rPr>
              <w:rFonts w:hint="eastAsia" w:ascii="宋体"/>
              <w:lang w:val="en-US" w:eastAsia="zh-CN"/>
            </w:rPr>
            <w:t xml:space="preserve">4.0 </w:t>
          </w:r>
          <w:r>
            <w:rPr>
              <w:rFonts w:hint="eastAsia" w:ascii="宋体"/>
              <w:highlight w:val="none"/>
            </w:rPr>
            <w:t>人员职责</w:t>
          </w:r>
          <w:r>
            <w:tab/>
          </w:r>
          <w:r>
            <w:fldChar w:fldCharType="begin"/>
          </w:r>
          <w:r>
            <w:instrText xml:space="preserve"> PAGEREF _Toc26922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40"/>
            </w:rPr>
            <w:fldChar w:fldCharType="end"/>
          </w:r>
        </w:p>
        <w:p w14:paraId="67EA6459">
          <w:pPr>
            <w:pStyle w:val="4"/>
            <w:tabs>
              <w:tab w:val="right" w:leader="dot" w:pos="8306"/>
            </w:tabs>
          </w:pPr>
          <w:r>
            <w:rPr>
              <w:szCs w:val="40"/>
            </w:rPr>
            <w:fldChar w:fldCharType="begin"/>
          </w:r>
          <w:r>
            <w:rPr>
              <w:szCs w:val="40"/>
            </w:rPr>
            <w:instrText xml:space="preserve"> HYPERLINK \l _Toc10811 </w:instrText>
          </w:r>
          <w:r>
            <w:rPr>
              <w:szCs w:val="40"/>
            </w:rPr>
            <w:fldChar w:fldCharType="separate"/>
          </w:r>
          <w:r>
            <w:rPr>
              <w:rFonts w:hint="eastAsia" w:ascii="宋体" w:hAnsiTheme="minorHAnsi" w:eastAsiaTheme="minorHAnsi" w:cstheme="minorBidi"/>
              <w:bCs w:val="0"/>
              <w:kern w:val="0"/>
              <w:szCs w:val="22"/>
              <w:lang w:val="en-US" w:eastAsia="zh-CN" w:bidi="ar"/>
            </w:rPr>
            <w:t xml:space="preserve">5.0 </w:t>
          </w:r>
          <w:r>
            <w:rPr>
              <w:rFonts w:hint="eastAsia" w:ascii="宋体" w:hAnsiTheme="minorHAnsi" w:eastAsiaTheme="minorHAnsi" w:cstheme="minorBidi"/>
              <w:bCs w:val="0"/>
              <w:kern w:val="0"/>
              <w:szCs w:val="22"/>
              <w:highlight w:val="none"/>
              <w:lang w:val="en-US" w:eastAsia="zh-CN" w:bidi="ar"/>
            </w:rPr>
            <w:t>网格划分</w:t>
          </w:r>
          <w:r>
            <w:tab/>
          </w:r>
          <w:r>
            <w:fldChar w:fldCharType="begin"/>
          </w:r>
          <w:r>
            <w:instrText xml:space="preserve"> PAGEREF _Toc10811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40"/>
            </w:rPr>
            <w:fldChar w:fldCharType="end"/>
          </w:r>
        </w:p>
        <w:p w14:paraId="45C9AC5A">
          <w:pPr>
            <w:pStyle w:val="4"/>
            <w:tabs>
              <w:tab w:val="right" w:leader="dot" w:pos="8306"/>
            </w:tabs>
          </w:pPr>
          <w:r>
            <w:rPr>
              <w:szCs w:val="40"/>
            </w:rPr>
            <w:fldChar w:fldCharType="begin"/>
          </w:r>
          <w:r>
            <w:rPr>
              <w:szCs w:val="40"/>
            </w:rPr>
            <w:instrText xml:space="preserve"> HYPERLINK \l _Toc2783 </w:instrText>
          </w:r>
          <w:r>
            <w:rPr>
              <w:szCs w:val="40"/>
            </w:rPr>
            <w:fldChar w:fldCharType="separate"/>
          </w:r>
          <w:r>
            <w:rPr>
              <w:rFonts w:hint="eastAsia" w:ascii="宋体" w:hAnsiTheme="minorHAnsi" w:eastAsiaTheme="minorHAnsi" w:cstheme="minorBidi"/>
              <w:bCs w:val="0"/>
              <w:kern w:val="0"/>
              <w:szCs w:val="22"/>
              <w:lang w:val="en-US" w:eastAsia="zh-CN" w:bidi="ar"/>
            </w:rPr>
            <w:t xml:space="preserve">6.0 </w:t>
          </w:r>
          <w:r>
            <w:rPr>
              <w:rFonts w:hint="eastAsia" w:ascii="宋体" w:hAnsiTheme="minorHAnsi" w:eastAsiaTheme="minorHAnsi" w:cstheme="minorBidi"/>
              <w:bCs w:val="0"/>
              <w:kern w:val="0"/>
              <w:szCs w:val="22"/>
              <w:highlight w:val="none"/>
              <w:lang w:val="en-US" w:eastAsia="zh-CN" w:bidi="ar"/>
            </w:rPr>
            <w:t>网格化管理实施</w:t>
          </w:r>
          <w:r>
            <w:tab/>
          </w:r>
          <w:r>
            <w:fldChar w:fldCharType="begin"/>
          </w:r>
          <w:r>
            <w:instrText xml:space="preserve"> PAGEREF _Toc2783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40"/>
            </w:rPr>
            <w:fldChar w:fldCharType="end"/>
          </w:r>
        </w:p>
        <w:p w14:paraId="415D38CA">
          <w:pPr>
            <w:pStyle w:val="4"/>
            <w:tabs>
              <w:tab w:val="right" w:leader="dot" w:pos="8306"/>
            </w:tabs>
          </w:pPr>
          <w:r>
            <w:rPr>
              <w:szCs w:val="40"/>
            </w:rPr>
            <w:fldChar w:fldCharType="begin"/>
          </w:r>
          <w:r>
            <w:rPr>
              <w:szCs w:val="40"/>
            </w:rPr>
            <w:instrText xml:space="preserve"> HYPERLINK \l _Toc14556 </w:instrText>
          </w:r>
          <w:r>
            <w:rPr>
              <w:szCs w:val="40"/>
            </w:rPr>
            <w:fldChar w:fldCharType="separate"/>
          </w:r>
          <w:r>
            <w:rPr>
              <w:rFonts w:hint="eastAsia" w:ascii="宋体" w:eastAsia="宋体" w:cs="Times New Roman"/>
              <w:lang w:val="en-US" w:eastAsia="zh-CN"/>
            </w:rPr>
            <w:t xml:space="preserve">7.0 </w:t>
          </w:r>
          <w:r>
            <w:rPr>
              <w:rFonts w:hint="eastAsia" w:ascii="宋体" w:eastAsia="宋体" w:cs="Times New Roman"/>
              <w:highlight w:val="none"/>
              <w:lang w:val="en-US" w:eastAsia="zh-CN"/>
            </w:rPr>
            <w:t>奖惩措施</w:t>
          </w:r>
          <w:r>
            <w:tab/>
          </w:r>
          <w:r>
            <w:fldChar w:fldCharType="begin"/>
          </w:r>
          <w:r>
            <w:instrText xml:space="preserve"> PAGEREF _Toc14556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40"/>
            </w:rPr>
            <w:fldChar w:fldCharType="end"/>
          </w:r>
        </w:p>
        <w:p w14:paraId="77F40363">
          <w:pPr>
            <w:pStyle w:val="4"/>
            <w:tabs>
              <w:tab w:val="right" w:leader="dot" w:pos="8306"/>
            </w:tabs>
          </w:pPr>
          <w:r>
            <w:rPr>
              <w:szCs w:val="40"/>
            </w:rPr>
            <w:fldChar w:fldCharType="begin"/>
          </w:r>
          <w:r>
            <w:rPr>
              <w:szCs w:val="40"/>
            </w:rPr>
            <w:instrText xml:space="preserve"> HYPERLINK \l _Toc19678 </w:instrText>
          </w:r>
          <w:r>
            <w:rPr>
              <w:szCs w:val="40"/>
            </w:rPr>
            <w:fldChar w:fldCharType="separate"/>
          </w:r>
          <w:r>
            <w:rPr>
              <w:rFonts w:hint="eastAsia" w:ascii="仿宋" w:hAnsi="仿宋" w:eastAsia="仿宋" w:cs="仿宋"/>
              <w:lang w:eastAsia="zh-CN"/>
            </w:rPr>
            <w:t xml:space="preserve">8.0 </w:t>
          </w:r>
          <w:r>
            <w:rPr>
              <w:rFonts w:hint="eastAsia" w:ascii="宋体"/>
              <w:highlight w:val="none"/>
              <w:lang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_Toc19678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40"/>
            </w:rPr>
            <w:fldChar w:fldCharType="end"/>
          </w:r>
        </w:p>
        <w:p w14:paraId="5D18DBEB">
          <w:pPr>
            <w:rPr>
              <w:rFonts w:ascii="Calibri" w:hAnsi="Calibri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szCs w:val="40"/>
            </w:rPr>
            <w:fldChar w:fldCharType="end"/>
          </w:r>
        </w:p>
      </w:sdtContent>
    </w:sdt>
    <w:p w14:paraId="6723568A">
      <w:pP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  <w:br w:type="page"/>
      </w:r>
    </w:p>
    <w:p w14:paraId="72C84636">
      <w:pPr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BCE80E9">
      <w:pPr>
        <w:numPr>
          <w:ilvl w:val="0"/>
          <w:numId w:val="1"/>
        </w:numPr>
        <w:tabs>
          <w:tab w:val="left" w:pos="838"/>
          <w:tab w:val="clear" w:pos="660"/>
        </w:tabs>
        <w:spacing w:after="120" w:line="360" w:lineRule="auto"/>
        <w:ind w:left="838" w:right="153" w:hanging="749"/>
        <w:outlineLvl w:val="0"/>
        <w:rPr>
          <w:rFonts w:ascii="宋体"/>
          <w:b/>
          <w:color w:val="auto"/>
          <w:sz w:val="24"/>
          <w:highlight w:val="none"/>
        </w:rPr>
      </w:pPr>
      <w:bookmarkStart w:id="1" w:name="_Toc13366"/>
      <w:bookmarkStart w:id="2" w:name="_Toc17910"/>
      <w:bookmarkStart w:id="3" w:name="_Toc19552"/>
      <w:bookmarkStart w:id="4" w:name="_Toc31790"/>
      <w:bookmarkStart w:id="5" w:name="_Toc25472"/>
      <w:r>
        <w:rPr>
          <w:rFonts w:hint="eastAsia" w:ascii="宋体"/>
          <w:b/>
          <w:color w:val="auto"/>
          <w:sz w:val="24"/>
          <w:highlight w:val="none"/>
        </w:rPr>
        <w:t>目的</w:t>
      </w:r>
      <w:bookmarkEnd w:id="1"/>
      <w:bookmarkEnd w:id="2"/>
      <w:bookmarkEnd w:id="3"/>
      <w:bookmarkEnd w:id="4"/>
      <w:bookmarkEnd w:id="5"/>
    </w:p>
    <w:p w14:paraId="6EB9B62F">
      <w:pPr>
        <w:spacing w:line="360" w:lineRule="auto"/>
        <w:ind w:firstLine="480" w:firstLineChars="200"/>
        <w:rPr>
          <w:rFonts w:ascii="仿宋" w:hAnsi="仿宋" w:eastAsia="仿宋" w:cs="仿宋"/>
          <w:color w:val="auto"/>
          <w:sz w:val="24"/>
          <w:highlight w:val="none"/>
          <w:lang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  <w:t>为进一步落实全员岗位安全生产责任制，推动安全生产“党政同责、一岗双责”以及“三管三必须”等要求落地，</w:t>
      </w: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有效解决</w:t>
      </w:r>
      <w:r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  <w:t>环卫作业区域广、人员分散、责任稀释等痛点，通过网格化精准管理消除安全管理 “模糊地带”与“责任真空”，有效预防和减少环卫作业中的人员伤亡、设备损坏、环境污染等安全事件，提升环卫行业安全生产管理水平，结合环卫作业现场实际（如道路清扫、垃圾清运、</w:t>
      </w: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转运站</w:t>
      </w:r>
      <w:r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  <w:t>运维等），制定本</w:t>
      </w: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制度</w:t>
      </w:r>
      <w:r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  <w:t>。</w:t>
      </w:r>
    </w:p>
    <w:p w14:paraId="5C3442E8">
      <w:pPr>
        <w:numPr>
          <w:ilvl w:val="0"/>
          <w:numId w:val="1"/>
        </w:numPr>
        <w:tabs>
          <w:tab w:val="left" w:pos="838"/>
          <w:tab w:val="clear" w:pos="660"/>
        </w:tabs>
        <w:spacing w:after="120" w:line="360" w:lineRule="auto"/>
        <w:ind w:left="1153" w:right="153" w:hanging="1064"/>
        <w:outlineLvl w:val="0"/>
        <w:rPr>
          <w:rFonts w:ascii="宋体"/>
          <w:b/>
          <w:color w:val="auto"/>
          <w:sz w:val="24"/>
          <w:highlight w:val="none"/>
        </w:rPr>
      </w:pPr>
      <w:bookmarkStart w:id="6" w:name="_Toc28936"/>
      <w:bookmarkStart w:id="7" w:name="_Toc21861"/>
      <w:bookmarkStart w:id="8" w:name="_Toc20861"/>
      <w:bookmarkStart w:id="9" w:name="_Toc19106"/>
      <w:bookmarkStart w:id="10" w:name="_Toc24119"/>
      <w:r>
        <w:rPr>
          <w:rFonts w:hint="eastAsia" w:ascii="宋体"/>
          <w:b/>
          <w:color w:val="auto"/>
          <w:sz w:val="24"/>
          <w:highlight w:val="none"/>
        </w:rPr>
        <w:t>适用范围</w:t>
      </w:r>
      <w:bookmarkEnd w:id="6"/>
      <w:bookmarkEnd w:id="7"/>
      <w:bookmarkEnd w:id="8"/>
      <w:bookmarkEnd w:id="9"/>
      <w:bookmarkEnd w:id="10"/>
    </w:p>
    <w:p w14:paraId="08A48E46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  <w:t>本制度适用于宁津北控城市环境服务有限公司</w:t>
      </w: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所辖各项目公司，涵盖道路清扫保洁、垃圾收集清运、垃圾中转站管理、环卫设施运维等所有环卫作业场景</w:t>
      </w:r>
      <w:r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  <w:t>。</w:t>
      </w:r>
    </w:p>
    <w:p w14:paraId="07B9CB41">
      <w:pPr>
        <w:numPr>
          <w:ilvl w:val="0"/>
          <w:numId w:val="1"/>
        </w:numPr>
        <w:tabs>
          <w:tab w:val="left" w:pos="838"/>
          <w:tab w:val="clear" w:pos="660"/>
        </w:tabs>
        <w:spacing w:after="120" w:line="360" w:lineRule="auto"/>
        <w:ind w:left="1153" w:right="153" w:hanging="1064"/>
        <w:outlineLvl w:val="0"/>
        <w:rPr>
          <w:rFonts w:hint="eastAsia" w:ascii="宋体"/>
          <w:b/>
          <w:color w:val="auto"/>
          <w:sz w:val="24"/>
          <w:highlight w:val="none"/>
        </w:rPr>
      </w:pPr>
      <w:bookmarkStart w:id="11" w:name="_Toc3110"/>
      <w:r>
        <w:rPr>
          <w:rFonts w:hint="eastAsia" w:ascii="宋体"/>
          <w:b/>
          <w:color w:val="auto"/>
          <w:sz w:val="24"/>
          <w:highlight w:val="none"/>
        </w:rPr>
        <w:t>术语与定义</w:t>
      </w:r>
      <w:bookmarkEnd w:id="11"/>
    </w:p>
    <w:p w14:paraId="3876D6F8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环卫安全生产网格化管理：将环卫作业区域按自然地理、作业量等原则划分为层级清晰的“小单元”（网格），明确各级网格长及职责，通过精细化管理、责任传导和闭环机制实现环卫作业全流程安全管控的管理模式。</w:t>
      </w:r>
    </w:p>
    <w:p w14:paraId="3B4336B7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网格长：指承担对应环卫网格安全生产管理职责的各级负责人，包括总网格长、一级网格长、二级网格长、三级网格长。</w:t>
      </w:r>
    </w:p>
    <w:p w14:paraId="07A35EC2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环卫安全事件：指在环卫作业过程中发生的，造成人员伤亡、经济损失、环境污染或影响作业秩序的事件，如作业人员交通事故、垃圾清运车故障、公厕设施伤人、渗沥液泄漏等，按严重程度分为一级、二级、三级、四级事故。</w:t>
      </w:r>
    </w:p>
    <w:p w14:paraId="5A27B996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环卫安全隐患：指环卫作业中存在的可能导致事故发生的物的危险状态（如清扫车刹车故障）、人的不安全行为（如作业人员未穿反光服）和管理上的缺陷（如未开展班前安全培训），分为重大隐患、一般隐患。</w:t>
      </w:r>
    </w:p>
    <w:p w14:paraId="53E891CF">
      <w:pPr>
        <w:numPr>
          <w:ilvl w:val="0"/>
          <w:numId w:val="1"/>
        </w:numPr>
        <w:tabs>
          <w:tab w:val="left" w:pos="838"/>
          <w:tab w:val="clear" w:pos="660"/>
        </w:tabs>
        <w:spacing w:after="120" w:line="360" w:lineRule="auto"/>
        <w:ind w:left="1153" w:right="153" w:hanging="1064"/>
        <w:outlineLvl w:val="0"/>
        <w:rPr>
          <w:rFonts w:hint="eastAsia" w:ascii="宋体"/>
          <w:b/>
          <w:color w:val="auto"/>
          <w:sz w:val="24"/>
          <w:highlight w:val="none"/>
          <w:lang w:val="en-US" w:eastAsia="zh-CN"/>
        </w:rPr>
      </w:pPr>
      <w:bookmarkStart w:id="12" w:name="_Toc26922"/>
      <w:r>
        <w:rPr>
          <w:rFonts w:hint="eastAsia" w:ascii="宋体"/>
          <w:b/>
          <w:color w:val="auto"/>
          <w:sz w:val="24"/>
          <w:highlight w:val="none"/>
        </w:rPr>
        <w:t>人员职责</w:t>
      </w:r>
      <w:bookmarkEnd w:id="12"/>
    </w:p>
    <w:p w14:paraId="6B26FE1A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项目公司作为网格化管理责任主体，健全全员安全生产责任制，明确各级网格长。</w:t>
      </w:r>
    </w:p>
    <w:p w14:paraId="33668348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执行“作业时段盯班制”，确保重点作业区域（如镇驻地、垃圾中转站等）满足“作业中心经理每日检查，管理人员盯班”要求，配合上级单位及政府主管部门（如城管、应急管理局）的安全检查与隐患排查治理工作。</w:t>
      </w:r>
    </w:p>
    <w:p w14:paraId="4202667F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落实环卫隐患整改闭环管理，建立隐患登记台账，按要求上报隐患排查及整改进展情况，保障作业人员劳保用品（反光服、安全帽等）配备与使用。</w:t>
      </w:r>
    </w:p>
    <w:p w14:paraId="0F6EE13B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 各级网格长职责</w:t>
      </w:r>
    </w:p>
    <w:p w14:paraId="6769F975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4.3.1 总网格长（项目公司总经理）</w:t>
      </w:r>
    </w:p>
    <w:p w14:paraId="2C88FB85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全面负责所辖区域环卫作业全过程的安全生产工作，是本项目安全生产第一责任人。</w:t>
      </w:r>
    </w:p>
    <w:p w14:paraId="70B24597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4.3.1.1 统筹资源保障：将安全投入纳入年度预算，确保安全培训、设备维保、劳保用品、应急物资等资源到位。</w:t>
      </w:r>
    </w:p>
    <w:p w14:paraId="7B5AD106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4.3.1.2 组织体系建设：牵头制定并持续优化各级网格长安全管理细则、考核标准及应急预案。</w:t>
      </w:r>
    </w:p>
    <w:p w14:paraId="7926D495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4.3.1.3 带队督导检查：每月至少开展1次覆盖全域的安全督查，重点聚焦镇驻地清扫、垃圾中转站、人员集中作业等高风险环节。</w:t>
      </w:r>
    </w:p>
    <w:p w14:paraId="4EBDB701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4.3.1.4 协调重大问题：及时协调解决跨区域、跨部门的重大安全隐患或资源配置难题（如大型设备维修、极端天气应急调度）。</w:t>
      </w:r>
    </w:p>
    <w:p w14:paraId="56CFC944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4.3.1.5 监督履职情况：每月对一级网格长履职情况进行检查与评价，推动责任层层压实。</w:t>
      </w:r>
    </w:p>
    <w:p w14:paraId="0CEB3644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4.3.2 一级网格长（分管领导/部门经理）</w:t>
      </w:r>
    </w:p>
    <w:p w14:paraId="4A8567CE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4.3.2.1 承接分解目标：将集团及公司级安全目标（如“季度零事故”“隐患整改率100%”）细化至各二级网格，并签订责任书。</w:t>
      </w:r>
    </w:p>
    <w:p w14:paraId="581D5617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4.3.2.2 制度与培训建设：参与制定网格安全管理制度；每月组织不少于1次专项安全培训（如交通安全、机械操作、中暑急救）及应急演练。</w:t>
      </w:r>
    </w:p>
    <w:p w14:paraId="40328384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4.3.2.3 过程督导管理：每月至少开展2次现场安全督查，重点覆盖镇驻地清扫、垃圾中转站、人员密集作业区等高风险环节；</w:t>
      </w:r>
    </w:p>
    <w:p w14:paraId="443393BE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4.3.2.4 信息上传下达：准确传导上级安全指令，监督指导二级网格日常工作，定期提交安全管理分析报告。</w:t>
      </w:r>
    </w:p>
    <w:p w14:paraId="56D5753A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4.3.2.5 闭环整改推动：督促隐患整改闭环，落实“五定”原则（定措施、定责任人、定资金、定时限、定预案）。</w:t>
      </w:r>
    </w:p>
    <w:p w14:paraId="3BEA07F2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4.3.2.6 履职监督考核：每月检查二级网格长履职情况，纳入绩效考核。</w:t>
      </w:r>
    </w:p>
    <w:p w14:paraId="308FE4B8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 二级网格长（片区负责人）</w:t>
      </w:r>
    </w:p>
    <w:p w14:paraId="3FED77A0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4.3.3.1 日常执行落地：</w:t>
      </w:r>
    </w:p>
    <w:p w14:paraId="43FA93C5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4.3.2.1.1 每日对辖区内垃圾转运站开展安全巡查，规范填写《转运站安全巡查台账》；</w:t>
      </w:r>
    </w:p>
    <w:p w14:paraId="68D9B3EF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4.3.2.1.1 每日抽查不少于30%的作业点位（含人工作业路段、清运路线等）。</w:t>
      </w:r>
    </w:p>
    <w:p w14:paraId="33EBF899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4.3.3.2 班组管理监督：</w:t>
      </w:r>
    </w:p>
    <w:p w14:paraId="7BAEEEA1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4.3.3.2.1 制定三级网格具体检查频次与标准（如“每日巡查5个村”）；</w:t>
      </w:r>
    </w:p>
    <w:p w14:paraId="7E3EA651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4.3.3.2.1 监督三级网格长落实班前10分钟安全提示、劳保用品穿戴检查等要求。</w:t>
      </w:r>
    </w:p>
    <w:p w14:paraId="7BE81A46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4.3.3.3 隐患闭环管理：</w:t>
      </w:r>
    </w:p>
    <w:p w14:paraId="29C8F19E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4.3.3.3.1 收集、审核三级网格（含车辆驾驶员）上报的安全检查记录（如“车辆三检表”）；</w:t>
      </w:r>
    </w:p>
    <w:p w14:paraId="3E722AAF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4.3.3.3.2 对一般隐患立查立改，较大隐患立即上报一级网格长，并采取临时管控措施；</w:t>
      </w:r>
    </w:p>
    <w:p w14:paraId="44272F8B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4.3.3.3.3 按期完成整改任务并向一级网格长汇报。</w:t>
      </w:r>
    </w:p>
    <w:p w14:paraId="334E87BA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4.3.3.4 协调处置问题：及时处理片区内小型安全问题（如人员临时调班、小型设备故障）。</w:t>
      </w:r>
    </w:p>
    <w:p w14:paraId="57B3FF79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4.3.3.5 教育培训组织：汇总班组安全培训签到表、影像资料，统一上报一级网格长。</w:t>
      </w:r>
    </w:p>
    <w:p w14:paraId="50363F8F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4.3.3.6 应急响应保障：确保通讯畅通，接到求助15分钟内响应，30分钟内到达现场。</w:t>
      </w:r>
    </w:p>
    <w:p w14:paraId="3B37A800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4.3.4 三级网格长（班组组长/路段负责人）</w:t>
      </w:r>
    </w:p>
    <w:p w14:paraId="2844300E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4.3.4.1 班前风险防控：</w:t>
      </w:r>
    </w:p>
    <w:p w14:paraId="696D5E46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4.3.4.1.1 每日作业前组织不少于10分钟班前安全会，明确当日风险（如雨天路滑、车流高峰、坑塘临水）；</w:t>
      </w:r>
    </w:p>
    <w:p w14:paraId="161B1DC9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4.3.4.1.2 逐一检查作业人员反光服、安全帽、手套等劳保用品佩戴情况。</w:t>
      </w:r>
    </w:p>
    <w:p w14:paraId="3EC8B449">
      <w:pPr>
        <w:spacing w:line="360" w:lineRule="auto"/>
        <w:ind w:firstLine="480" w:firstLineChars="200"/>
        <w:rPr>
          <w:rFonts w:hint="default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4.3.4.2 作业过程巡查：每日巡查5个村。</w:t>
      </w:r>
    </w:p>
    <w:p w14:paraId="22C52234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4.3.4.3 “三违”行为制止：现场纠正作业人员不安全行为（如横穿马路、违规操作设备），并记录反馈至“三违工作群”。</w:t>
      </w:r>
    </w:p>
    <w:p w14:paraId="2A799432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4.3.4.4 信息桥梁作用：</w:t>
      </w:r>
    </w:p>
    <w:p w14:paraId="5C726D8C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4.3.4.4.1 向上反馈一线安全建议（如“增加反光条亮度”）；</w:t>
      </w:r>
    </w:p>
    <w:p w14:paraId="43DC1799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4.3.4.4.2 向下传达上级指令（如“台风天暂停户外作业”）。</w:t>
      </w:r>
    </w:p>
    <w:p w14:paraId="05BC13D8">
      <w:pPr>
        <w:spacing w:line="360" w:lineRule="auto"/>
        <w:ind w:firstLine="480" w:firstLineChars="200"/>
        <w:rPr>
          <w:rFonts w:hint="eastAsia" w:ascii="宋体"/>
          <w:b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4.3.4.5 应急初期处置：在发生轻微事故或突发状况时，第一时间组织自救互救并报告。</w:t>
      </w:r>
    </w:p>
    <w:p w14:paraId="5E503A7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838"/>
          <w:tab w:val="clear" w:pos="660"/>
        </w:tabs>
        <w:spacing w:after="120" w:line="360" w:lineRule="auto"/>
        <w:ind w:left="1153" w:right="153" w:hanging="1064"/>
        <w:jc w:val="left"/>
        <w:outlineLvl w:val="0"/>
        <w:rPr>
          <w:rFonts w:hint="eastAsia" w:ascii="宋体"/>
          <w:b/>
          <w:color w:val="auto"/>
          <w:sz w:val="24"/>
          <w:highlight w:val="none"/>
        </w:rPr>
      </w:pPr>
      <w:bookmarkStart w:id="13" w:name="_Toc10811"/>
      <w:r>
        <w:rPr>
          <w:rFonts w:hint="eastAsia" w:ascii="宋体" w:hAnsiTheme="minorHAnsi" w:eastAsiaTheme="minorHAnsi" w:cstheme="minorBidi"/>
          <w:b/>
          <w:bCs w:val="0"/>
          <w:color w:val="auto"/>
          <w:kern w:val="0"/>
          <w:sz w:val="24"/>
          <w:szCs w:val="22"/>
          <w:highlight w:val="none"/>
          <w:lang w:val="en-US" w:eastAsia="zh-CN" w:bidi="ar"/>
        </w:rPr>
        <w:t>网格划分</w:t>
      </w:r>
      <w:bookmarkEnd w:id="13"/>
      <w:r>
        <w:rPr>
          <w:rFonts w:hint="eastAsia" w:ascii="宋体" w:hAnsiTheme="minorHAnsi" w:eastAsiaTheme="minorHAnsi" w:cstheme="minorBidi"/>
          <w:b/>
          <w:bCs w:val="0"/>
          <w:color w:val="auto"/>
          <w:kern w:val="0"/>
          <w:sz w:val="24"/>
          <w:szCs w:val="22"/>
          <w:highlight w:val="none"/>
          <w:lang w:val="en-US" w:eastAsia="zh-CN" w:bidi="ar"/>
        </w:rPr>
        <w:t xml:space="preserve"> </w:t>
      </w:r>
    </w:p>
    <w:p w14:paraId="68F72B78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5.1划分原则：</w:t>
      </w:r>
    </w:p>
    <w:p w14:paraId="51A257A3">
      <w:pPr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按照乡镇作业中心进行划分，共分为12个乡镇作业中心，每个作业中心负责本乡镇的人工作业、机械作业及转运站。</w:t>
      </w:r>
    </w:p>
    <w:p w14:paraId="61F815F7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5.2层级结构：</w:t>
      </w:r>
    </w:p>
    <w:p w14:paraId="59CDF4F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5.2.1 总网格长：项目总经理</w:t>
      </w:r>
    </w:p>
    <w:p w14:paraId="7051EB8E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5.2.2 一级网格长：公司各部门负责人</w:t>
      </w:r>
    </w:p>
    <w:p w14:paraId="37202A94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5.2.3 二级网格长：乡镇作业中心经理</w:t>
      </w:r>
    </w:p>
    <w:p w14:paraId="5D98A8EA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5.2.4 三级网格长：班组长</w:t>
      </w:r>
    </w:p>
    <w:p w14:paraId="4B36892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838"/>
          <w:tab w:val="clear" w:pos="660"/>
        </w:tabs>
        <w:spacing w:after="120" w:line="360" w:lineRule="auto"/>
        <w:ind w:left="1153" w:right="153" w:hanging="1064"/>
        <w:jc w:val="left"/>
        <w:outlineLvl w:val="0"/>
        <w:rPr>
          <w:rFonts w:hint="eastAsia" w:ascii="宋体" w:hAnsiTheme="minorHAnsi" w:eastAsiaTheme="minorHAnsi" w:cstheme="minorBidi"/>
          <w:b/>
          <w:bCs w:val="0"/>
          <w:color w:val="auto"/>
          <w:kern w:val="0"/>
          <w:sz w:val="24"/>
          <w:szCs w:val="22"/>
          <w:highlight w:val="none"/>
          <w:lang w:val="en-US" w:eastAsia="zh-CN" w:bidi="ar"/>
        </w:rPr>
      </w:pPr>
      <w:bookmarkStart w:id="14" w:name="_Toc2783"/>
      <w:r>
        <w:rPr>
          <w:rFonts w:hint="eastAsia" w:ascii="宋体" w:hAnsiTheme="minorHAnsi" w:eastAsiaTheme="minorHAnsi" w:cstheme="minorBidi"/>
          <w:b/>
          <w:bCs w:val="0"/>
          <w:color w:val="auto"/>
          <w:kern w:val="0"/>
          <w:sz w:val="24"/>
          <w:szCs w:val="22"/>
          <w:highlight w:val="none"/>
          <w:lang w:val="en-US" w:eastAsia="zh-CN" w:bidi="ar"/>
        </w:rPr>
        <w:t>网格化管理实施</w:t>
      </w:r>
      <w:bookmarkEnd w:id="14"/>
    </w:p>
    <w:p w14:paraId="39FBF3C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6.1 日常管理要求</w:t>
      </w:r>
    </w:p>
    <w:p w14:paraId="2FF99812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各单位按方案配备网格相关人员（如每三个二级网格长由 1 名公司管理人员协助），人员更换后需在 3 个工作日内重新备案。</w:t>
      </w:r>
    </w:p>
    <w:p w14:paraId="64FEB36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带班领导需保持 24 小时通讯畅通，15 分钟内未响应作业求助视为未在岗；管理人员、安全员需在作业时段内在岗，1小时内未到达隐患现场视为未在岗。</w:t>
      </w:r>
    </w:p>
    <w:p w14:paraId="319EEB0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6.2 隐患排查治理</w:t>
      </w:r>
    </w:p>
    <w:p w14:paraId="027B698F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隐患排查实行 “发现 - 评估 - 报告 - 治理（控制）- 验收” 闭环流程，填写五定表，实行 “双责任人” 制度（明确整改人 + 监督人），如清运车刹车故障由生产运营部维修专员整改、安环员监督。</w:t>
      </w:r>
    </w:p>
    <w:p w14:paraId="24BF5445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对检查发现的隐患，现场可解决的（如公厕纸巾盒脱落、清扫工具损坏）立即整改；难以立即整改的（如中转站渗滤液处理设备故障），下达《环卫事故隐患整改通知单》，明确整改措施（联系第三方维修）、责任人（中转站主管）、资金（从设备维修基金列支）、时限（3 个工作日）和临时处置措施（暂停渗滤液排放）。</w:t>
      </w:r>
    </w:p>
    <w:p w14:paraId="1095C58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推行 PDCA 循环管理：每季度梳理高频隐患（如 “雨季作业人员滑倒”“清运车转向灯故障”），针对性优化管理措施（如增设防滑垫、增加车辆灯光检查频次），形成 “排查 - 整改 - 复盘 - 优化” 的管理闭环。</w:t>
      </w:r>
    </w:p>
    <w:p w14:paraId="62CC03D0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6.3 检查形式与频次</w:t>
      </w:r>
    </w:p>
    <w:p w14:paraId="0DC656AF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综合性检查：项目公司每月开展 1 次综合性检查，重点覆盖</w:t>
      </w: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镇驻地清扫、垃圾中转站、人员集中作业</w:t>
      </w: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等高危环节。</w:t>
      </w:r>
    </w:p>
    <w:p w14:paraId="68CA8E0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日常性检查：三级网格长每日开展作业前、作业中、作业后 3 次检查；二级网格长每日抽查 30% 的作业点位；一级网格长每月开展 2 次检查。</w:t>
      </w:r>
    </w:p>
    <w:p w14:paraId="44BBB7EC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专项检查：包括季节性检查（春季防柳絮火灾、夏季防暑、秋季防落叶堆积、冬季防冰雪滑倒）、节假日前后检查（春节前垃圾清运高峰）及专业性检查（垃圾清运车年检、中转站消防设施检查）。</w:t>
      </w:r>
    </w:p>
    <w:p w14:paraId="4A0E1090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不定期检查：新设备试运行前、作业区域调整（如新增商业街清扫）后、上级临时要求（如创建文明城市期间）时开展；发生法律法规修订（如《环卫作业安全规程》更新）、组织机构调整（如片区合并）、同行业事故（如其他公司环卫工交通事故）时，24 小时内组织针对性检查。</w:t>
      </w:r>
    </w:p>
    <w:p w14:paraId="73E4C541">
      <w:pPr>
        <w:numPr>
          <w:ilvl w:val="0"/>
          <w:numId w:val="1"/>
        </w:numPr>
        <w:tabs>
          <w:tab w:val="left" w:pos="838"/>
          <w:tab w:val="clear" w:pos="660"/>
        </w:tabs>
        <w:spacing w:after="120" w:line="360" w:lineRule="auto"/>
        <w:ind w:left="1153" w:right="153" w:hanging="1064"/>
        <w:outlineLvl w:val="0"/>
        <w:rPr>
          <w:rFonts w:hint="default" w:ascii="宋体" w:eastAsia="宋体" w:cs="Times New Roman"/>
          <w:b/>
          <w:color w:val="auto"/>
          <w:sz w:val="24"/>
          <w:highlight w:val="none"/>
          <w:lang w:val="en-US" w:eastAsia="zh-CN"/>
        </w:rPr>
      </w:pPr>
      <w:bookmarkStart w:id="15" w:name="_Toc14556"/>
      <w:r>
        <w:rPr>
          <w:rFonts w:hint="eastAsia" w:ascii="宋体" w:eastAsia="宋体" w:cs="Times New Roman"/>
          <w:b/>
          <w:color w:val="auto"/>
          <w:sz w:val="24"/>
          <w:highlight w:val="none"/>
          <w:lang w:val="en-US" w:eastAsia="zh-CN"/>
        </w:rPr>
        <w:t>奖惩措施</w:t>
      </w:r>
      <w:bookmarkEnd w:id="15"/>
    </w:p>
    <w:p w14:paraId="4182BBA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公司每月对二、三级网格长进行考核，具体见附件2、附件3</w:t>
      </w:r>
    </w:p>
    <w:p w14:paraId="610E8D2E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 处罚措施</w:t>
      </w:r>
    </w:p>
    <w:p w14:paraId="523EDC0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7.1.1 更换三级网格长情形</w:t>
      </w:r>
    </w:p>
    <w:p w14:paraId="06117822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7.1.1.1 一个年度内负责网格发生二级或三级责任生产安全事件；发生两起四级责任生产安全事件。</w:t>
      </w:r>
    </w:p>
    <w:p w14:paraId="60A273CF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7.1.1.2 一个季度内因安全问题被行政主管部门（城管、应急管理局）通报批评 2 次（含）以上，或被市民投诉安全问题（如作业扰民、设施伤人）3 次（含）以上。</w:t>
      </w:r>
    </w:p>
    <w:p w14:paraId="5AEFF79C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7.1.1.3 一个季度内 “作业时段盯班制” 落实不到位被检查处理 2 次（含）以上，或隐患整改率低于 80%。</w:t>
      </w:r>
    </w:p>
    <w:p w14:paraId="1C6137AE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7.1.1.4 一个季度内上级排查中累计出现 5 条以上一般隐患（如作业人员未穿反光服）。</w:t>
      </w:r>
    </w:p>
    <w:p w14:paraId="25F132B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7.1.2 更换二级网格长情形</w:t>
      </w:r>
    </w:p>
    <w:p w14:paraId="5C3EC411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7.1.2.1 负责网格发生二级主责及以上安全事件；发生二级或三级责任生产安全事件。</w:t>
      </w:r>
    </w:p>
    <w:p w14:paraId="526137B9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7.1.2.2 首次出现更换三级网格长，降职降薪。半年内连续 2 次出现撤换三级网格长情况，或网格内隐患逾期未整改 3 次（含）以上。</w:t>
      </w:r>
    </w:p>
    <w:p w14:paraId="25C2D110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7.1.3 更换一级网格长情形</w:t>
      </w:r>
    </w:p>
    <w:p w14:paraId="6DC7B469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7.1.3.1 首次出现更换二级网格长，降职降薪。</w:t>
      </w:r>
    </w:p>
    <w:p w14:paraId="337CA679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7.1.3.2 负责网格一年内连续发生两起二级主责以上安全事件，经调查认定为责任事故（如因未开展安全培训导致作业人员违规操作）。</w:t>
      </w:r>
    </w:p>
    <w:p w14:paraId="22E563FF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7.1.3.3 半年内连续 2 次出现撤换二级网格长情况，或网格内发生 2 起及以上同一类型主责及以上安全事件（如连续发生 2 起清运车交通事故）。</w:t>
      </w:r>
    </w:p>
    <w:p w14:paraId="1E74229D">
      <w:pPr>
        <w:numPr>
          <w:ilvl w:val="0"/>
          <w:numId w:val="1"/>
        </w:numPr>
        <w:tabs>
          <w:tab w:val="left" w:pos="838"/>
          <w:tab w:val="clear" w:pos="660"/>
        </w:tabs>
        <w:spacing w:after="120" w:line="360" w:lineRule="auto"/>
        <w:ind w:left="1153" w:right="153" w:hanging="1064"/>
        <w:outlineLvl w:val="0"/>
        <w:rPr>
          <w:rFonts w:ascii="仿宋" w:hAnsi="仿宋" w:eastAsia="仿宋" w:cs="仿宋"/>
          <w:color w:val="auto"/>
          <w:sz w:val="24"/>
          <w:highlight w:val="none"/>
          <w:lang w:eastAsia="zh-CN"/>
        </w:rPr>
      </w:pPr>
      <w:bookmarkStart w:id="16" w:name="_Toc16550"/>
      <w:bookmarkStart w:id="17" w:name="_Toc19678"/>
      <w:bookmarkStart w:id="18" w:name="_Toc31306"/>
      <w:bookmarkStart w:id="19" w:name="_Toc6743"/>
      <w:bookmarkStart w:id="20" w:name="_Toc26587"/>
      <w:r>
        <w:rPr>
          <w:rFonts w:hint="eastAsia" w:ascii="宋体"/>
          <w:b/>
          <w:color w:val="auto"/>
          <w:sz w:val="24"/>
          <w:highlight w:val="none"/>
          <w:lang w:eastAsia="zh-CN"/>
        </w:rPr>
        <w:t>附则</w:t>
      </w:r>
      <w:bookmarkEnd w:id="16"/>
      <w:bookmarkEnd w:id="17"/>
      <w:bookmarkEnd w:id="18"/>
      <w:bookmarkEnd w:id="19"/>
      <w:bookmarkEnd w:id="20"/>
    </w:p>
    <w:p w14:paraId="10088ED5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8.1本规定最终解释权归安环品质部所有，未尽事宜以安环品质部指导为准。</w:t>
      </w:r>
    </w:p>
    <w:p w14:paraId="38E99B0E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0"/>
          <w:sz w:val="24"/>
          <w:szCs w:val="22"/>
          <w:highlight w:val="none"/>
          <w:lang w:val="en-US" w:eastAsia="zh-CN" w:bidi="ar"/>
        </w:rPr>
        <w:t>8.2本制度自批准之日起实施。</w:t>
      </w:r>
    </w:p>
    <w:p w14:paraId="0AD74ADC">
      <w:pPr>
        <w:spacing w:line="360" w:lineRule="auto"/>
        <w:ind w:firstLine="420"/>
        <w:rPr>
          <w:rFonts w:ascii="仿宋" w:hAnsi="仿宋" w:eastAsia="仿宋" w:cs="仿宋"/>
          <w:color w:val="auto"/>
          <w:sz w:val="24"/>
          <w:highlight w:val="none"/>
          <w:lang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  <w:t>附件1：《安全生产网格化管理清单》</w:t>
      </w:r>
    </w:p>
    <w:p w14:paraId="27DDA061">
      <w:pPr>
        <w:spacing w:line="360" w:lineRule="auto"/>
        <w:ind w:firstLine="420"/>
        <w:rPr>
          <w:rFonts w:ascii="仿宋" w:hAnsi="仿宋" w:eastAsia="仿宋" w:cs="仿宋"/>
          <w:color w:val="auto"/>
          <w:sz w:val="24"/>
          <w:highlight w:val="none"/>
          <w:lang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  <w:t>附件2：《</w:t>
      </w: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二级网格长</w:t>
      </w:r>
      <w:r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  <w:t>月度安全生产管理考核标准（试行）》</w:t>
      </w:r>
    </w:p>
    <w:p w14:paraId="1F969E83">
      <w:pPr>
        <w:spacing w:line="360" w:lineRule="auto"/>
        <w:ind w:firstLine="420"/>
        <w:rPr>
          <w:rFonts w:ascii="仿宋" w:hAnsi="仿宋" w:eastAsia="仿宋" w:cs="仿宋"/>
          <w:color w:val="auto"/>
          <w:sz w:val="24"/>
          <w:highlight w:val="none"/>
          <w:lang w:eastAsia="zh-CN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  <w:t>附件3：《</w:t>
      </w:r>
      <w:r>
        <w:rPr>
          <w:rFonts w:hint="eastAsia" w:ascii="仿宋" w:hAnsi="仿宋" w:eastAsia="仿宋" w:cs="仿宋"/>
          <w:color w:val="auto"/>
          <w:sz w:val="24"/>
          <w:highlight w:val="none"/>
          <w:lang w:val="en-US" w:eastAsia="zh-CN"/>
        </w:rPr>
        <w:t>三级网格长</w:t>
      </w:r>
      <w:r>
        <w:rPr>
          <w:rFonts w:hint="eastAsia" w:ascii="仿宋" w:hAnsi="仿宋" w:eastAsia="仿宋" w:cs="仿宋"/>
          <w:color w:val="auto"/>
          <w:sz w:val="24"/>
          <w:highlight w:val="none"/>
          <w:lang w:eastAsia="zh-CN"/>
        </w:rPr>
        <w:t>月度安全生产管理考核标准》</w:t>
      </w:r>
    </w:p>
    <w:p w14:paraId="5F4E3895"/>
    <w:p w14:paraId="6A3EC8FE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18F5DCC">
      <w:pPr>
        <w:rPr>
          <w:rFonts w:hint="eastAsia" w:ascii="仿宋" w:hAnsi="仿宋" w:eastAsia="仿宋" w:cs="仿宋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eastAsia="zh-CN"/>
        </w:rPr>
        <w:t>附件1：安全生产网格化管理清单</w:t>
      </w:r>
    </w:p>
    <w:tbl>
      <w:tblPr>
        <w:tblW w:w="1413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673"/>
        <w:gridCol w:w="1449"/>
        <w:gridCol w:w="1562"/>
        <w:gridCol w:w="1199"/>
        <w:gridCol w:w="1449"/>
        <w:gridCol w:w="6696"/>
      </w:tblGrid>
      <w:tr w14:paraId="59122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F38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bdr w:val="none" w:color="auto" w:sz="0" w:space="0"/>
                <w:lang w:val="en-US" w:eastAsia="zh-CN" w:bidi="ar"/>
              </w:rPr>
              <w:t>安全生产网格化管理清单</w:t>
            </w:r>
          </w:p>
        </w:tc>
      </w:tr>
      <w:tr w14:paraId="2EF56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F08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F30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总网格长（项目负责人）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7DE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一级网格长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E69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二级网格长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AA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三级网格长</w:t>
            </w:r>
          </w:p>
        </w:tc>
      </w:tr>
      <w:tr w14:paraId="3680B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12CA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DCA77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81F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总助/安环经理/安环主管</w:t>
            </w:r>
          </w:p>
        </w:tc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EB0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片区负责人/电话</w:t>
            </w:r>
          </w:p>
        </w:tc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463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负责片区范围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058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班组负责人/电话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21C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负责片区范围</w:t>
            </w:r>
          </w:p>
        </w:tc>
      </w:tr>
      <w:tr w14:paraId="66B00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C34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宁津项目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EFA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黄殿兴</w:t>
            </w:r>
          </w:p>
        </w:tc>
        <w:tc>
          <w:tcPr>
            <w:tcW w:w="15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C8F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张康15621259666</w:t>
            </w: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77B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王臣祥15863898839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8C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柴胡店镇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118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王建军17076076883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0B42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柴胡店镇四班</w:t>
            </w:r>
          </w:p>
        </w:tc>
      </w:tr>
      <w:tr w14:paraId="38251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C892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A349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475B4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6628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636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409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崔仁勇13256265137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062B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柴胡店镇三班</w:t>
            </w:r>
          </w:p>
        </w:tc>
      </w:tr>
      <w:tr w14:paraId="1F94D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FEB0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B608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1717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51107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9ACD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F8A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鲍明新18253430487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315A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柴胡店镇二班</w:t>
            </w:r>
          </w:p>
        </w:tc>
      </w:tr>
      <w:tr w14:paraId="05393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3DE3F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BCCF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EFC3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77FD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0B8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0A5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李春福13465188688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29BB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柴胡店镇一班</w:t>
            </w:r>
          </w:p>
        </w:tc>
      </w:tr>
      <w:tr w14:paraId="13E26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78CD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804F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4BA2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C810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F47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816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王秀泉13583460099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7E0C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柴胡店镇六班</w:t>
            </w:r>
          </w:p>
        </w:tc>
      </w:tr>
      <w:tr w14:paraId="1926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FDACE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4213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DDEFE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4DCF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54F4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117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盖广勇13475174977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4370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柴胡店镇五班</w:t>
            </w:r>
          </w:p>
        </w:tc>
      </w:tr>
      <w:tr w14:paraId="19192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1F36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1B54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3647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9BA4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F579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943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C1F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刘长印、田爱民、夏华东、杨才云、逯泽德</w:t>
            </w:r>
          </w:p>
        </w:tc>
      </w:tr>
      <w:tr w14:paraId="02D2C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424B4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4B43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60D6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BCB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张卫新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18766044018</w:t>
            </w: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BBC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杜集镇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F39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崔志勇13256265137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A449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937895</wp:posOffset>
                  </wp:positionH>
                  <wp:positionV relativeFrom="paragraph">
                    <wp:posOffset>443230</wp:posOffset>
                  </wp:positionV>
                  <wp:extent cx="2200275" cy="349885"/>
                  <wp:effectExtent l="0" t="0" r="3175" b="0"/>
                  <wp:wrapNone/>
                  <wp:docPr id="3" name="Watermar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atermark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杜集镇八班</w:t>
            </w:r>
          </w:p>
        </w:tc>
      </w:tr>
      <w:tr w14:paraId="43293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EE21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F087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2CA5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5FB5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8F8D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F2C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邢志伟15953781756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7DB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杜集镇十班</w:t>
            </w:r>
          </w:p>
        </w:tc>
      </w:tr>
      <w:tr w14:paraId="0D567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8E6F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B5A9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ACF07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373D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492D1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3BD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陈洪胜15864195872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68AA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杜集镇六七班</w:t>
            </w:r>
          </w:p>
        </w:tc>
      </w:tr>
      <w:tr w14:paraId="35217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BF8AD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B76B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D1D9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FB591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FA4CC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450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王学宁15964055052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BA1E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杜集镇三四班</w:t>
            </w:r>
          </w:p>
        </w:tc>
      </w:tr>
      <w:tr w14:paraId="0190B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45DC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9F87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73E6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024C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9CB5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F58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张玉祯17667311658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219C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杜集镇五班</w:t>
            </w:r>
          </w:p>
        </w:tc>
      </w:tr>
      <w:tr w14:paraId="04A26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A6FB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F0C9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70F6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0135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EDCD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5C8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张福梅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15066520050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C7CA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杜集镇一班</w:t>
            </w:r>
          </w:p>
        </w:tc>
      </w:tr>
      <w:tr w14:paraId="3E012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0BC44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E081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26C70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ADDE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C1E8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988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赵书坤13176141576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0A68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杜集镇九班</w:t>
            </w:r>
          </w:p>
        </w:tc>
      </w:tr>
      <w:tr w14:paraId="6FD95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B795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1971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6E6B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7FBA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18BD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4B6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占先洪18678381291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D4B0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杜集镇二班</w:t>
            </w:r>
          </w:p>
        </w:tc>
      </w:tr>
      <w:tr w14:paraId="48F81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C0C9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B82C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E715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96D9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4041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BA5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4C6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王德军、张炳义、郝殿明、张宝信、孙芳军</w:t>
            </w:r>
          </w:p>
        </w:tc>
      </w:tr>
      <w:tr w14:paraId="3A665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19D31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1582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6968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149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谢俊章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13793467778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18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大柳镇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6A1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傅学武13869240486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DDCF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大柳镇一班</w:t>
            </w:r>
          </w:p>
        </w:tc>
      </w:tr>
      <w:tr w14:paraId="36803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BBD2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5C7E7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26ECD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DF39B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DF0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15A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李新国13355346327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9199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大柳镇三班</w:t>
            </w:r>
          </w:p>
        </w:tc>
      </w:tr>
      <w:tr w14:paraId="2C501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5C648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ABDA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B465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4F8C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219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085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谢洪胜13562494577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DD0A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大柳镇二班</w:t>
            </w:r>
          </w:p>
        </w:tc>
      </w:tr>
      <w:tr w14:paraId="7D684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37FB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DDE8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AAF3B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2262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B49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C866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E6A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李连荣、刘永海、菅国臣、周项乐</w:t>
            </w:r>
          </w:p>
        </w:tc>
      </w:tr>
      <w:tr w14:paraId="7FFE5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43D6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D1068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234C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4C2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张华平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15266970795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D5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长官镇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EAD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张东霞15624326250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F258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长官镇一班</w:t>
            </w:r>
          </w:p>
        </w:tc>
      </w:tr>
      <w:tr w14:paraId="5EBD4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BB4F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560DF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93FA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6C78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28D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DEF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张忠华13869252068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DF06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长官镇四班</w:t>
            </w:r>
          </w:p>
        </w:tc>
      </w:tr>
      <w:tr w14:paraId="44F96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5E22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B470C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0B60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D46A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2D3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6F8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邢金花17861876910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909F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长官镇三班</w:t>
            </w:r>
          </w:p>
        </w:tc>
      </w:tr>
      <w:tr w14:paraId="1AE6C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5744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08AA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6F73A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CC86C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D362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125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苑恩林18763935386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862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长官镇二班</w:t>
            </w:r>
          </w:p>
        </w:tc>
      </w:tr>
      <w:tr w14:paraId="0CEAF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0026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5BF5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D18E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4DB8F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193A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C4E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842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张俊起、张会祥、张建岗、王建旭、张坤</w:t>
            </w:r>
          </w:p>
        </w:tc>
      </w:tr>
      <w:tr w14:paraId="7E2DB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013D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B3095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B1CE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93B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于鑫宁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17615945188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9F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津城街道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26E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王铁民18766044710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95C7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津城街道二班</w:t>
            </w:r>
          </w:p>
        </w:tc>
      </w:tr>
      <w:tr w14:paraId="45D4A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8420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903A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7FDB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771E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CC8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4E3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32C7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津城街道四班</w:t>
            </w:r>
          </w:p>
        </w:tc>
      </w:tr>
      <w:tr w14:paraId="28975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23B7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072C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DCA1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C6CA2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715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D3E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高奎英15153435706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B0E5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津城街道一班</w:t>
            </w:r>
          </w:p>
        </w:tc>
      </w:tr>
      <w:tr w14:paraId="22ABB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101E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B0C04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56A8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C23A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E23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B2E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高新民15153460916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5F03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津城街道三班</w:t>
            </w:r>
          </w:p>
        </w:tc>
      </w:tr>
      <w:tr w14:paraId="3BBC3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B048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4060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5F03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8E8B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95C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F11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76D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关胜辉、杜东明、苏建松、王召新</w:t>
            </w:r>
          </w:p>
        </w:tc>
      </w:tr>
      <w:tr w14:paraId="3E1F5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020F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F6F5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6188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A80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张万恒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13905440679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27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宁城街道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F0A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马金华13774955144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0114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宁城街道一班</w:t>
            </w:r>
          </w:p>
        </w:tc>
      </w:tr>
      <w:tr w14:paraId="2C2BE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B7F4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5616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7807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4D4E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8E9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64F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张万恒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13905440679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0CA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宁城街道二班</w:t>
            </w:r>
          </w:p>
        </w:tc>
      </w:tr>
      <w:tr w14:paraId="38D7B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9B5E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790A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632E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4C72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68F96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08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9B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武志刚、曹鹏、杨占刚</w:t>
            </w:r>
          </w:p>
        </w:tc>
      </w:tr>
      <w:tr w14:paraId="6D7D6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AA6A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4271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0A52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579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张康15621259666</w:t>
            </w:r>
          </w:p>
        </w:tc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AC50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51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B4C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刘希峰、张风超、刘建军、杨安强、刘立军、张阳阳、杨小林</w:t>
            </w:r>
          </w:p>
        </w:tc>
      </w:tr>
      <w:tr w14:paraId="1F01F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BB461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D7F1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0D8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刘金涛13585340822</w:t>
            </w: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EFB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孙建栋13625341555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EB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大曹镇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64C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李怀英18263001899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DF39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大曹镇四班</w:t>
            </w:r>
          </w:p>
        </w:tc>
      </w:tr>
      <w:tr w14:paraId="546A1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C3E1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8981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582D6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1C07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BD8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3C0C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张运志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15165993072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437B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大曹镇二班</w:t>
            </w:r>
          </w:p>
        </w:tc>
      </w:tr>
      <w:tr w14:paraId="0992F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0F0E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83FD9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7878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560F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CF4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076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车书新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16652669296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D800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大曹镇三班</w:t>
            </w:r>
          </w:p>
        </w:tc>
      </w:tr>
      <w:tr w14:paraId="745CC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DAA9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C639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A1BB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5CCF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ECB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245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孙建栋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13625341555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42EB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大曹镇一班</w:t>
            </w:r>
            <w:bookmarkStart w:id="21" w:name="_GoBack"/>
            <w:bookmarkEnd w:id="21"/>
          </w:p>
        </w:tc>
      </w:tr>
      <w:tr w14:paraId="5C2EB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9469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A407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B460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E007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AE1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8AC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C14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赵玉峰、刘广利、赵东平、赵振刚、田振杰</w:t>
            </w:r>
          </w:p>
        </w:tc>
      </w:tr>
      <w:tr w14:paraId="0CB4C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467A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E2C2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B135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5A5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杨清华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13969248533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93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保店镇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384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康景英13220977082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453F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保店镇四班</w:t>
            </w:r>
          </w:p>
        </w:tc>
      </w:tr>
      <w:tr w14:paraId="0636D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7D37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B4B7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CBD81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36FC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4E7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864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林中鹏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13310609349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9BAF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保店镇二班</w:t>
            </w:r>
          </w:p>
        </w:tc>
      </w:tr>
      <w:tr w14:paraId="60711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E209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7B5F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0A91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1562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B0C8E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365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翟中坡13573479696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343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保店镇三班</w:t>
            </w:r>
          </w:p>
        </w:tc>
      </w:tr>
      <w:tr w14:paraId="3CF17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7D2E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C813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3C35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5306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819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93D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回伦山15066593809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8E37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保店镇一班</w:t>
            </w:r>
          </w:p>
        </w:tc>
      </w:tr>
      <w:tr w14:paraId="012B1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395B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2796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9B72B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1895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8670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FFE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DD5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刘连强、吕景来、陈辉、陈辉</w:t>
            </w:r>
          </w:p>
        </w:tc>
      </w:tr>
      <w:tr w14:paraId="5F8C7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0844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27A0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F7E5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C4D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李振恒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13969221808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36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相衙镇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BD9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陈庆祥15965206492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E2D8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相衙镇一班</w:t>
            </w:r>
          </w:p>
        </w:tc>
      </w:tr>
      <w:tr w14:paraId="4BE52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F535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5EB7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EE31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CCD9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B22A6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8E7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李振恒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13969221808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85B4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相衙镇二班</w:t>
            </w:r>
          </w:p>
        </w:tc>
      </w:tr>
      <w:tr w14:paraId="61083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1474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5C02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2D310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E463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7C0E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070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张相岗13406770357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7448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相衙镇三班</w:t>
            </w:r>
          </w:p>
        </w:tc>
      </w:tr>
      <w:tr w14:paraId="5AEFA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E17EA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7921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C0151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C5FB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C8E0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8F9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CEE6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李天卫、孙振国、李殿波、李金水、洪艳升</w:t>
            </w:r>
          </w:p>
        </w:tc>
      </w:tr>
      <w:tr w14:paraId="5C58D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9BF00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018D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64E6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9F7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郭志强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15865925123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72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时集镇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004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李先菊15964056767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E060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时集镇三班</w:t>
            </w:r>
          </w:p>
        </w:tc>
      </w:tr>
      <w:tr w14:paraId="3F110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456A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8A0E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52B51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B0D6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291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F05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郭秀梅18853462926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67ED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时集镇二班</w:t>
            </w:r>
          </w:p>
        </w:tc>
      </w:tr>
      <w:tr w14:paraId="6B4A6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60F4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381E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5726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8522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F4B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27A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苏书红15165935496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DF26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时集镇一班</w:t>
            </w:r>
          </w:p>
        </w:tc>
      </w:tr>
      <w:tr w14:paraId="2E8CA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5C19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A8F0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0059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9934D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656F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39F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刘秀梅15092519114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38A5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时集镇四班</w:t>
            </w:r>
          </w:p>
        </w:tc>
      </w:tr>
      <w:tr w14:paraId="22267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C5E55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000B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491B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0160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1DF6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D01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EE4B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郭茂林、宋连洲、孙万龙</w:t>
            </w:r>
          </w:p>
        </w:tc>
      </w:tr>
      <w:tr w14:paraId="31448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940A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46E8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A2C1C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FCB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张和祥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13853403338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2C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刘营伍乡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A0D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商荣军13869244536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5C20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刘营伍乡一班</w:t>
            </w:r>
          </w:p>
        </w:tc>
      </w:tr>
      <w:tr w14:paraId="57159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3419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C86A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2D027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2923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2C9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3C8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王春海13639466559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55A3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刘营伍乡二班</w:t>
            </w:r>
          </w:p>
        </w:tc>
      </w:tr>
      <w:tr w14:paraId="350D3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E536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AD58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9470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CF2E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C96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E88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商洪池17306372227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DD84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刘营伍乡三班</w:t>
            </w:r>
          </w:p>
        </w:tc>
      </w:tr>
      <w:tr w14:paraId="0A17A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8AF8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854C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11AE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6E84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622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E8F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CBA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孙孟坤、商恩来、商荣财、张和平、洪永钢</w:t>
            </w:r>
          </w:p>
        </w:tc>
      </w:tr>
      <w:tr w14:paraId="0C7E3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E77D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AA91C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7CBF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561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靳洪刚13953416317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63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张大庄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A2E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张观忠13853443503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F48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张大庄镇三班</w:t>
            </w:r>
          </w:p>
        </w:tc>
      </w:tr>
      <w:tr w14:paraId="538AC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6D56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48E0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A68D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07B3C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306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B45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于会枝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15963378283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7C2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张大庄镇一班</w:t>
            </w:r>
          </w:p>
        </w:tc>
      </w:tr>
      <w:tr w14:paraId="048F0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9A66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61CA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2BE2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4526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0FB4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E80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张金国15315443831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EC9E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张大庄镇二班</w:t>
            </w:r>
          </w:p>
        </w:tc>
      </w:tr>
      <w:tr w14:paraId="6160B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E955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36020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BE6F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5C0A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E00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4D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4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C68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张立新、尹永军、杨书峰、赵书册、韩书江</w:t>
            </w:r>
          </w:p>
        </w:tc>
      </w:tr>
    </w:tbl>
    <w:p w14:paraId="54F277FC">
      <w:pPr>
        <w:rPr>
          <w:rFonts w:hint="eastAsia" w:ascii="仿宋" w:hAnsi="仿宋" w:eastAsia="仿宋" w:cs="仿宋"/>
          <w:color w:val="auto"/>
          <w:sz w:val="32"/>
          <w:szCs w:val="32"/>
          <w:highlight w:val="none"/>
          <w:lang w:eastAsia="zh-CN"/>
        </w:rPr>
      </w:pPr>
    </w:p>
    <w:p w14:paraId="0BFA887C">
      <w:pPr>
        <w:rPr>
          <w:rFonts w:hint="eastAsia" w:ascii="仿宋" w:hAnsi="仿宋" w:eastAsia="仿宋" w:cs="仿宋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eastAsia="zh-CN"/>
        </w:rPr>
        <w:br w:type="page"/>
      </w:r>
    </w:p>
    <w:p w14:paraId="337023F4">
      <w:pPr>
        <w:spacing w:line="360" w:lineRule="auto"/>
        <w:ind w:firstLine="420"/>
        <w:rPr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eastAsia="zh-CN"/>
        </w:rPr>
        <w:t>附件2：乡镇作业中心经理月度安全生产管理考核标准</w:t>
      </w:r>
    </w:p>
    <w:tbl>
      <w:tblPr>
        <w:tblStyle w:val="5"/>
        <w:tblW w:w="141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313"/>
        <w:gridCol w:w="6498"/>
        <w:gridCol w:w="4696"/>
        <w:gridCol w:w="959"/>
      </w:tblGrid>
      <w:tr w14:paraId="7E6C9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5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D210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乡镇作业中心经理（二级网格长）月度安全生产管理考核标准</w:t>
            </w:r>
          </w:p>
        </w:tc>
      </w:tr>
      <w:tr w14:paraId="5CA4C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08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9CC2E5"/>
            <w:vAlign w:val="center"/>
          </w:tcPr>
          <w:p w14:paraId="6FBED3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13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2E5"/>
            <w:vAlign w:val="center"/>
          </w:tcPr>
          <w:p w14:paraId="4BDA55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</w:t>
            </w:r>
          </w:p>
        </w:tc>
        <w:tc>
          <w:tcPr>
            <w:tcW w:w="649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2E5"/>
            <w:vAlign w:val="center"/>
          </w:tcPr>
          <w:p w14:paraId="19BB6D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基本要求</w:t>
            </w:r>
          </w:p>
        </w:tc>
        <w:tc>
          <w:tcPr>
            <w:tcW w:w="469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2E5"/>
            <w:vAlign w:val="center"/>
          </w:tcPr>
          <w:p w14:paraId="1ACF07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扣（加）分标准</w:t>
            </w:r>
          </w:p>
        </w:tc>
        <w:tc>
          <w:tcPr>
            <w:tcW w:w="959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9CC2E5"/>
            <w:vAlign w:val="center"/>
          </w:tcPr>
          <w:p w14:paraId="22D253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234CB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07D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82E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安全文化建设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（20分）</w:t>
            </w:r>
          </w:p>
        </w:tc>
        <w:tc>
          <w:tcPr>
            <w:tcW w:w="6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1B2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积极参与公司各项专项主题活动并保留相关记录。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9CA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组织力度、参与范围、活动实施等不满足要求，扣10分/次，扣完为止。</w:t>
            </w:r>
          </w:p>
        </w:tc>
        <w:tc>
          <w:tcPr>
            <w:tcW w:w="9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5B60B9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过程考核</w:t>
            </w:r>
          </w:p>
        </w:tc>
      </w:tr>
      <w:tr w14:paraId="2B875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B87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E76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HSE教育培训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（30分）</w:t>
            </w:r>
          </w:p>
        </w:tc>
        <w:tc>
          <w:tcPr>
            <w:tcW w:w="6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835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每日召开镇驻地人员晨会。包括但不限于以下内容：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1、组织会前点名。2、检查与会人员健康状态。3、安排部署任务。4、组织教育培训。5、强调注意事项。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938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每日召开晨会，每缺1次扣2分，扣完为止。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243775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06D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2C0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C0E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7AD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教育培训、安全会议本人签字、按手印，内容记录完整，有影像资料。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EB3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记录不完整、无记录或无影像资料，扣1分/次，扣完为止。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0D7744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63D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628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754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现场管理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（50分）</w:t>
            </w:r>
          </w:p>
        </w:tc>
        <w:tc>
          <w:tcPr>
            <w:tcW w:w="6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07C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sz w:val="22"/>
                <w:szCs w:val="22"/>
                <w:lang w:val="en-US" w:eastAsia="zh-CN" w:bidi="ar"/>
              </w:rPr>
              <w:t>驾驶员管理：督导驾驶员重点做好车辆“三检”，维护好车容车貌等工作。（20分）</w:t>
            </w:r>
            <w:r>
              <w:rPr>
                <w:rStyle w:val="7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1、每班对所驾驶车辆进行“三检”，“三检”记录规范、整洁、完整；检查出问题得到及时处理并可溯源；</w:t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2、号牌、转向灯脏污；转向灯、刹车灯等不亮；</w:t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3、GPS不在线或车辆未在固定位置停放；停放后未锁闭车门；临时或者长时间停放在没有停车位的道路上；</w:t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4、车载摄像头不在线；摄像头未对准驾驶员等情况。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E24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1、未执行“三检”，扣2分/次；记录不规范，扣1分/次，扣完为止。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2、驾驶员违反第2、3、4条行为的，扣1分/次，扣完为止。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7A02AE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C55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B79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1A24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F96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sz w:val="22"/>
                <w:szCs w:val="22"/>
                <w:lang w:val="en-US" w:eastAsia="zh-CN" w:bidi="ar"/>
              </w:rPr>
              <w:t>转运站管理。（10分）</w:t>
            </w:r>
            <w:r>
              <w:rPr>
                <w:rStyle w:val="7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1、乡镇作业中心经理每日对转运站进行安全检查，填写“转运站安全巡查台账”；</w:t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2、转运站制度牌、警示标识牌完好，无损坏、褪色、脱落、缺少等情况；</w:t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3、无私拉乱接情况；电动车规范充电、停放。</w:t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4、水管及高压水枪收纳整齐，无拖地或摆放杂乱情况。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78D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1、未进行检查或未填写台账，扣2分/次，扣完为止；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2、制度牌、警示标识牌缺少扣1分/个；损坏、褪色、脱落等扣0.5分/个，扣完为止；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3、私拉乱接或电动车充电不规范，扣1分/次；电动车乱停乱放，扣1分/次，扣完为止；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4、水管及高压水枪拖地或摆放杂乱，扣1分/次。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0282FC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F75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B7F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7F34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846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sz w:val="22"/>
                <w:szCs w:val="22"/>
                <w:lang w:val="en-US" w:eastAsia="zh-CN" w:bidi="ar"/>
              </w:rPr>
              <w:t>消防管理：督导转运站员工、车辆驾驶员做好消防设备管理。（5分）</w:t>
            </w:r>
            <w:r>
              <w:rPr>
                <w:rStyle w:val="7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1、开展消防设施、消防器材月度点检；</w:t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2、消防器材保存完好，无人为损坏或丢失。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20F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1、已检查，消防器材失效未上报，扣1分/处/次，扣完为止；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2、未进行点检巡检，扣1分/处/次，扣完为止；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3、消防器材丢失，扣5分/处/次，扣完为止。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1B0878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A6C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5A0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31B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347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sz w:val="22"/>
                <w:szCs w:val="22"/>
                <w:lang w:val="en-US" w:eastAsia="zh-CN" w:bidi="ar"/>
              </w:rPr>
              <w:t>“三违”管理：督导管理员做好“三违”查处，并监督管理管理员、驾驶员、转运站员工“三违”工作。（15分）</w:t>
            </w:r>
            <w:r>
              <w:rPr>
                <w:rStyle w:val="7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1、按照操作规程进行作业，作业过程中持续进行监督、检查“三违”行为，由乡镇作业中心经理汇总当日检查情况，将照片反馈至“三违工作群”。</w:t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2、乡镇作业中心经理自身“三违”行为；</w:t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3、管理员、驾驶员、转运站操作员的“三违”行为，乡镇作业中心经理应予以制止并对其进行教育，负管理责任。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254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1、每日未将“三违”检查情况反馈至“三违工作群”，扣2分/次；信息不全的扣1分/次；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2、乡镇作业中心经理自身“三违”行为，按照“三违”制度进行考核扣分；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3、管理员、驾驶员、转运站操作员的“三违”行为，乡镇作业中心经理扣1分/人/次，扣完为止。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7B1401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AFDA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3BA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C7F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否决项</w:t>
            </w:r>
          </w:p>
        </w:tc>
        <w:tc>
          <w:tcPr>
            <w:tcW w:w="6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E07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本月度内发生1起生产安全责任事故，或1起次责及以上交通事故，或1起环境污染责任事故。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68E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本月安全生产管理考核分数为0。</w:t>
            </w:r>
          </w:p>
        </w:tc>
        <w:tc>
          <w:tcPr>
            <w:tcW w:w="9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6C1C9F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结果考核</w:t>
            </w:r>
          </w:p>
        </w:tc>
      </w:tr>
      <w:tr w14:paraId="770CB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E92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DC7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加分项</w:t>
            </w:r>
          </w:p>
        </w:tc>
        <w:tc>
          <w:tcPr>
            <w:tcW w:w="6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D5F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在安全、环保管理工作中有新思路、新举措、新成效，可适当给予加分奖励。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CB0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加分项，最高加10分。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4DE9EC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DFEC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533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7417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38E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积极主动排查、治理安全事故隐患，避免各类生产安全事故发生的。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D3D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加分项，2分/项。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20C532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2AA8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69F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AE08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7DF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“三违”举报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3DF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按照“三违”制度加分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3463CD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049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EA5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998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4CF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参与属地政府部门组织的安全环保宣教等活动获得表彰。</w:t>
            </w: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B38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政府主管或其他部门表彰，加10分/次。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1919A0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D79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1E0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E61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D048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33E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县级表彰，加20分/次。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6D6839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61E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8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C3E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376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1DF9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9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3B613F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县级以上表彰，加30分/次。</w:t>
            </w:r>
          </w:p>
        </w:tc>
        <w:tc>
          <w:tcPr>
            <w:tcW w:w="9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144F84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ACC2EE7">
      <w:r>
        <w:br w:type="page"/>
      </w:r>
    </w:p>
    <w:p w14:paraId="33465D4E">
      <w:pPr>
        <w:spacing w:line="360" w:lineRule="auto"/>
        <w:ind w:firstLine="420"/>
        <w:rPr>
          <w:rFonts w:hint="eastAsia" w:ascii="仿宋" w:hAnsi="仿宋" w:eastAsia="仿宋" w:cs="仿宋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eastAsia="zh-CN"/>
        </w:rPr>
        <w:t>附件3：管理员月度安全生产管理考核标准</w:t>
      </w:r>
    </w:p>
    <w:tbl>
      <w:tblPr>
        <w:tblStyle w:val="5"/>
        <w:tblW w:w="141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2634"/>
        <w:gridCol w:w="6091"/>
        <w:gridCol w:w="3829"/>
        <w:gridCol w:w="960"/>
      </w:tblGrid>
      <w:tr w14:paraId="34CAB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8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1F4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管理员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（三级网格长）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月度安全生产管理考核标准</w:t>
            </w:r>
          </w:p>
        </w:tc>
      </w:tr>
      <w:tr w14:paraId="120A8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9CC2E5"/>
            <w:vAlign w:val="center"/>
          </w:tcPr>
          <w:p w14:paraId="34E6F1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63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2E5"/>
            <w:vAlign w:val="center"/>
          </w:tcPr>
          <w:p w14:paraId="7095B5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</w:t>
            </w:r>
          </w:p>
        </w:tc>
        <w:tc>
          <w:tcPr>
            <w:tcW w:w="609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2E5"/>
            <w:vAlign w:val="center"/>
          </w:tcPr>
          <w:p w14:paraId="55CD29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基本要求</w:t>
            </w:r>
          </w:p>
        </w:tc>
        <w:tc>
          <w:tcPr>
            <w:tcW w:w="3829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2E5"/>
            <w:vAlign w:val="center"/>
          </w:tcPr>
          <w:p w14:paraId="30F198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扣（加）分标准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9CC2E5"/>
            <w:vAlign w:val="center"/>
          </w:tcPr>
          <w:p w14:paraId="10E187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1B0C6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AB3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DD3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目标职责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（30分）</w:t>
            </w:r>
          </w:p>
        </w:tc>
        <w:tc>
          <w:tcPr>
            <w:tcW w:w="6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C05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层层分解年度HSE指标并签订目标责任书。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CCC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每缺少1个人，扣1分。</w:t>
            </w:r>
          </w:p>
        </w:tc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146ABA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过程考核</w:t>
            </w:r>
          </w:p>
        </w:tc>
      </w:tr>
      <w:tr w14:paraId="5DD0F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51D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0154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AF8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积极参与公司各项专项主题活动。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D86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组织力度、参与范围、活动实施等不满足要求，扣10分/次，扣完为止。</w:t>
            </w: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44C8A9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5ADC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71B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F97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HSE教育培训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（30分）</w:t>
            </w:r>
          </w:p>
        </w:tc>
        <w:tc>
          <w:tcPr>
            <w:tcW w:w="6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671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按照年度HSE计划实施教育培训；班组级培训频次和标准（最低标准）。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96B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班组长每月至少对本班组员工开展1次安全培训教育，每缺一次扣10分，扣完为止。</w:t>
            </w: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113BBD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4FFA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463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46A2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4A6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规范开展新入职、转岗、复工员工HSE教育培训。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ADD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未开展新入职、转岗、复工员工安全教育培训，扣3分/人，扣完为止。</w:t>
            </w: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33DF6E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AEA8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5AF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F54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2A5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教育培训、安全会议本人签字、按手印，会议内容记录完整，有影像资料。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E68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1、未全员覆盖，扣1分/人；非本人签字或按手印，扣3分/人/次，扣完为止。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2、记录不完整、无记录或无影像资料，扣3分/次，扣完为止。</w:t>
            </w: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44AC9C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E7F6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6A8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C75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“三违”管理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（40分）</w:t>
            </w:r>
          </w:p>
        </w:tc>
        <w:tc>
          <w:tcPr>
            <w:tcW w:w="6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877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按照操作规程进行作业，作业过程中持续进行监督、检查“三违”行为，在作业现场设置警戒区域和警示标志。由乡镇主管汇总当日检查情况，将照片反馈至“三违工作群”。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DF9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按照“三违”制度进行考核。</w:t>
            </w: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4CCBDF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A80B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936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6FE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否决项</w:t>
            </w:r>
          </w:p>
        </w:tc>
        <w:tc>
          <w:tcPr>
            <w:tcW w:w="6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392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本月度内发生1起生产安全责任事故，或1起次责及以上交通事故，或1起环境污染责任事故。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5EC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本月安全生产管理考核分数为0。</w:t>
            </w:r>
          </w:p>
        </w:tc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7ED100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结果考核</w:t>
            </w:r>
          </w:p>
        </w:tc>
      </w:tr>
      <w:tr w14:paraId="1E895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C64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BC5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加分项</w:t>
            </w:r>
          </w:p>
        </w:tc>
        <w:tc>
          <w:tcPr>
            <w:tcW w:w="6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747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在安全、环保管理工作中有新思路、新举措、新成效，可适当给予加分奖励。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FE8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加分项，最高加5分。</w:t>
            </w: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6DDCFA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D756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2AB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F85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0E6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“三违”举报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EB7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按照“三违”制度加分</w:t>
            </w: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532CB8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727C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42C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CD19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0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5D9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参与属地政府部门组织的安全环保宣教等活动获得表彰。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9ED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政府主管或其他部门表彰，加10分/次。</w:t>
            </w: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0CD190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7535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B0A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C32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0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6F7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6D5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县级表彰，加20分/次。</w:t>
            </w: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10F200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5D7D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A0A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F8BE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0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4FF1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7BB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县级以上表彰，加30分/次。</w:t>
            </w: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extDirection w:val="tbRlV"/>
            <w:vAlign w:val="center"/>
          </w:tcPr>
          <w:p w14:paraId="1EBA01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7C691A24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3E481D"/>
    <w:multiLevelType w:val="multilevel"/>
    <w:tmpl w:val="233E481D"/>
    <w:lvl w:ilvl="0" w:tentative="0">
      <w:start w:val="1"/>
      <w:numFmt w:val="decimal"/>
      <w:lvlText w:val="%1.0"/>
      <w:lvlJc w:val="left"/>
      <w:pPr>
        <w:tabs>
          <w:tab w:val="left" w:pos="660"/>
        </w:tabs>
        <w:ind w:left="660" w:hanging="540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1085"/>
        </w:tabs>
        <w:ind w:left="1085" w:hanging="540"/>
      </w:pPr>
      <w:rPr>
        <w:rFonts w:hint="eastAsia"/>
      </w:rPr>
    </w:lvl>
    <w:lvl w:ilvl="2" w:tentative="0">
      <w:start w:val="1"/>
      <w:numFmt w:val="decimal"/>
      <w:lvlText w:val="3.%2.%3"/>
      <w:lvlJc w:val="left"/>
      <w:pPr>
        <w:tabs>
          <w:tab w:val="left" w:pos="1690"/>
        </w:tabs>
        <w:ind w:left="1510" w:hanging="54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35"/>
        </w:tabs>
        <w:ind w:left="1935" w:hanging="54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360"/>
        </w:tabs>
        <w:ind w:left="2360" w:hanging="54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2785"/>
        </w:tabs>
        <w:ind w:left="2785" w:hanging="54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210"/>
        </w:tabs>
        <w:ind w:left="3210" w:hanging="54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635"/>
        </w:tabs>
        <w:ind w:left="3635" w:hanging="5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060"/>
        </w:tabs>
        <w:ind w:left="4060" w:hanging="5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9A0190"/>
    <w:rsid w:val="00384B9C"/>
    <w:rsid w:val="00AC1FAE"/>
    <w:rsid w:val="01D859CB"/>
    <w:rsid w:val="01E463A6"/>
    <w:rsid w:val="05A7078A"/>
    <w:rsid w:val="070840BE"/>
    <w:rsid w:val="093A7267"/>
    <w:rsid w:val="0EA63619"/>
    <w:rsid w:val="10666DF7"/>
    <w:rsid w:val="106A2B50"/>
    <w:rsid w:val="11755FD5"/>
    <w:rsid w:val="1310375B"/>
    <w:rsid w:val="13372555"/>
    <w:rsid w:val="139D6ACC"/>
    <w:rsid w:val="15ED6ECB"/>
    <w:rsid w:val="16B958C4"/>
    <w:rsid w:val="16F560A4"/>
    <w:rsid w:val="183625A3"/>
    <w:rsid w:val="18387D94"/>
    <w:rsid w:val="18AF2CDF"/>
    <w:rsid w:val="18D36AD0"/>
    <w:rsid w:val="18E724F0"/>
    <w:rsid w:val="191740C0"/>
    <w:rsid w:val="19AA220F"/>
    <w:rsid w:val="1A866FEF"/>
    <w:rsid w:val="1CAC2742"/>
    <w:rsid w:val="1D2834F7"/>
    <w:rsid w:val="1E0146AF"/>
    <w:rsid w:val="1E054D27"/>
    <w:rsid w:val="1E636E30"/>
    <w:rsid w:val="1EB06519"/>
    <w:rsid w:val="1F444833"/>
    <w:rsid w:val="1FEF6BCD"/>
    <w:rsid w:val="2136082C"/>
    <w:rsid w:val="218F01BC"/>
    <w:rsid w:val="222E10D0"/>
    <w:rsid w:val="22C500B9"/>
    <w:rsid w:val="248F097F"/>
    <w:rsid w:val="253E17A9"/>
    <w:rsid w:val="265B6B76"/>
    <w:rsid w:val="268A7650"/>
    <w:rsid w:val="27C761F3"/>
    <w:rsid w:val="28CD5F1A"/>
    <w:rsid w:val="28CF569F"/>
    <w:rsid w:val="2A073BA4"/>
    <w:rsid w:val="2B4D6E9E"/>
    <w:rsid w:val="2B696A1D"/>
    <w:rsid w:val="2B9D4766"/>
    <w:rsid w:val="2EFE6E2D"/>
    <w:rsid w:val="2FB66BD0"/>
    <w:rsid w:val="30F87185"/>
    <w:rsid w:val="313A7EC4"/>
    <w:rsid w:val="326C63BA"/>
    <w:rsid w:val="32E75E2A"/>
    <w:rsid w:val="33B06CDD"/>
    <w:rsid w:val="348222AE"/>
    <w:rsid w:val="34B03A98"/>
    <w:rsid w:val="35AF43DD"/>
    <w:rsid w:val="37753A04"/>
    <w:rsid w:val="39132202"/>
    <w:rsid w:val="391C09CE"/>
    <w:rsid w:val="41595546"/>
    <w:rsid w:val="430B4A5B"/>
    <w:rsid w:val="460107F8"/>
    <w:rsid w:val="46E17575"/>
    <w:rsid w:val="47E36768"/>
    <w:rsid w:val="4941749A"/>
    <w:rsid w:val="4944592C"/>
    <w:rsid w:val="4A844EF3"/>
    <w:rsid w:val="4B6C0384"/>
    <w:rsid w:val="4D192DA6"/>
    <w:rsid w:val="4DBD0F93"/>
    <w:rsid w:val="4DC5220B"/>
    <w:rsid w:val="4E9B0C39"/>
    <w:rsid w:val="4ED82061"/>
    <w:rsid w:val="4FAF09EE"/>
    <w:rsid w:val="504B6DD9"/>
    <w:rsid w:val="50772144"/>
    <w:rsid w:val="50C64E79"/>
    <w:rsid w:val="50F963F3"/>
    <w:rsid w:val="5220523B"/>
    <w:rsid w:val="52B72BAA"/>
    <w:rsid w:val="53C846D0"/>
    <w:rsid w:val="53E36ED5"/>
    <w:rsid w:val="541B5453"/>
    <w:rsid w:val="56276C5F"/>
    <w:rsid w:val="566E711F"/>
    <w:rsid w:val="56A6354C"/>
    <w:rsid w:val="57621CFC"/>
    <w:rsid w:val="57D342A4"/>
    <w:rsid w:val="58466FCB"/>
    <w:rsid w:val="588B480A"/>
    <w:rsid w:val="593A6404"/>
    <w:rsid w:val="59896F24"/>
    <w:rsid w:val="59DB3743"/>
    <w:rsid w:val="5C9E313B"/>
    <w:rsid w:val="5E1A4FFD"/>
    <w:rsid w:val="5F6E4084"/>
    <w:rsid w:val="5F8A2898"/>
    <w:rsid w:val="601C6864"/>
    <w:rsid w:val="606E1681"/>
    <w:rsid w:val="618B06C4"/>
    <w:rsid w:val="62540537"/>
    <w:rsid w:val="634145D0"/>
    <w:rsid w:val="64373586"/>
    <w:rsid w:val="648844C8"/>
    <w:rsid w:val="67A41618"/>
    <w:rsid w:val="67FC3F3B"/>
    <w:rsid w:val="68483A56"/>
    <w:rsid w:val="69BF69DA"/>
    <w:rsid w:val="6ADD114B"/>
    <w:rsid w:val="6C456032"/>
    <w:rsid w:val="6C9A0190"/>
    <w:rsid w:val="6C9B2695"/>
    <w:rsid w:val="6DC9652E"/>
    <w:rsid w:val="6E753ABC"/>
    <w:rsid w:val="715E1D8D"/>
    <w:rsid w:val="730B69EF"/>
    <w:rsid w:val="73C53042"/>
    <w:rsid w:val="740C0C71"/>
    <w:rsid w:val="76460C5A"/>
    <w:rsid w:val="78910CB1"/>
    <w:rsid w:val="798A5D0E"/>
    <w:rsid w:val="79C33FE3"/>
    <w:rsid w:val="7A1E34AC"/>
    <w:rsid w:val="7AF20495"/>
    <w:rsid w:val="7C4456C3"/>
    <w:rsid w:val="7DB17577"/>
    <w:rsid w:val="7E53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toc 1"/>
    <w:basedOn w:val="1"/>
    <w:next w:val="1"/>
    <w:qFormat/>
    <w:uiPriority w:val="0"/>
  </w:style>
  <w:style w:type="character" w:customStyle="1" w:styleId="7">
    <w:name w:val="font21"/>
    <w:basedOn w:val="6"/>
    <w:qFormat/>
    <w:uiPriority w:val="0"/>
    <w:rPr>
      <w:rFonts w:hint="eastAsia" w:ascii="仿宋" w:hAnsi="仿宋" w:eastAsia="仿宋" w:cs="仿宋"/>
      <w:b/>
      <w:bCs/>
      <w:color w:val="000000"/>
      <w:sz w:val="32"/>
      <w:szCs w:val="32"/>
      <w:u w:val="none"/>
    </w:rPr>
  </w:style>
  <w:style w:type="character" w:customStyle="1" w:styleId="8">
    <w:name w:val="font31"/>
    <w:basedOn w:val="6"/>
    <w:qFormat/>
    <w:uiPriority w:val="0"/>
    <w:rPr>
      <w:rFonts w:hint="eastAsia" w:ascii="仿宋" w:hAnsi="仿宋" w:eastAsia="仿宋" w:cs="仿宋"/>
      <w:color w:val="000000"/>
      <w:sz w:val="32"/>
      <w:szCs w:val="32"/>
      <w:u w:val="none"/>
    </w:rPr>
  </w:style>
  <w:style w:type="paragraph" w:customStyle="1" w:styleId="9">
    <w:name w:val="Table Text"/>
    <w:basedOn w:val="1"/>
    <w:semiHidden/>
    <w:qFormat/>
    <w:uiPriority w:val="0"/>
    <w:rPr>
      <w:rFonts w:ascii="仿宋" w:hAnsi="仿宋" w:eastAsia="仿宋" w:cs="仿宋"/>
      <w:sz w:val="16"/>
      <w:szCs w:val="16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3773</Words>
  <Characters>4157</Characters>
  <Lines>0</Lines>
  <Paragraphs>0</Paragraphs>
  <TotalTime>0</TotalTime>
  <ScaleCrop>false</ScaleCrop>
  <LinksUpToDate>false</LinksUpToDate>
  <CharactersWithSpaces>4359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2025-11-21T00:47:00Z</dcterms:created>
  <dc:creator>随遇而安</dc:creator>
  <cp:lastModifiedBy>随遇而安</cp:lastModifiedBy>
  <dcterms:modified xsi:type="dcterms:W3CDTF">2026-06-25T06:44:06Z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241325E725CB483CAA8B16084D86E323_11</vt:lpwstr>
  </property>
  <property fmtid="{D5CDD505-2E9C-101B-9397-08002B2CF9AE}" pid="4" name="KSOTemplateDocerSaveRecord">
    <vt:lpwstr>eyJoZGlkIjoiYzZhMGE2YjQ0MDBlNjRiZjAxOTgyNGFjYjQ1NDNmNGUiLCJ1c2VySWQiOiI4MDkyMjY1NDIifQ==</vt:lpwstr>
  </property>
</Properties>
</file>