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A0D7C">
      <w:pPr>
        <w:rPr>
          <w:rFonts w:hint="eastAsia" w:cs="Times New Roman" w:asciiTheme="minorEastAsia" w:hAnsiTheme="minorEastAsia" w:eastAsiaTheme="minorEastAsia"/>
          <w:sz w:val="20"/>
          <w:szCs w:val="20"/>
        </w:rPr>
      </w:pPr>
    </w:p>
    <w:p w14:paraId="06F42F4F">
      <w:pPr>
        <w:rPr>
          <w:rFonts w:hint="eastAsia" w:cs="Times New Roman" w:asciiTheme="minorEastAsia" w:hAnsiTheme="minorEastAsia" w:eastAsiaTheme="minorEastAsia"/>
          <w:sz w:val="20"/>
          <w:szCs w:val="20"/>
        </w:rPr>
      </w:pPr>
    </w:p>
    <w:p w14:paraId="60C7947B">
      <w:pPr>
        <w:rPr>
          <w:rFonts w:hint="eastAsia" w:cs="Times New Roman" w:asciiTheme="minorEastAsia" w:hAnsiTheme="minorEastAsia" w:eastAsiaTheme="minorEastAsia"/>
          <w:sz w:val="20"/>
          <w:szCs w:val="20"/>
        </w:rPr>
      </w:pPr>
    </w:p>
    <w:p w14:paraId="63982805">
      <w:pPr>
        <w:spacing w:before="2"/>
        <w:rPr>
          <w:rFonts w:hint="eastAsia" w:cs="Times New Roman" w:asciiTheme="minorEastAsia" w:hAnsiTheme="minorEastAsia" w:eastAsiaTheme="minorEastAsia"/>
          <w:sz w:val="28"/>
          <w:szCs w:val="28"/>
        </w:rPr>
      </w:pPr>
    </w:p>
    <w:p w14:paraId="5F4432E3">
      <w:pPr>
        <w:spacing w:before="275"/>
        <w:ind w:left="523"/>
        <w:jc w:val="center"/>
        <w:rPr>
          <w:rFonts w:hint="eastAsia" w:cs="黑体" w:asciiTheme="minorEastAsia" w:hAnsiTheme="minorEastAsia" w:eastAsiaTheme="minorEastAsia"/>
          <w:b/>
          <w:sz w:val="52"/>
          <w:szCs w:val="52"/>
          <w:lang w:eastAsia="zh-CN"/>
        </w:rPr>
      </w:pPr>
      <w:r>
        <w:rPr>
          <w:rFonts w:hint="eastAsia" w:cs="黑体" w:asciiTheme="minorEastAsia" w:hAnsiTheme="minorEastAsia" w:eastAsiaTheme="minorEastAsia"/>
          <w:b/>
          <w:sz w:val="52"/>
          <w:szCs w:val="52"/>
          <w:lang w:eastAsia="zh-CN"/>
        </w:rPr>
        <w:t>宁津北控城市环境服务有限公司</w:t>
      </w:r>
    </w:p>
    <w:p w14:paraId="56611DF5">
      <w:pPr>
        <w:spacing w:before="275"/>
        <w:ind w:left="523"/>
        <w:jc w:val="center"/>
        <w:rPr>
          <w:rFonts w:hint="eastAsia" w:cs="黑体" w:asciiTheme="minorEastAsia" w:hAnsiTheme="minorEastAsia" w:eastAsiaTheme="minorEastAsia"/>
          <w:sz w:val="32"/>
          <w:szCs w:val="32"/>
          <w:lang w:eastAsia="zh-CN"/>
        </w:rPr>
      </w:pPr>
      <w:r>
        <w:rPr>
          <w:rFonts w:cs="黑体" w:asciiTheme="minorEastAsia" w:hAnsiTheme="minorEastAsia" w:eastAsiaTheme="minorEastAsia"/>
          <w:b/>
          <w:bCs/>
          <w:sz w:val="32"/>
          <w:szCs w:val="32"/>
          <w:lang w:eastAsia="zh-CN"/>
        </w:rPr>
        <w:t>企业标准</w:t>
      </w:r>
    </w:p>
    <w:p w14:paraId="66C724A1">
      <w:pPr>
        <w:rPr>
          <w:rFonts w:hint="eastAsia" w:cs="黑体" w:asciiTheme="minorEastAsia" w:hAnsiTheme="minorEastAsia" w:eastAsiaTheme="minorEastAsia"/>
          <w:b/>
          <w:bCs/>
          <w:sz w:val="32"/>
          <w:szCs w:val="32"/>
          <w:lang w:eastAsia="zh-CN"/>
        </w:rPr>
      </w:pPr>
    </w:p>
    <w:p w14:paraId="00D53286">
      <w:pPr>
        <w:rPr>
          <w:rFonts w:hint="eastAsia" w:cs="黑体" w:asciiTheme="minorEastAsia" w:hAnsiTheme="minorEastAsia" w:eastAsiaTheme="minorEastAsia"/>
          <w:b/>
          <w:bCs/>
          <w:sz w:val="32"/>
          <w:szCs w:val="32"/>
          <w:lang w:eastAsia="zh-CN"/>
        </w:rPr>
      </w:pPr>
    </w:p>
    <w:p w14:paraId="0DFFDFBA">
      <w:pPr>
        <w:spacing w:before="9"/>
        <w:rPr>
          <w:rFonts w:hint="eastAsia" w:cs="黑体" w:asciiTheme="minorEastAsia" w:hAnsiTheme="minorEastAsia" w:eastAsiaTheme="minorEastAsia"/>
          <w:b/>
          <w:bCs/>
          <w:sz w:val="24"/>
          <w:szCs w:val="24"/>
          <w:lang w:eastAsia="zh-CN"/>
        </w:rPr>
      </w:pPr>
    </w:p>
    <w:p w14:paraId="2C369A05">
      <w:pPr>
        <w:pStyle w:val="12"/>
        <w:ind w:left="0" w:right="254"/>
        <w:jc w:val="right"/>
        <w:rPr>
          <w:rFonts w:hint="eastAsia" w:cs="黑体" w:asciiTheme="minorEastAsia" w:hAnsiTheme="minorEastAsia" w:eastAsiaTheme="minorEastAsia"/>
          <w:b/>
          <w:lang w:eastAsia="zh-CN"/>
        </w:rPr>
      </w:pPr>
      <w:r>
        <w:rPr>
          <w:rFonts w:cs="黑体" w:asciiTheme="minorEastAsia" w:hAnsiTheme="minorEastAsia" w:eastAsiaTheme="minorEastAsia"/>
          <w:b/>
          <w:lang w:eastAsia="zh-CN"/>
        </w:rPr>
        <w:t>制度编号：</w:t>
      </w:r>
      <w:r>
        <w:rPr>
          <w:rFonts w:hint="eastAsia" w:cs="黑体" w:asciiTheme="minorEastAsia" w:hAnsiTheme="minorEastAsia" w:eastAsiaTheme="minorEastAsia"/>
          <w:b/>
          <w:lang w:eastAsia="zh-CN"/>
        </w:rPr>
        <w:t>AH.01.202</w:t>
      </w:r>
      <w:r>
        <w:rPr>
          <w:rFonts w:hint="eastAsia" w:cs="黑体" w:asciiTheme="minorEastAsia" w:hAnsiTheme="minorEastAsia" w:eastAsiaTheme="minorEastAsia"/>
          <w:b/>
          <w:lang w:val="en-US" w:eastAsia="zh-CN"/>
        </w:rPr>
        <w:t>6</w:t>
      </w:r>
      <w:r>
        <w:rPr>
          <w:rFonts w:hint="eastAsia" w:cs="黑体" w:asciiTheme="minorEastAsia" w:hAnsiTheme="minorEastAsia" w:eastAsiaTheme="minorEastAsia"/>
          <w:b/>
          <w:lang w:eastAsia="zh-CN"/>
        </w:rPr>
        <w:t>.</w:t>
      </w:r>
      <w:r>
        <w:rPr>
          <w:rFonts w:hint="eastAsia" w:cs="黑体" w:asciiTheme="minorEastAsia" w:hAnsiTheme="minorEastAsia" w:eastAsiaTheme="minorEastAsia"/>
          <w:b/>
          <w:lang w:val="en-US" w:eastAsia="zh-CN"/>
        </w:rPr>
        <w:t>2</w:t>
      </w:r>
    </w:p>
    <w:p w14:paraId="45BF80AE">
      <w:pPr>
        <w:spacing w:before="6"/>
        <w:rPr>
          <w:rFonts w:hint="eastAsia" w:cs="黑体" w:asciiTheme="minorEastAsia" w:hAnsiTheme="minorEastAsia" w:eastAsiaTheme="minorEastAsia"/>
          <w:sz w:val="6"/>
          <w:szCs w:val="6"/>
          <w:lang w:eastAsia="zh-CN"/>
        </w:rPr>
      </w:pPr>
    </w:p>
    <w:p w14:paraId="5EB860A6">
      <w:pPr>
        <w:spacing w:line="40" w:lineRule="exact"/>
        <w:ind w:left="188"/>
        <w:rPr>
          <w:rFonts w:hint="eastAsia"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14:paraId="6260A2C2">
      <w:pPr>
        <w:rPr>
          <w:rFonts w:hint="eastAsia" w:cs="黑体" w:asciiTheme="minorEastAsia" w:hAnsiTheme="minorEastAsia" w:eastAsiaTheme="minorEastAsia"/>
          <w:sz w:val="24"/>
          <w:szCs w:val="24"/>
        </w:rPr>
      </w:pPr>
    </w:p>
    <w:p w14:paraId="3050E03E">
      <w:pPr>
        <w:rPr>
          <w:rFonts w:hint="eastAsia" w:cs="黑体" w:asciiTheme="minorEastAsia" w:hAnsiTheme="minorEastAsia" w:eastAsiaTheme="minorEastAsia"/>
          <w:sz w:val="24"/>
          <w:szCs w:val="24"/>
        </w:rPr>
      </w:pPr>
    </w:p>
    <w:p w14:paraId="29B7765A">
      <w:pPr>
        <w:rPr>
          <w:rFonts w:hint="eastAsia" w:cs="黑体" w:asciiTheme="minorEastAsia" w:hAnsiTheme="minorEastAsia" w:eastAsiaTheme="minorEastAsia"/>
          <w:sz w:val="24"/>
          <w:szCs w:val="24"/>
        </w:rPr>
      </w:pPr>
    </w:p>
    <w:p w14:paraId="7E442DA3">
      <w:pPr>
        <w:rPr>
          <w:rFonts w:hint="eastAsia" w:cs="黑体" w:asciiTheme="minorEastAsia" w:hAnsiTheme="minorEastAsia" w:eastAsiaTheme="minorEastAsia"/>
          <w:sz w:val="24"/>
          <w:szCs w:val="24"/>
        </w:rPr>
      </w:pPr>
    </w:p>
    <w:p w14:paraId="1897C958">
      <w:pPr>
        <w:rPr>
          <w:rFonts w:hint="eastAsia" w:cs="黑体" w:asciiTheme="minorEastAsia" w:hAnsiTheme="minorEastAsia" w:eastAsiaTheme="minorEastAsia"/>
          <w:sz w:val="24"/>
          <w:szCs w:val="24"/>
        </w:rPr>
      </w:pPr>
    </w:p>
    <w:p w14:paraId="1213E3A7">
      <w:pPr>
        <w:rPr>
          <w:rFonts w:hint="eastAsia" w:cs="黑体" w:asciiTheme="minorEastAsia" w:hAnsiTheme="minorEastAsia" w:eastAsiaTheme="minorEastAsia"/>
          <w:sz w:val="24"/>
          <w:szCs w:val="24"/>
        </w:rPr>
      </w:pPr>
    </w:p>
    <w:p w14:paraId="2011375D">
      <w:pPr>
        <w:rPr>
          <w:rFonts w:hint="eastAsia" w:cs="黑体" w:asciiTheme="minorEastAsia" w:hAnsiTheme="minorEastAsia" w:eastAsiaTheme="minorEastAsia"/>
          <w:sz w:val="24"/>
          <w:szCs w:val="24"/>
        </w:rPr>
      </w:pPr>
    </w:p>
    <w:p w14:paraId="4F85BF61">
      <w:pPr>
        <w:spacing w:before="9"/>
        <w:rPr>
          <w:rFonts w:hint="eastAsia" w:cs="黑体" w:asciiTheme="minorEastAsia" w:hAnsiTheme="minorEastAsia" w:eastAsiaTheme="minorEastAsia"/>
          <w:sz w:val="23"/>
          <w:szCs w:val="23"/>
        </w:rPr>
      </w:pPr>
    </w:p>
    <w:p w14:paraId="590BC8D9">
      <w:pPr>
        <w:jc w:val="center"/>
        <w:rPr>
          <w:rFonts w:hint="eastAsia" w:ascii="宋体" w:hAnsi="宋体" w:eastAsia="宋体" w:cs="宋体"/>
          <w:b/>
          <w:color w:val="0D0D0D"/>
          <w:kern w:val="44"/>
          <w:sz w:val="52"/>
          <w:szCs w:val="52"/>
          <w:lang w:eastAsia="zh-CN"/>
        </w:rPr>
      </w:pPr>
      <w:r>
        <w:rPr>
          <w:rFonts w:hint="eastAsia" w:ascii="宋体" w:hAnsi="宋体" w:eastAsia="宋体" w:cs="宋体"/>
          <w:b/>
          <w:color w:val="0D0D0D"/>
          <w:kern w:val="44"/>
          <w:sz w:val="52"/>
          <w:szCs w:val="52"/>
          <w:lang w:eastAsia="zh-CN"/>
        </w:rPr>
        <w:t>安全生产责任制度</w:t>
      </w:r>
    </w:p>
    <w:p w14:paraId="34251A27">
      <w:pPr>
        <w:rPr>
          <w:rFonts w:hint="eastAsia" w:cs="黑体" w:asciiTheme="minorEastAsia" w:hAnsiTheme="minorEastAsia" w:eastAsiaTheme="minorEastAsia"/>
          <w:sz w:val="52"/>
          <w:szCs w:val="52"/>
          <w:lang w:eastAsia="zh-CN"/>
        </w:rPr>
      </w:pPr>
    </w:p>
    <w:p w14:paraId="0E692489">
      <w:pPr>
        <w:rPr>
          <w:rFonts w:hint="eastAsia" w:cs="黑体" w:asciiTheme="minorEastAsia" w:hAnsiTheme="minorEastAsia" w:eastAsiaTheme="minorEastAsia"/>
          <w:sz w:val="52"/>
          <w:szCs w:val="52"/>
          <w:lang w:eastAsia="zh-CN"/>
        </w:rPr>
      </w:pPr>
    </w:p>
    <w:p w14:paraId="72AB517E">
      <w:pPr>
        <w:rPr>
          <w:rFonts w:hint="eastAsia" w:cs="黑体" w:asciiTheme="minorEastAsia" w:hAnsiTheme="minorEastAsia" w:eastAsiaTheme="minorEastAsia"/>
          <w:sz w:val="52"/>
          <w:szCs w:val="52"/>
          <w:lang w:eastAsia="zh-CN"/>
        </w:rPr>
      </w:pPr>
    </w:p>
    <w:p w14:paraId="316231AE">
      <w:pPr>
        <w:rPr>
          <w:rFonts w:hint="eastAsia" w:cs="黑体" w:asciiTheme="minorEastAsia" w:hAnsiTheme="minorEastAsia" w:eastAsiaTheme="minorEastAsia"/>
          <w:sz w:val="52"/>
          <w:szCs w:val="52"/>
          <w:lang w:eastAsia="zh-CN"/>
        </w:rPr>
      </w:pPr>
    </w:p>
    <w:p w14:paraId="1F18B110">
      <w:pPr>
        <w:rPr>
          <w:rFonts w:hint="eastAsia" w:cs="黑体" w:asciiTheme="minorEastAsia" w:hAnsiTheme="minorEastAsia" w:eastAsiaTheme="minorEastAsia"/>
          <w:sz w:val="52"/>
          <w:szCs w:val="52"/>
          <w:lang w:eastAsia="zh-CN"/>
        </w:rPr>
      </w:pPr>
    </w:p>
    <w:p w14:paraId="114D65EB">
      <w:pPr>
        <w:tabs>
          <w:tab w:val="left" w:pos="6039"/>
        </w:tabs>
        <w:spacing w:before="355"/>
        <w:ind w:left="138" w:right="36"/>
        <w:rPr>
          <w:rFonts w:hint="eastAsia" w:cs="黑体" w:asciiTheme="minorEastAsia" w:hAnsiTheme="minorEastAsia" w:eastAsiaTheme="minorEastAsia"/>
          <w:b/>
          <w:sz w:val="28"/>
          <w:szCs w:val="28"/>
          <w:lang w:eastAsia="zh-CN"/>
        </w:rPr>
      </w:pPr>
      <w:r>
        <w:rPr>
          <w:rFonts w:hint="eastAsia" w:cs="黑体" w:asciiTheme="minorEastAsia" w:hAnsiTheme="minorEastAsia" w:eastAsiaTheme="minorEastAsia"/>
          <w:b/>
          <w:sz w:val="28"/>
          <w:szCs w:val="28"/>
          <w:lang w:eastAsia="zh-CN"/>
        </w:rPr>
        <w:t>202</w:t>
      </w:r>
      <w:r>
        <w:rPr>
          <w:rFonts w:hint="eastAsia" w:cs="黑体" w:asciiTheme="minorEastAsia" w:hAnsiTheme="minorEastAsia" w:eastAsiaTheme="minorEastAsia"/>
          <w:b/>
          <w:sz w:val="28"/>
          <w:szCs w:val="28"/>
          <w:lang w:val="en-US" w:eastAsia="zh-CN"/>
        </w:rPr>
        <w:t>6</w:t>
      </w:r>
      <w:r>
        <w:rPr>
          <w:rFonts w:hint="eastAsia"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val="en-US" w:eastAsia="zh-CN"/>
        </w:rPr>
        <w:t>05</w:t>
      </w:r>
      <w:r>
        <w:rPr>
          <w:rFonts w:cs="黑体" w:asciiTheme="minorEastAsia" w:hAnsiTheme="minorEastAsia" w:eastAsiaTheme="minorEastAsia"/>
          <w:b/>
          <w:sz w:val="28"/>
          <w:szCs w:val="28"/>
          <w:lang w:eastAsia="zh-CN"/>
        </w:rPr>
        <w:t>发布</w:t>
      </w:r>
      <w:r>
        <w:rPr>
          <w:rFonts w:cs="黑体" w:asciiTheme="minorEastAsia" w:hAnsiTheme="minorEastAsia" w:eastAsiaTheme="minorEastAsia"/>
          <w:b/>
          <w:sz w:val="28"/>
          <w:szCs w:val="28"/>
          <w:lang w:eastAsia="zh-CN"/>
        </w:rPr>
        <w:tab/>
      </w:r>
      <w:r>
        <w:rPr>
          <w:rFonts w:cs="黑体" w:asciiTheme="minorEastAsia" w:hAnsiTheme="minorEastAsia" w:eastAsiaTheme="minorEastAsia"/>
          <w:b/>
          <w:sz w:val="28"/>
          <w:szCs w:val="28"/>
          <w:lang w:eastAsia="zh-CN"/>
        </w:rPr>
        <w:t>202</w:t>
      </w:r>
      <w:r>
        <w:rPr>
          <w:rFonts w:hint="eastAsia" w:cs="黑体" w:asciiTheme="minorEastAsia" w:hAnsiTheme="minorEastAsia" w:eastAsiaTheme="minorEastAsia"/>
          <w:b/>
          <w:sz w:val="28"/>
          <w:szCs w:val="28"/>
          <w:lang w:val="en-US" w:eastAsia="zh-CN"/>
        </w:rPr>
        <w:t>6</w:t>
      </w:r>
      <w:r>
        <w:rPr>
          <w:rFonts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val="en-US" w:eastAsia="zh-CN"/>
        </w:rPr>
        <w:t>05</w:t>
      </w:r>
      <w:r>
        <w:rPr>
          <w:rFonts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eastAsia="zh-CN"/>
        </w:rPr>
        <w:t>1</w:t>
      </w:r>
      <w:r>
        <w:rPr>
          <w:rFonts w:hint="eastAsia" w:cs="黑体" w:asciiTheme="minorEastAsia" w:hAnsiTheme="minorEastAsia" w:eastAsiaTheme="minorEastAsia"/>
          <w:b/>
          <w:sz w:val="28"/>
          <w:szCs w:val="28"/>
          <w:lang w:val="en-US" w:eastAsia="zh-CN"/>
        </w:rPr>
        <w:t>0</w:t>
      </w:r>
      <w:r>
        <w:rPr>
          <w:rFonts w:cs="黑体" w:asciiTheme="minorEastAsia" w:hAnsiTheme="minorEastAsia" w:eastAsiaTheme="minorEastAsia"/>
          <w:b/>
          <w:spacing w:val="-3"/>
          <w:sz w:val="28"/>
          <w:szCs w:val="28"/>
          <w:lang w:eastAsia="zh-CN"/>
        </w:rPr>
        <w:t>实施</w:t>
      </w:r>
    </w:p>
    <w:p w14:paraId="614B9733">
      <w:pPr>
        <w:spacing w:line="40" w:lineRule="exact"/>
        <w:ind w:left="118"/>
        <w:rPr>
          <w:rFonts w:hint="eastAsia"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14:paraId="2BF46D86">
      <w:pPr>
        <w:spacing w:before="8"/>
        <w:rPr>
          <w:rFonts w:hint="eastAsia" w:cs="黑体" w:asciiTheme="minorEastAsia" w:hAnsiTheme="minorEastAsia" w:eastAsiaTheme="minorEastAsia"/>
          <w:sz w:val="24"/>
          <w:szCs w:val="24"/>
        </w:rPr>
      </w:pPr>
    </w:p>
    <w:p w14:paraId="5B1A7A08">
      <w:pPr>
        <w:tabs>
          <w:tab w:val="left" w:pos="2957"/>
        </w:tabs>
        <w:ind w:left="76"/>
        <w:jc w:val="center"/>
        <w:rPr>
          <w:rFonts w:hint="eastAsia" w:cs="黑体" w:asciiTheme="minorEastAsia" w:hAnsiTheme="minorEastAsia" w:eastAsiaTheme="minorEastAsia"/>
          <w:b/>
          <w:sz w:val="32"/>
          <w:szCs w:val="32"/>
          <w:lang w:eastAsia="zh-CN"/>
        </w:rPr>
      </w:pPr>
      <w:r>
        <w:rPr>
          <w:rFonts w:hint="eastAsia" w:cs="黑体" w:asciiTheme="minorEastAsia" w:hAnsiTheme="minorEastAsia" w:eastAsiaTheme="minorEastAsia"/>
          <w:b/>
          <w:w w:val="95"/>
          <w:sz w:val="32"/>
          <w:szCs w:val="32"/>
          <w:lang w:eastAsia="zh-CN"/>
        </w:rPr>
        <w:t>宁津北控城市环境服务有限公司</w:t>
      </w:r>
      <w:r>
        <w:rPr>
          <w:rFonts w:cs="黑体" w:asciiTheme="minorEastAsia" w:hAnsiTheme="minorEastAsia" w:eastAsiaTheme="minorEastAsia"/>
          <w:b/>
          <w:w w:val="95"/>
          <w:sz w:val="32"/>
          <w:szCs w:val="32"/>
          <w:lang w:eastAsia="zh-CN"/>
        </w:rPr>
        <w:tab/>
      </w:r>
      <w:r>
        <w:rPr>
          <w:rFonts w:cs="黑体" w:asciiTheme="minorEastAsia" w:hAnsiTheme="minorEastAsia" w:eastAsiaTheme="minorEastAsia"/>
          <w:b/>
          <w:sz w:val="32"/>
          <w:szCs w:val="32"/>
          <w:lang w:eastAsia="zh-CN"/>
        </w:rPr>
        <w:t>发布</w:t>
      </w:r>
    </w:p>
    <w:p w14:paraId="0D9DA8AF">
      <w:pPr>
        <w:jc w:val="center"/>
        <w:rPr>
          <w:rFonts w:hint="eastAsia" w:cs="黑体" w:asciiTheme="minorEastAsia" w:hAnsiTheme="minorEastAsia" w:eastAsiaTheme="minorEastAsia"/>
          <w:sz w:val="32"/>
          <w:szCs w:val="32"/>
          <w:lang w:eastAsia="zh-CN"/>
        </w:rPr>
        <w:sectPr>
          <w:headerReference r:id="rId3" w:type="default"/>
          <w:pgSz w:w="11910" w:h="16840"/>
          <w:pgMar w:top="1440" w:right="1800" w:bottom="1440" w:left="1800" w:header="794" w:footer="1020" w:gutter="0"/>
          <w:cols w:space="720" w:num="1"/>
          <w:docGrid w:linePitch="299" w:charSpace="0"/>
        </w:sectPr>
      </w:pPr>
    </w:p>
    <w:p w14:paraId="1F6EB0FC">
      <w:pPr>
        <w:rPr>
          <w:lang w:eastAsia="zh-CN"/>
        </w:rPr>
      </w:pPr>
    </w:p>
    <w:p w14:paraId="748864B2">
      <w:pPr>
        <w:spacing w:line="387" w:lineRule="exact"/>
        <w:jc w:val="center"/>
        <w:rPr>
          <w:rFonts w:hint="eastAsia" w:cs="黑体" w:asciiTheme="minorEastAsia" w:hAnsiTheme="minorEastAsia" w:eastAsiaTheme="minorEastAsia"/>
          <w:sz w:val="30"/>
          <w:szCs w:val="30"/>
          <w:lang w:eastAsia="zh-CN"/>
        </w:rPr>
      </w:pPr>
      <w:r>
        <w:rPr>
          <w:rFonts w:cs="黑体" w:asciiTheme="minorEastAsia" w:hAnsiTheme="minorEastAsia" w:eastAsiaTheme="minorEastAsia"/>
          <w:sz w:val="30"/>
          <w:szCs w:val="30"/>
          <w:lang w:eastAsia="zh-CN"/>
        </w:rPr>
        <w:t>制度控制表</w:t>
      </w:r>
    </w:p>
    <w:p w14:paraId="2F8C06DD"/>
    <w:tbl>
      <w:tblPr>
        <w:tblStyle w:val="18"/>
        <w:tblW w:w="5000" w:type="pct"/>
        <w:tblInd w:w="0" w:type="dxa"/>
        <w:tblLayout w:type="autofit"/>
        <w:tblCellMar>
          <w:top w:w="0" w:type="dxa"/>
          <w:left w:w="108" w:type="dxa"/>
          <w:bottom w:w="0" w:type="dxa"/>
          <w:right w:w="108" w:type="dxa"/>
        </w:tblCellMar>
      </w:tblPr>
      <w:tblGrid>
        <w:gridCol w:w="1022"/>
        <w:gridCol w:w="834"/>
        <w:gridCol w:w="1264"/>
        <w:gridCol w:w="1235"/>
        <w:gridCol w:w="621"/>
        <w:gridCol w:w="933"/>
        <w:gridCol w:w="853"/>
        <w:gridCol w:w="991"/>
        <w:gridCol w:w="773"/>
      </w:tblGrid>
      <w:tr w14:paraId="39B02A0C">
        <w:tblPrEx>
          <w:tblCellMar>
            <w:top w:w="0" w:type="dxa"/>
            <w:left w:w="108" w:type="dxa"/>
            <w:bottom w:w="0" w:type="dxa"/>
            <w:right w:w="108" w:type="dxa"/>
          </w:tblCellMar>
        </w:tblPrEx>
        <w:trPr>
          <w:trHeight w:val="780" w:hRule="atLeast"/>
        </w:trPr>
        <w:tc>
          <w:tcPr>
            <w:tcW w:w="600" w:type="pct"/>
            <w:tcBorders>
              <w:top w:val="single" w:color="auto" w:sz="4" w:space="0"/>
              <w:left w:val="single" w:color="auto" w:sz="4" w:space="0"/>
              <w:bottom w:val="single" w:color="auto" w:sz="4" w:space="0"/>
              <w:right w:val="single" w:color="auto" w:sz="4" w:space="0"/>
            </w:tcBorders>
            <w:shd w:val="clear" w:color="auto" w:fill="auto"/>
            <w:vAlign w:val="center"/>
          </w:tcPr>
          <w:p w14:paraId="29F00C0D">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制度名称</w:t>
            </w:r>
          </w:p>
        </w:tc>
        <w:tc>
          <w:tcPr>
            <w:tcW w:w="4399" w:type="pct"/>
            <w:gridSpan w:val="8"/>
            <w:tcBorders>
              <w:top w:val="single" w:color="auto" w:sz="4" w:space="0"/>
              <w:left w:val="nil"/>
              <w:bottom w:val="single" w:color="auto" w:sz="4" w:space="0"/>
              <w:right w:val="single" w:color="auto" w:sz="4" w:space="0"/>
            </w:tcBorders>
            <w:shd w:val="clear" w:color="auto" w:fill="auto"/>
            <w:vAlign w:val="center"/>
          </w:tcPr>
          <w:p w14:paraId="790B184D">
            <w:pPr>
              <w:widowControl/>
              <w:rPr>
                <w:rFonts w:hint="eastAsia" w:ascii="宋体" w:hAnsi="宋体" w:eastAsia="宋体" w:cs="宋体"/>
                <w:b/>
                <w:bCs/>
                <w:sz w:val="20"/>
                <w:szCs w:val="20"/>
                <w:lang w:eastAsia="zh-CN"/>
              </w:rPr>
            </w:pPr>
            <w:r>
              <w:rPr>
                <w:rFonts w:hint="eastAsia" w:ascii="宋体" w:hAnsi="宋体" w:eastAsia="宋体" w:cs="宋体"/>
                <w:b/>
                <w:bCs/>
                <w:sz w:val="20"/>
                <w:szCs w:val="20"/>
                <w:lang w:eastAsia="zh-CN"/>
              </w:rPr>
              <w:t>宁津北控城市环境服务有限公司安全生产责任制度</w:t>
            </w:r>
          </w:p>
        </w:tc>
      </w:tr>
      <w:tr w14:paraId="19B23715">
        <w:tblPrEx>
          <w:tblCellMar>
            <w:top w:w="0" w:type="dxa"/>
            <w:left w:w="108" w:type="dxa"/>
            <w:bottom w:w="0" w:type="dxa"/>
            <w:right w:w="108" w:type="dxa"/>
          </w:tblCellMar>
        </w:tblPrEx>
        <w:trPr>
          <w:trHeight w:val="780" w:hRule="atLeast"/>
        </w:trPr>
        <w:tc>
          <w:tcPr>
            <w:tcW w:w="600" w:type="pct"/>
            <w:tcBorders>
              <w:top w:val="nil"/>
              <w:left w:val="single" w:color="auto" w:sz="4" w:space="0"/>
              <w:bottom w:val="single" w:color="auto" w:sz="4" w:space="0"/>
              <w:right w:val="single" w:color="auto" w:sz="4" w:space="0"/>
            </w:tcBorders>
            <w:shd w:val="clear" w:color="auto" w:fill="auto"/>
            <w:vAlign w:val="center"/>
          </w:tcPr>
          <w:p w14:paraId="3649F3BD">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制度编号</w:t>
            </w:r>
          </w:p>
        </w:tc>
        <w:tc>
          <w:tcPr>
            <w:tcW w:w="4399" w:type="pct"/>
            <w:gridSpan w:val="8"/>
            <w:tcBorders>
              <w:top w:val="single" w:color="auto" w:sz="4" w:space="0"/>
              <w:left w:val="nil"/>
              <w:bottom w:val="single" w:color="auto" w:sz="4" w:space="0"/>
              <w:right w:val="single" w:color="auto" w:sz="4" w:space="0"/>
            </w:tcBorders>
            <w:shd w:val="clear" w:color="auto" w:fill="auto"/>
            <w:vAlign w:val="center"/>
          </w:tcPr>
          <w:p w14:paraId="4E186A48">
            <w:pPr>
              <w:widowControl/>
              <w:rPr>
                <w:rFonts w:hint="eastAsia" w:ascii="宋体" w:hAnsi="宋体" w:eastAsia="宋体" w:cs="宋体"/>
                <w:sz w:val="20"/>
                <w:szCs w:val="20"/>
                <w:lang w:eastAsia="zh-CN"/>
              </w:rPr>
            </w:pPr>
            <w:r>
              <w:rPr>
                <w:rFonts w:hint="eastAsia" w:cs="黑体" w:asciiTheme="minorEastAsia" w:hAnsiTheme="minorEastAsia" w:eastAsiaTheme="minorEastAsia"/>
                <w:b/>
                <w:lang w:eastAsia="zh-CN"/>
              </w:rPr>
              <w:t>AH.0</w:t>
            </w:r>
            <w:r>
              <w:rPr>
                <w:rFonts w:hint="eastAsia" w:cs="黑体" w:asciiTheme="minorEastAsia" w:hAnsiTheme="minorEastAsia" w:eastAsiaTheme="minorEastAsia"/>
                <w:b/>
                <w:lang w:val="en-US" w:eastAsia="zh-CN"/>
              </w:rPr>
              <w:t>2</w:t>
            </w:r>
            <w:r>
              <w:rPr>
                <w:rFonts w:hint="eastAsia" w:cs="黑体" w:asciiTheme="minorEastAsia" w:hAnsiTheme="minorEastAsia" w:eastAsiaTheme="minorEastAsia"/>
                <w:b/>
                <w:lang w:eastAsia="zh-CN"/>
              </w:rPr>
              <w:t>.202</w:t>
            </w:r>
            <w:r>
              <w:rPr>
                <w:rFonts w:hint="eastAsia" w:cs="黑体" w:asciiTheme="minorEastAsia" w:hAnsiTheme="minorEastAsia" w:eastAsiaTheme="minorEastAsia"/>
                <w:b/>
                <w:lang w:val="en-US" w:eastAsia="zh-CN"/>
              </w:rPr>
              <w:t>6</w:t>
            </w:r>
            <w:r>
              <w:rPr>
                <w:rFonts w:hint="eastAsia" w:cs="黑体" w:asciiTheme="minorEastAsia" w:hAnsiTheme="minorEastAsia" w:eastAsiaTheme="minorEastAsia"/>
                <w:b/>
                <w:lang w:eastAsia="zh-CN"/>
              </w:rPr>
              <w:t>.</w:t>
            </w:r>
            <w:r>
              <w:rPr>
                <w:rFonts w:hint="eastAsia" w:cs="黑体" w:asciiTheme="minorEastAsia" w:hAnsiTheme="minorEastAsia" w:eastAsiaTheme="minorEastAsia"/>
                <w:b/>
                <w:lang w:val="en-US" w:eastAsia="zh-CN"/>
              </w:rPr>
              <w:t>2</w:t>
            </w:r>
          </w:p>
        </w:tc>
      </w:tr>
      <w:tr w14:paraId="18B443EF">
        <w:tblPrEx>
          <w:tblCellMar>
            <w:top w:w="0" w:type="dxa"/>
            <w:left w:w="108" w:type="dxa"/>
            <w:bottom w:w="0" w:type="dxa"/>
            <w:right w:w="108" w:type="dxa"/>
          </w:tblCellMar>
        </w:tblPrEx>
        <w:trPr>
          <w:trHeight w:val="780" w:hRule="atLeast"/>
        </w:trPr>
        <w:tc>
          <w:tcPr>
            <w:tcW w:w="600" w:type="pct"/>
            <w:tcBorders>
              <w:top w:val="nil"/>
              <w:left w:val="single" w:color="auto" w:sz="4" w:space="0"/>
              <w:bottom w:val="single" w:color="auto" w:sz="4" w:space="0"/>
              <w:right w:val="single" w:color="auto" w:sz="4" w:space="0"/>
            </w:tcBorders>
            <w:shd w:val="clear" w:color="auto" w:fill="auto"/>
            <w:vAlign w:val="center"/>
          </w:tcPr>
          <w:p w14:paraId="64F7DBD2">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版本</w:t>
            </w:r>
          </w:p>
        </w:tc>
        <w:tc>
          <w:tcPr>
            <w:tcW w:w="489" w:type="pct"/>
            <w:tcBorders>
              <w:top w:val="nil"/>
              <w:left w:val="nil"/>
              <w:bottom w:val="single" w:color="auto" w:sz="4" w:space="0"/>
              <w:right w:val="single" w:color="auto" w:sz="4" w:space="0"/>
            </w:tcBorders>
            <w:shd w:val="clear" w:color="auto" w:fill="auto"/>
            <w:vAlign w:val="center"/>
          </w:tcPr>
          <w:p w14:paraId="13B8F42A">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状态</w:t>
            </w:r>
          </w:p>
        </w:tc>
        <w:tc>
          <w:tcPr>
            <w:tcW w:w="741" w:type="pct"/>
            <w:tcBorders>
              <w:top w:val="nil"/>
              <w:left w:val="nil"/>
              <w:bottom w:val="single" w:color="auto" w:sz="4" w:space="0"/>
              <w:right w:val="single" w:color="auto" w:sz="4" w:space="0"/>
            </w:tcBorders>
            <w:shd w:val="clear" w:color="auto" w:fill="auto"/>
            <w:vAlign w:val="center"/>
          </w:tcPr>
          <w:p w14:paraId="397B9FD0">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实施日期</w:t>
            </w:r>
          </w:p>
        </w:tc>
        <w:tc>
          <w:tcPr>
            <w:tcW w:w="724" w:type="pct"/>
            <w:tcBorders>
              <w:top w:val="nil"/>
              <w:left w:val="nil"/>
              <w:bottom w:val="single" w:color="auto" w:sz="4" w:space="0"/>
              <w:right w:val="single" w:color="auto" w:sz="4" w:space="0"/>
            </w:tcBorders>
            <w:shd w:val="clear" w:color="auto" w:fill="auto"/>
            <w:vAlign w:val="center"/>
          </w:tcPr>
          <w:p w14:paraId="56AEBD03">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起草部门</w:t>
            </w:r>
          </w:p>
        </w:tc>
        <w:tc>
          <w:tcPr>
            <w:tcW w:w="364" w:type="pct"/>
            <w:tcBorders>
              <w:top w:val="nil"/>
              <w:left w:val="nil"/>
              <w:bottom w:val="single" w:color="auto" w:sz="4" w:space="0"/>
              <w:right w:val="single" w:color="auto" w:sz="4" w:space="0"/>
            </w:tcBorders>
            <w:shd w:val="clear" w:color="auto" w:fill="auto"/>
            <w:vAlign w:val="center"/>
          </w:tcPr>
          <w:p w14:paraId="0895FCC0">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会签</w:t>
            </w:r>
          </w:p>
          <w:p w14:paraId="7D0E115C">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部门</w:t>
            </w:r>
          </w:p>
        </w:tc>
        <w:tc>
          <w:tcPr>
            <w:tcW w:w="547" w:type="pct"/>
            <w:tcBorders>
              <w:top w:val="nil"/>
              <w:left w:val="nil"/>
              <w:bottom w:val="single" w:color="auto" w:sz="4" w:space="0"/>
              <w:right w:val="single" w:color="auto" w:sz="4" w:space="0"/>
            </w:tcBorders>
            <w:shd w:val="clear" w:color="auto" w:fill="auto"/>
            <w:vAlign w:val="center"/>
          </w:tcPr>
          <w:p w14:paraId="1FBCFECB">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主管领导审核</w:t>
            </w:r>
          </w:p>
        </w:tc>
        <w:tc>
          <w:tcPr>
            <w:tcW w:w="500" w:type="pct"/>
            <w:tcBorders>
              <w:top w:val="nil"/>
              <w:left w:val="nil"/>
              <w:bottom w:val="single" w:color="auto" w:sz="4" w:space="0"/>
              <w:right w:val="single" w:color="auto" w:sz="4" w:space="0"/>
            </w:tcBorders>
            <w:shd w:val="clear" w:color="auto" w:fill="auto"/>
            <w:vAlign w:val="center"/>
          </w:tcPr>
          <w:p w14:paraId="30877BB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审核</w:t>
            </w:r>
          </w:p>
          <w:p w14:paraId="58A1669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部门</w:t>
            </w:r>
          </w:p>
        </w:tc>
        <w:tc>
          <w:tcPr>
            <w:tcW w:w="581" w:type="pct"/>
            <w:tcBorders>
              <w:top w:val="nil"/>
              <w:left w:val="nil"/>
              <w:bottom w:val="single" w:color="auto" w:sz="4" w:space="0"/>
              <w:right w:val="single" w:color="auto" w:sz="4" w:space="0"/>
            </w:tcBorders>
            <w:shd w:val="clear" w:color="auto" w:fill="auto"/>
            <w:vAlign w:val="center"/>
          </w:tcPr>
          <w:p w14:paraId="42E932D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签发人</w:t>
            </w:r>
          </w:p>
        </w:tc>
        <w:tc>
          <w:tcPr>
            <w:tcW w:w="452" w:type="pct"/>
            <w:tcBorders>
              <w:top w:val="nil"/>
              <w:left w:val="nil"/>
              <w:bottom w:val="single" w:color="auto" w:sz="4" w:space="0"/>
              <w:right w:val="single" w:color="auto" w:sz="4" w:space="0"/>
            </w:tcBorders>
            <w:shd w:val="clear" w:color="auto" w:fill="auto"/>
            <w:vAlign w:val="center"/>
          </w:tcPr>
          <w:p w14:paraId="074FBA8C">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是否修订</w:t>
            </w:r>
          </w:p>
        </w:tc>
      </w:tr>
      <w:tr w14:paraId="17A06103">
        <w:tblPrEx>
          <w:tblCellMar>
            <w:top w:w="0" w:type="dxa"/>
            <w:left w:w="108" w:type="dxa"/>
            <w:bottom w:w="0" w:type="dxa"/>
            <w:right w:w="108" w:type="dxa"/>
          </w:tblCellMar>
        </w:tblPrEx>
        <w:trPr>
          <w:trHeight w:val="780" w:hRule="atLeast"/>
        </w:trPr>
        <w:tc>
          <w:tcPr>
            <w:tcW w:w="600" w:type="pct"/>
            <w:tcBorders>
              <w:top w:val="nil"/>
              <w:left w:val="single" w:color="auto" w:sz="4" w:space="0"/>
              <w:bottom w:val="single" w:color="auto" w:sz="4" w:space="0"/>
              <w:right w:val="single" w:color="auto" w:sz="4" w:space="0"/>
            </w:tcBorders>
            <w:shd w:val="clear" w:color="auto" w:fill="auto"/>
            <w:vAlign w:val="center"/>
          </w:tcPr>
          <w:p w14:paraId="569EEEB5">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2023</w:t>
            </w:r>
          </w:p>
        </w:tc>
        <w:tc>
          <w:tcPr>
            <w:tcW w:w="489" w:type="pct"/>
            <w:tcBorders>
              <w:top w:val="nil"/>
              <w:left w:val="nil"/>
              <w:bottom w:val="single" w:color="auto" w:sz="4" w:space="0"/>
              <w:right w:val="single" w:color="auto" w:sz="4" w:space="0"/>
            </w:tcBorders>
            <w:shd w:val="clear" w:color="auto" w:fill="auto"/>
            <w:vAlign w:val="center"/>
          </w:tcPr>
          <w:p w14:paraId="2A386927">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试用</w:t>
            </w:r>
          </w:p>
          <w:p w14:paraId="5126B703">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执行</w:t>
            </w:r>
          </w:p>
        </w:tc>
        <w:tc>
          <w:tcPr>
            <w:tcW w:w="741" w:type="pct"/>
            <w:tcBorders>
              <w:top w:val="nil"/>
              <w:left w:val="nil"/>
              <w:bottom w:val="single" w:color="auto" w:sz="4" w:space="0"/>
              <w:right w:val="single" w:color="auto" w:sz="4" w:space="0"/>
            </w:tcBorders>
            <w:shd w:val="clear" w:color="auto" w:fill="auto"/>
            <w:vAlign w:val="center"/>
          </w:tcPr>
          <w:p w14:paraId="5547D09F">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2023-06-15</w:t>
            </w:r>
          </w:p>
        </w:tc>
        <w:tc>
          <w:tcPr>
            <w:tcW w:w="724" w:type="pct"/>
            <w:tcBorders>
              <w:top w:val="nil"/>
              <w:left w:val="nil"/>
              <w:bottom w:val="single" w:color="auto" w:sz="4" w:space="0"/>
              <w:right w:val="single" w:color="auto" w:sz="4" w:space="0"/>
            </w:tcBorders>
            <w:shd w:val="clear" w:color="auto" w:fill="auto"/>
            <w:vAlign w:val="center"/>
          </w:tcPr>
          <w:p w14:paraId="3F1B3822">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安环品质部</w:t>
            </w:r>
          </w:p>
        </w:tc>
        <w:tc>
          <w:tcPr>
            <w:tcW w:w="364" w:type="pct"/>
            <w:tcBorders>
              <w:top w:val="nil"/>
              <w:left w:val="nil"/>
              <w:bottom w:val="single" w:color="auto" w:sz="4" w:space="0"/>
              <w:right w:val="single" w:color="auto" w:sz="4" w:space="0"/>
            </w:tcBorders>
            <w:shd w:val="clear" w:color="auto" w:fill="auto"/>
            <w:vAlign w:val="center"/>
          </w:tcPr>
          <w:p w14:paraId="12453810">
            <w:pPr>
              <w:widowControl/>
              <w:jc w:val="center"/>
              <w:rPr>
                <w:rFonts w:hint="eastAsia" w:ascii="宋体" w:hAnsi="宋体" w:eastAsia="宋体" w:cs="宋体"/>
                <w:sz w:val="20"/>
                <w:szCs w:val="20"/>
                <w:lang w:eastAsia="zh-CN"/>
              </w:rPr>
            </w:pPr>
          </w:p>
        </w:tc>
        <w:tc>
          <w:tcPr>
            <w:tcW w:w="547" w:type="pct"/>
            <w:tcBorders>
              <w:top w:val="nil"/>
              <w:left w:val="nil"/>
              <w:bottom w:val="single" w:color="auto" w:sz="4" w:space="0"/>
              <w:right w:val="single" w:color="auto" w:sz="4" w:space="0"/>
            </w:tcBorders>
            <w:shd w:val="clear" w:color="auto" w:fill="auto"/>
            <w:vAlign w:val="center"/>
          </w:tcPr>
          <w:p w14:paraId="04846AC6">
            <w:pPr>
              <w:widowControl/>
              <w:jc w:val="center"/>
              <w:rPr>
                <w:rFonts w:hint="eastAsia"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6700E0CE">
            <w:pPr>
              <w:widowControl/>
              <w:jc w:val="center"/>
              <w:rPr>
                <w:rFonts w:hint="eastAsia"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27BD257D">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尹善英</w:t>
            </w:r>
          </w:p>
        </w:tc>
        <w:tc>
          <w:tcPr>
            <w:tcW w:w="452" w:type="pct"/>
            <w:tcBorders>
              <w:top w:val="nil"/>
              <w:left w:val="nil"/>
              <w:bottom w:val="single" w:color="auto" w:sz="4" w:space="0"/>
              <w:right w:val="single" w:color="auto" w:sz="4" w:space="0"/>
            </w:tcBorders>
            <w:shd w:val="clear" w:color="auto" w:fill="auto"/>
            <w:vAlign w:val="center"/>
          </w:tcPr>
          <w:p w14:paraId="1E540068">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否</w:t>
            </w:r>
          </w:p>
        </w:tc>
      </w:tr>
      <w:tr w14:paraId="44927C3D">
        <w:tblPrEx>
          <w:tblCellMar>
            <w:top w:w="0" w:type="dxa"/>
            <w:left w:w="108" w:type="dxa"/>
            <w:bottom w:w="0" w:type="dxa"/>
            <w:right w:w="108" w:type="dxa"/>
          </w:tblCellMar>
        </w:tblPrEx>
        <w:trPr>
          <w:trHeight w:val="780" w:hRule="atLeast"/>
        </w:trPr>
        <w:tc>
          <w:tcPr>
            <w:tcW w:w="600" w:type="pct"/>
            <w:tcBorders>
              <w:top w:val="nil"/>
              <w:left w:val="single" w:color="auto" w:sz="4" w:space="0"/>
              <w:bottom w:val="single" w:color="auto" w:sz="4" w:space="0"/>
              <w:right w:val="single" w:color="auto" w:sz="4" w:space="0"/>
            </w:tcBorders>
            <w:shd w:val="clear" w:color="auto" w:fill="auto"/>
            <w:vAlign w:val="center"/>
          </w:tcPr>
          <w:p w14:paraId="32FC19A3">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2024</w:t>
            </w:r>
          </w:p>
        </w:tc>
        <w:tc>
          <w:tcPr>
            <w:tcW w:w="489" w:type="pct"/>
            <w:tcBorders>
              <w:top w:val="nil"/>
              <w:left w:val="nil"/>
              <w:bottom w:val="single" w:color="auto" w:sz="4" w:space="0"/>
              <w:right w:val="single" w:color="auto" w:sz="4" w:space="0"/>
            </w:tcBorders>
            <w:shd w:val="clear" w:color="auto" w:fill="auto"/>
            <w:vAlign w:val="center"/>
          </w:tcPr>
          <w:p w14:paraId="7380E106">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修订执行</w:t>
            </w:r>
          </w:p>
        </w:tc>
        <w:tc>
          <w:tcPr>
            <w:tcW w:w="741" w:type="pct"/>
            <w:tcBorders>
              <w:top w:val="nil"/>
              <w:left w:val="nil"/>
              <w:bottom w:val="single" w:color="auto" w:sz="4" w:space="0"/>
              <w:right w:val="single" w:color="auto" w:sz="4" w:space="0"/>
            </w:tcBorders>
            <w:shd w:val="clear" w:color="auto" w:fill="auto"/>
            <w:vAlign w:val="center"/>
          </w:tcPr>
          <w:p w14:paraId="6952E545">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2024-11-10</w:t>
            </w:r>
          </w:p>
        </w:tc>
        <w:tc>
          <w:tcPr>
            <w:tcW w:w="724" w:type="pct"/>
            <w:tcBorders>
              <w:top w:val="nil"/>
              <w:left w:val="nil"/>
              <w:bottom w:val="single" w:color="auto" w:sz="4" w:space="0"/>
              <w:right w:val="single" w:color="auto" w:sz="4" w:space="0"/>
            </w:tcBorders>
            <w:shd w:val="clear" w:color="auto" w:fill="auto"/>
            <w:vAlign w:val="center"/>
          </w:tcPr>
          <w:p w14:paraId="1E6B9213">
            <w:pPr>
              <w:widowControl/>
              <w:jc w:val="center"/>
              <w:rPr>
                <w:rFonts w:hint="eastAsia" w:ascii="宋体" w:hAnsi="宋体" w:eastAsia="宋体" w:cs="宋体"/>
                <w:sz w:val="20"/>
                <w:szCs w:val="20"/>
                <w:lang w:val="en-US" w:eastAsia="zh-CN" w:bidi="ar-SA"/>
              </w:rPr>
            </w:pPr>
            <w:r>
              <w:rPr>
                <w:rFonts w:hint="eastAsia" w:ascii="宋体" w:hAnsi="宋体" w:eastAsia="宋体" w:cs="宋体"/>
                <w:sz w:val="20"/>
                <w:szCs w:val="20"/>
                <w:lang w:eastAsia="zh-CN"/>
              </w:rPr>
              <w:t>安环品质部</w:t>
            </w:r>
          </w:p>
        </w:tc>
        <w:tc>
          <w:tcPr>
            <w:tcW w:w="364" w:type="pct"/>
            <w:tcBorders>
              <w:top w:val="nil"/>
              <w:left w:val="nil"/>
              <w:bottom w:val="single" w:color="auto" w:sz="4" w:space="0"/>
              <w:right w:val="single" w:color="auto" w:sz="4" w:space="0"/>
            </w:tcBorders>
            <w:shd w:val="clear" w:color="auto" w:fill="auto"/>
            <w:vAlign w:val="center"/>
          </w:tcPr>
          <w:p w14:paraId="62E0519F">
            <w:pPr>
              <w:widowControl/>
              <w:jc w:val="center"/>
              <w:rPr>
                <w:rFonts w:hint="eastAsia" w:ascii="宋体" w:hAnsi="宋体" w:eastAsia="宋体" w:cs="宋体"/>
                <w:sz w:val="20"/>
                <w:szCs w:val="20"/>
                <w:lang w:eastAsia="zh-CN"/>
              </w:rPr>
            </w:pPr>
          </w:p>
        </w:tc>
        <w:tc>
          <w:tcPr>
            <w:tcW w:w="547" w:type="pct"/>
            <w:tcBorders>
              <w:top w:val="nil"/>
              <w:left w:val="nil"/>
              <w:bottom w:val="single" w:color="auto" w:sz="4" w:space="0"/>
              <w:right w:val="single" w:color="auto" w:sz="4" w:space="0"/>
            </w:tcBorders>
            <w:shd w:val="clear" w:color="auto" w:fill="auto"/>
            <w:vAlign w:val="center"/>
          </w:tcPr>
          <w:p w14:paraId="52DF848E">
            <w:pPr>
              <w:widowControl/>
              <w:jc w:val="center"/>
              <w:rPr>
                <w:rFonts w:hint="eastAsia"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32561D53">
            <w:pPr>
              <w:widowControl/>
              <w:jc w:val="center"/>
              <w:rPr>
                <w:rFonts w:hint="eastAsia"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6E74AABA">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黄殿兴</w:t>
            </w:r>
          </w:p>
        </w:tc>
        <w:tc>
          <w:tcPr>
            <w:tcW w:w="452" w:type="pct"/>
            <w:tcBorders>
              <w:top w:val="nil"/>
              <w:left w:val="nil"/>
              <w:bottom w:val="single" w:color="auto" w:sz="4" w:space="0"/>
              <w:right w:val="single" w:color="auto" w:sz="4" w:space="0"/>
            </w:tcBorders>
            <w:shd w:val="clear" w:color="auto" w:fill="auto"/>
            <w:vAlign w:val="center"/>
          </w:tcPr>
          <w:p w14:paraId="292B316D">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是</w:t>
            </w:r>
          </w:p>
        </w:tc>
      </w:tr>
      <w:tr w14:paraId="5CDA346F">
        <w:tblPrEx>
          <w:tblCellMar>
            <w:top w:w="0" w:type="dxa"/>
            <w:left w:w="108" w:type="dxa"/>
            <w:bottom w:w="0" w:type="dxa"/>
            <w:right w:w="108" w:type="dxa"/>
          </w:tblCellMar>
        </w:tblPrEx>
        <w:trPr>
          <w:trHeight w:val="780" w:hRule="atLeast"/>
        </w:trPr>
        <w:tc>
          <w:tcPr>
            <w:tcW w:w="600" w:type="pct"/>
            <w:tcBorders>
              <w:top w:val="nil"/>
              <w:left w:val="single" w:color="auto" w:sz="4" w:space="0"/>
              <w:bottom w:val="single" w:color="auto" w:sz="4" w:space="0"/>
              <w:right w:val="single" w:color="auto" w:sz="4" w:space="0"/>
            </w:tcBorders>
            <w:shd w:val="clear" w:color="auto" w:fill="auto"/>
            <w:vAlign w:val="center"/>
          </w:tcPr>
          <w:p w14:paraId="4B2F8135">
            <w:pPr>
              <w:widowControl/>
              <w:jc w:val="center"/>
              <w:rPr>
                <w:rFonts w:hint="eastAsia" w:ascii="宋体" w:hAnsi="宋体" w:eastAsia="宋体" w:cs="宋体"/>
                <w:sz w:val="20"/>
                <w:szCs w:val="20"/>
                <w:lang w:val="en-US" w:eastAsia="zh-CN" w:bidi="ar-SA"/>
              </w:rPr>
            </w:pPr>
            <w:r>
              <w:rPr>
                <w:rFonts w:hint="eastAsia" w:ascii="宋体" w:hAnsi="宋体" w:eastAsia="宋体" w:cs="宋体"/>
                <w:sz w:val="20"/>
                <w:szCs w:val="20"/>
                <w:lang w:val="en-US" w:eastAsia="zh-CN"/>
              </w:rPr>
              <w:t>2026</w:t>
            </w:r>
          </w:p>
        </w:tc>
        <w:tc>
          <w:tcPr>
            <w:tcW w:w="489" w:type="pct"/>
            <w:tcBorders>
              <w:top w:val="nil"/>
              <w:left w:val="nil"/>
              <w:bottom w:val="single" w:color="auto" w:sz="4" w:space="0"/>
              <w:right w:val="single" w:color="auto" w:sz="4" w:space="0"/>
            </w:tcBorders>
            <w:shd w:val="clear" w:color="auto" w:fill="auto"/>
            <w:vAlign w:val="center"/>
          </w:tcPr>
          <w:p w14:paraId="28969170">
            <w:pPr>
              <w:widowControl/>
              <w:jc w:val="center"/>
              <w:rPr>
                <w:rFonts w:hint="eastAsia" w:ascii="宋体" w:hAnsi="宋体" w:eastAsia="宋体" w:cs="宋体"/>
                <w:sz w:val="20"/>
                <w:szCs w:val="20"/>
                <w:lang w:val="en-US" w:eastAsia="zh-CN" w:bidi="ar-SA"/>
              </w:rPr>
            </w:pPr>
            <w:r>
              <w:rPr>
                <w:rFonts w:hint="eastAsia" w:ascii="宋体" w:hAnsi="宋体" w:eastAsia="宋体" w:cs="宋体"/>
                <w:sz w:val="20"/>
                <w:szCs w:val="20"/>
                <w:lang w:val="en-US" w:eastAsia="zh-CN"/>
              </w:rPr>
              <w:t>修订执行</w:t>
            </w:r>
          </w:p>
        </w:tc>
        <w:tc>
          <w:tcPr>
            <w:tcW w:w="741" w:type="pct"/>
            <w:tcBorders>
              <w:top w:val="nil"/>
              <w:left w:val="nil"/>
              <w:bottom w:val="single" w:color="auto" w:sz="4" w:space="0"/>
              <w:right w:val="single" w:color="auto" w:sz="4" w:space="0"/>
            </w:tcBorders>
            <w:shd w:val="clear" w:color="auto" w:fill="auto"/>
            <w:vAlign w:val="center"/>
          </w:tcPr>
          <w:p w14:paraId="6320B9CC">
            <w:pPr>
              <w:widowControl/>
              <w:jc w:val="center"/>
              <w:rPr>
                <w:rFonts w:hint="eastAsia" w:ascii="宋体" w:hAnsi="宋体" w:eastAsia="宋体" w:cs="宋体"/>
                <w:sz w:val="20"/>
                <w:szCs w:val="20"/>
                <w:lang w:val="en-US" w:eastAsia="zh-CN" w:bidi="ar-SA"/>
              </w:rPr>
            </w:pPr>
            <w:r>
              <w:rPr>
                <w:rFonts w:hint="eastAsia" w:ascii="宋体" w:hAnsi="宋体" w:eastAsia="宋体" w:cs="宋体"/>
                <w:sz w:val="20"/>
                <w:szCs w:val="20"/>
                <w:lang w:val="en-US" w:eastAsia="zh-CN"/>
              </w:rPr>
              <w:t>2026-05-10</w:t>
            </w:r>
          </w:p>
        </w:tc>
        <w:tc>
          <w:tcPr>
            <w:tcW w:w="724" w:type="pct"/>
            <w:tcBorders>
              <w:top w:val="nil"/>
              <w:left w:val="nil"/>
              <w:bottom w:val="single" w:color="auto" w:sz="4" w:space="0"/>
              <w:right w:val="single" w:color="auto" w:sz="4" w:space="0"/>
            </w:tcBorders>
            <w:shd w:val="clear" w:color="auto" w:fill="auto"/>
            <w:vAlign w:val="center"/>
          </w:tcPr>
          <w:p w14:paraId="231D0683">
            <w:pPr>
              <w:widowControl/>
              <w:jc w:val="center"/>
              <w:rPr>
                <w:rFonts w:hint="default" w:ascii="宋体" w:hAnsi="宋体" w:eastAsia="宋体" w:cs="宋体"/>
                <w:sz w:val="20"/>
                <w:szCs w:val="20"/>
                <w:lang w:val="en-US" w:eastAsia="zh-CN" w:bidi="ar-SA"/>
              </w:rPr>
            </w:pPr>
            <w:r>
              <w:rPr>
                <w:rFonts w:hint="eastAsia" w:ascii="宋体" w:hAnsi="宋体" w:eastAsia="宋体" w:cs="宋体"/>
                <w:sz w:val="20"/>
                <w:szCs w:val="20"/>
                <w:lang w:val="en-US" w:eastAsia="zh-CN"/>
              </w:rPr>
              <w:t>安环管理部</w:t>
            </w:r>
          </w:p>
        </w:tc>
        <w:tc>
          <w:tcPr>
            <w:tcW w:w="364" w:type="pct"/>
            <w:tcBorders>
              <w:top w:val="nil"/>
              <w:left w:val="nil"/>
              <w:bottom w:val="single" w:color="auto" w:sz="4" w:space="0"/>
              <w:right w:val="single" w:color="auto" w:sz="4" w:space="0"/>
            </w:tcBorders>
            <w:shd w:val="clear" w:color="auto" w:fill="auto"/>
            <w:vAlign w:val="center"/>
          </w:tcPr>
          <w:p w14:paraId="1F491874">
            <w:pPr>
              <w:widowControl/>
              <w:jc w:val="center"/>
              <w:rPr>
                <w:rFonts w:hint="eastAsia" w:ascii="宋体" w:hAnsi="宋体" w:eastAsia="宋体" w:cs="宋体"/>
                <w:sz w:val="20"/>
                <w:szCs w:val="20"/>
                <w:lang w:val="en-US" w:eastAsia="zh-CN" w:bidi="ar-SA"/>
              </w:rPr>
            </w:pPr>
          </w:p>
        </w:tc>
        <w:tc>
          <w:tcPr>
            <w:tcW w:w="547" w:type="pct"/>
            <w:tcBorders>
              <w:top w:val="nil"/>
              <w:left w:val="nil"/>
              <w:bottom w:val="single" w:color="auto" w:sz="4" w:space="0"/>
              <w:right w:val="single" w:color="auto" w:sz="4" w:space="0"/>
            </w:tcBorders>
            <w:shd w:val="clear" w:color="auto" w:fill="auto"/>
            <w:vAlign w:val="center"/>
          </w:tcPr>
          <w:p w14:paraId="56E80ADB">
            <w:pPr>
              <w:widowControl/>
              <w:jc w:val="center"/>
              <w:rPr>
                <w:rFonts w:hint="eastAsia" w:ascii="宋体" w:hAnsi="宋体" w:eastAsia="宋体" w:cs="宋体"/>
                <w:sz w:val="20"/>
                <w:szCs w:val="20"/>
                <w:lang w:val="en-US" w:eastAsia="zh-CN" w:bidi="ar-SA"/>
              </w:rPr>
            </w:pPr>
          </w:p>
        </w:tc>
        <w:tc>
          <w:tcPr>
            <w:tcW w:w="500" w:type="pct"/>
            <w:tcBorders>
              <w:top w:val="nil"/>
              <w:left w:val="nil"/>
              <w:bottom w:val="single" w:color="auto" w:sz="4" w:space="0"/>
              <w:right w:val="single" w:color="auto" w:sz="4" w:space="0"/>
            </w:tcBorders>
            <w:shd w:val="clear" w:color="auto" w:fill="auto"/>
            <w:vAlign w:val="center"/>
          </w:tcPr>
          <w:p w14:paraId="39D2A49D">
            <w:pPr>
              <w:widowControl/>
              <w:jc w:val="center"/>
              <w:rPr>
                <w:rFonts w:hint="eastAsia" w:ascii="宋体" w:hAnsi="宋体" w:eastAsia="宋体" w:cs="宋体"/>
                <w:sz w:val="20"/>
                <w:szCs w:val="20"/>
                <w:lang w:val="en-US" w:eastAsia="zh-CN" w:bidi="ar-SA"/>
              </w:rPr>
            </w:pPr>
          </w:p>
        </w:tc>
        <w:tc>
          <w:tcPr>
            <w:tcW w:w="581" w:type="pct"/>
            <w:tcBorders>
              <w:top w:val="nil"/>
              <w:left w:val="nil"/>
              <w:bottom w:val="single" w:color="auto" w:sz="4" w:space="0"/>
              <w:right w:val="single" w:color="auto" w:sz="4" w:space="0"/>
            </w:tcBorders>
            <w:shd w:val="clear" w:color="auto" w:fill="auto"/>
            <w:vAlign w:val="center"/>
          </w:tcPr>
          <w:p w14:paraId="60FDF040">
            <w:pPr>
              <w:widowControl/>
              <w:jc w:val="center"/>
              <w:rPr>
                <w:rFonts w:hint="eastAsia" w:ascii="宋体" w:hAnsi="宋体" w:eastAsia="宋体" w:cs="宋体"/>
                <w:sz w:val="20"/>
                <w:szCs w:val="20"/>
                <w:lang w:val="en-US" w:eastAsia="zh-CN" w:bidi="ar-SA"/>
              </w:rPr>
            </w:pPr>
            <w:r>
              <w:rPr>
                <w:rFonts w:hint="eastAsia" w:ascii="宋体" w:hAnsi="宋体" w:eastAsia="宋体" w:cs="宋体"/>
                <w:sz w:val="20"/>
                <w:szCs w:val="20"/>
                <w:lang w:val="en-US" w:eastAsia="zh-CN"/>
              </w:rPr>
              <w:t>黄殿兴</w:t>
            </w:r>
          </w:p>
        </w:tc>
        <w:tc>
          <w:tcPr>
            <w:tcW w:w="452" w:type="pct"/>
            <w:tcBorders>
              <w:top w:val="nil"/>
              <w:left w:val="nil"/>
              <w:bottom w:val="single" w:color="auto" w:sz="4" w:space="0"/>
              <w:right w:val="single" w:color="auto" w:sz="4" w:space="0"/>
            </w:tcBorders>
            <w:shd w:val="clear" w:color="auto" w:fill="auto"/>
            <w:vAlign w:val="center"/>
          </w:tcPr>
          <w:p w14:paraId="479E6E34">
            <w:pPr>
              <w:widowControl/>
              <w:jc w:val="center"/>
              <w:rPr>
                <w:rFonts w:hint="eastAsia" w:ascii="宋体" w:hAnsi="宋体" w:eastAsia="宋体" w:cs="宋体"/>
                <w:sz w:val="20"/>
                <w:szCs w:val="20"/>
                <w:lang w:val="en-US" w:eastAsia="zh-CN" w:bidi="ar-SA"/>
              </w:rPr>
            </w:pPr>
            <w:r>
              <w:rPr>
                <w:rFonts w:hint="eastAsia" w:ascii="宋体" w:hAnsi="宋体" w:eastAsia="宋体" w:cs="宋体"/>
                <w:sz w:val="20"/>
                <w:szCs w:val="20"/>
                <w:lang w:val="en-US" w:eastAsia="zh-CN"/>
              </w:rPr>
              <w:t>是</w:t>
            </w:r>
          </w:p>
        </w:tc>
      </w:tr>
      <w:tr w14:paraId="0ED66F0B">
        <w:tblPrEx>
          <w:tblCellMar>
            <w:top w:w="0" w:type="dxa"/>
            <w:left w:w="108" w:type="dxa"/>
            <w:bottom w:w="0" w:type="dxa"/>
            <w:right w:w="108" w:type="dxa"/>
          </w:tblCellMar>
        </w:tblPrEx>
        <w:trPr>
          <w:trHeight w:val="4980" w:hRule="atLeast"/>
        </w:trPr>
        <w:tc>
          <w:tcPr>
            <w:tcW w:w="600" w:type="pct"/>
            <w:tcBorders>
              <w:top w:val="nil"/>
              <w:left w:val="single" w:color="auto" w:sz="4" w:space="0"/>
              <w:bottom w:val="single" w:color="auto" w:sz="4" w:space="0"/>
              <w:right w:val="single" w:color="auto" w:sz="4" w:space="0"/>
            </w:tcBorders>
            <w:shd w:val="clear" w:color="auto" w:fill="auto"/>
            <w:vAlign w:val="center"/>
          </w:tcPr>
          <w:p w14:paraId="7EB671A6">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此</w:t>
            </w:r>
          </w:p>
          <w:p w14:paraId="3832EB09">
            <w:pPr>
              <w:widowControl/>
              <w:jc w:val="center"/>
              <w:rPr>
                <w:rFonts w:hint="eastAsia" w:ascii="宋体" w:hAnsi="宋体" w:eastAsia="宋体" w:cs="宋体"/>
                <w:sz w:val="20"/>
                <w:szCs w:val="20"/>
                <w:lang w:eastAsia="zh-CN"/>
              </w:rPr>
            </w:pPr>
          </w:p>
          <w:p w14:paraId="146F8A52">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次</w:t>
            </w:r>
          </w:p>
          <w:p w14:paraId="161A1B4C">
            <w:pPr>
              <w:widowControl/>
              <w:jc w:val="center"/>
              <w:rPr>
                <w:rFonts w:hint="eastAsia" w:ascii="宋体" w:hAnsi="宋体" w:eastAsia="宋体" w:cs="宋体"/>
                <w:sz w:val="20"/>
                <w:szCs w:val="20"/>
                <w:lang w:eastAsia="zh-CN"/>
              </w:rPr>
            </w:pPr>
          </w:p>
          <w:p w14:paraId="0295EC3C">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修</w:t>
            </w:r>
          </w:p>
          <w:p w14:paraId="4C94610F">
            <w:pPr>
              <w:widowControl/>
              <w:jc w:val="center"/>
              <w:rPr>
                <w:rFonts w:hint="eastAsia" w:ascii="宋体" w:hAnsi="宋体" w:eastAsia="宋体" w:cs="宋体"/>
                <w:sz w:val="20"/>
                <w:szCs w:val="20"/>
                <w:lang w:eastAsia="zh-CN"/>
              </w:rPr>
            </w:pPr>
          </w:p>
          <w:p w14:paraId="735C5D2E">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改</w:t>
            </w:r>
          </w:p>
          <w:p w14:paraId="396FB1A9">
            <w:pPr>
              <w:widowControl/>
              <w:jc w:val="center"/>
              <w:rPr>
                <w:rFonts w:hint="eastAsia" w:ascii="宋体" w:hAnsi="宋体" w:eastAsia="宋体" w:cs="宋体"/>
                <w:sz w:val="20"/>
                <w:szCs w:val="20"/>
                <w:lang w:eastAsia="zh-CN"/>
              </w:rPr>
            </w:pPr>
          </w:p>
          <w:p w14:paraId="0CFF754B">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的</w:t>
            </w:r>
          </w:p>
          <w:p w14:paraId="3F436A01">
            <w:pPr>
              <w:widowControl/>
              <w:jc w:val="center"/>
              <w:rPr>
                <w:rFonts w:hint="eastAsia" w:ascii="宋体" w:hAnsi="宋体" w:eastAsia="宋体" w:cs="宋体"/>
                <w:sz w:val="20"/>
                <w:szCs w:val="20"/>
                <w:lang w:eastAsia="zh-CN"/>
              </w:rPr>
            </w:pPr>
          </w:p>
          <w:p w14:paraId="1846853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主</w:t>
            </w:r>
          </w:p>
          <w:p w14:paraId="6470D163">
            <w:pPr>
              <w:widowControl/>
              <w:jc w:val="center"/>
              <w:rPr>
                <w:rFonts w:hint="eastAsia" w:ascii="宋体" w:hAnsi="宋体" w:eastAsia="宋体" w:cs="宋体"/>
                <w:sz w:val="20"/>
                <w:szCs w:val="20"/>
                <w:lang w:eastAsia="zh-CN"/>
              </w:rPr>
            </w:pPr>
          </w:p>
          <w:p w14:paraId="571DB75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要</w:t>
            </w:r>
          </w:p>
          <w:p w14:paraId="2A0EEEBA">
            <w:pPr>
              <w:widowControl/>
              <w:jc w:val="center"/>
              <w:rPr>
                <w:rFonts w:hint="eastAsia" w:ascii="宋体" w:hAnsi="宋体" w:eastAsia="宋体" w:cs="宋体"/>
                <w:sz w:val="20"/>
                <w:szCs w:val="20"/>
                <w:lang w:eastAsia="zh-CN"/>
              </w:rPr>
            </w:pPr>
          </w:p>
          <w:p w14:paraId="19E92DEA">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内</w:t>
            </w:r>
          </w:p>
          <w:p w14:paraId="21932368">
            <w:pPr>
              <w:widowControl/>
              <w:jc w:val="center"/>
              <w:rPr>
                <w:rFonts w:hint="eastAsia" w:ascii="宋体" w:hAnsi="宋体" w:eastAsia="宋体" w:cs="宋体"/>
                <w:sz w:val="20"/>
                <w:szCs w:val="20"/>
                <w:lang w:eastAsia="zh-CN"/>
              </w:rPr>
            </w:pPr>
          </w:p>
          <w:p w14:paraId="24C20581">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容</w:t>
            </w:r>
          </w:p>
        </w:tc>
        <w:tc>
          <w:tcPr>
            <w:tcW w:w="4399" w:type="pct"/>
            <w:gridSpan w:val="8"/>
            <w:tcBorders>
              <w:top w:val="single" w:color="auto" w:sz="4" w:space="0"/>
              <w:left w:val="nil"/>
              <w:bottom w:val="single" w:color="auto" w:sz="4" w:space="0"/>
              <w:right w:val="single" w:color="auto" w:sz="4" w:space="0"/>
            </w:tcBorders>
            <w:shd w:val="clear" w:color="auto" w:fill="auto"/>
            <w:vAlign w:val="center"/>
          </w:tcPr>
          <w:p w14:paraId="4259EC99">
            <w:pPr>
              <w:widowControl/>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本次变更主要内容：</w:t>
            </w:r>
          </w:p>
          <w:p w14:paraId="372BB3A9">
            <w:pPr>
              <w:widowControl/>
              <w:numPr>
                <w:ilvl w:val="0"/>
                <w:numId w:val="0"/>
              </w:numPr>
              <w:rPr>
                <w:rFonts w:hint="default" w:ascii="宋体" w:hAnsi="宋体" w:eastAsia="宋体" w:cs="宋体"/>
                <w:sz w:val="20"/>
                <w:szCs w:val="20"/>
                <w:lang w:val="en-US" w:eastAsia="zh-CN"/>
              </w:rPr>
            </w:pPr>
          </w:p>
        </w:tc>
      </w:tr>
      <w:tr w14:paraId="17F8F58F">
        <w:tblPrEx>
          <w:tblCellMar>
            <w:top w:w="0" w:type="dxa"/>
            <w:left w:w="108" w:type="dxa"/>
            <w:bottom w:w="0" w:type="dxa"/>
            <w:right w:w="108" w:type="dxa"/>
          </w:tblCellMar>
        </w:tblPrEx>
        <w:trPr>
          <w:trHeight w:val="700" w:hRule="atLeast"/>
        </w:trPr>
        <w:tc>
          <w:tcPr>
            <w:tcW w:w="600" w:type="pct"/>
            <w:tcBorders>
              <w:top w:val="nil"/>
              <w:left w:val="single" w:color="auto" w:sz="4" w:space="0"/>
              <w:bottom w:val="single" w:color="auto" w:sz="4" w:space="0"/>
              <w:right w:val="single" w:color="auto" w:sz="4" w:space="0"/>
            </w:tcBorders>
            <w:shd w:val="clear" w:color="auto" w:fill="auto"/>
            <w:vAlign w:val="center"/>
          </w:tcPr>
          <w:p w14:paraId="536EBB15">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解释部门</w:t>
            </w:r>
          </w:p>
        </w:tc>
        <w:tc>
          <w:tcPr>
            <w:tcW w:w="4399" w:type="pct"/>
            <w:gridSpan w:val="8"/>
            <w:tcBorders>
              <w:top w:val="single" w:color="auto" w:sz="4" w:space="0"/>
              <w:left w:val="nil"/>
              <w:bottom w:val="single" w:color="auto" w:sz="4" w:space="0"/>
              <w:right w:val="single" w:color="auto" w:sz="4" w:space="0"/>
            </w:tcBorders>
            <w:shd w:val="clear" w:color="auto" w:fill="auto"/>
            <w:vAlign w:val="center"/>
          </w:tcPr>
          <w:p w14:paraId="5A0BF669">
            <w:pPr>
              <w:widowControl/>
              <w:rPr>
                <w:rFonts w:hint="eastAsia" w:ascii="宋体" w:hAnsi="宋体" w:eastAsia="宋体" w:cs="宋体"/>
                <w:sz w:val="20"/>
                <w:szCs w:val="20"/>
                <w:lang w:eastAsia="zh-CN"/>
              </w:rPr>
            </w:pPr>
            <w:r>
              <w:rPr>
                <w:rFonts w:hint="eastAsia" w:ascii="宋体" w:hAnsi="宋体" w:eastAsia="宋体" w:cs="宋体"/>
                <w:sz w:val="20"/>
                <w:szCs w:val="20"/>
                <w:lang w:val="en-US" w:eastAsia="zh-CN"/>
              </w:rPr>
              <w:t>安环管理部</w:t>
            </w:r>
          </w:p>
        </w:tc>
      </w:tr>
    </w:tbl>
    <w:p w14:paraId="619C90EE"/>
    <w:p w14:paraId="34A8DC9E">
      <w:pPr>
        <w:sectPr>
          <w:pgSz w:w="11910" w:h="16840"/>
          <w:pgMar w:top="1440" w:right="1800" w:bottom="1440" w:left="1800" w:header="820" w:footer="0" w:gutter="0"/>
          <w:cols w:space="720" w:num="1"/>
          <w:docGrid w:linePitch="299" w:charSpace="0"/>
        </w:sectPr>
      </w:pPr>
    </w:p>
    <w:p w14:paraId="7A9D73C7"/>
    <w:sdt>
      <w:sdtPr>
        <w:rPr>
          <w:rFonts w:ascii="宋体" w:hAnsi="宋体" w:eastAsia="宋体"/>
          <w:sz w:val="21"/>
        </w:rPr>
        <w:id w:val="147469990"/>
        <w15:color w:val="DBDBDB"/>
        <w:docPartObj>
          <w:docPartGallery w:val="Table of Contents"/>
          <w:docPartUnique/>
        </w:docPartObj>
      </w:sdtPr>
      <w:sdtEndPr>
        <w:rPr>
          <w:rFonts w:ascii="宋体" w:hAnsi="宋体" w:eastAsia="宋体"/>
          <w:sz w:val="21"/>
        </w:rPr>
      </w:sdtEndPr>
      <w:sdtContent>
        <w:p w14:paraId="056F8E43">
          <w:pPr>
            <w:jc w:val="center"/>
            <w:rPr>
              <w:rFonts w:hint="eastAsia" w:ascii="仿宋" w:hAnsi="仿宋" w:eastAsia="仿宋"/>
              <w:b/>
              <w:bCs/>
              <w:sz w:val="40"/>
              <w:szCs w:val="40"/>
            </w:rPr>
          </w:pPr>
          <w:r>
            <w:rPr>
              <w:rFonts w:ascii="仿宋" w:hAnsi="仿宋" w:eastAsia="仿宋"/>
              <w:b/>
              <w:bCs/>
              <w:sz w:val="36"/>
              <w:szCs w:val="40"/>
            </w:rPr>
            <w:t>目录</w:t>
          </w:r>
        </w:p>
        <w:p w14:paraId="23B14249">
          <w:pPr>
            <w:pStyle w:val="15"/>
            <w:tabs>
              <w:tab w:val="right" w:leader="dot" w:pos="8310"/>
            </w:tabs>
          </w:pPr>
          <w:r>
            <w:rPr>
              <w:rFonts w:ascii="Times New Roman" w:hAnsi="Times New Roman" w:eastAsia="宋体" w:cs="Times New Roman"/>
              <w:lang w:eastAsia="zh-CN"/>
            </w:rPr>
            <w:fldChar w:fldCharType="begin"/>
          </w:r>
          <w:r>
            <w:instrText xml:space="preserve">TOC \o "1-1" \h \u </w:instrText>
          </w:r>
          <w:r>
            <w:rPr>
              <w:rFonts w:ascii="Times New Roman" w:hAnsi="Times New Roman" w:eastAsia="宋体" w:cs="Times New Roman"/>
              <w:lang w:eastAsia="zh-CN"/>
            </w:rPr>
            <w:fldChar w:fldCharType="separate"/>
          </w:r>
          <w:r>
            <w:fldChar w:fldCharType="begin"/>
          </w:r>
          <w:r>
            <w:instrText xml:space="preserve"> HYPERLINK \l "_Toc16986" </w:instrText>
          </w:r>
          <w:r>
            <w:fldChar w:fldCharType="separate"/>
          </w:r>
          <w:r>
            <w:rPr>
              <w:rFonts w:ascii="仿宋" w:hAnsi="仿宋" w:eastAsia="仿宋" w:cs="仿宋"/>
              <w:szCs w:val="32"/>
              <w:lang w:eastAsia="zh-CN"/>
            </w:rPr>
            <w:t xml:space="preserve">1 </w:t>
          </w:r>
          <w:r>
            <w:rPr>
              <w:rFonts w:hint="eastAsia" w:ascii="仿宋" w:hAnsi="仿宋" w:eastAsia="仿宋" w:cs="仿宋"/>
              <w:szCs w:val="32"/>
              <w:lang w:eastAsia="zh-CN"/>
            </w:rPr>
            <w:t>总 则</w:t>
          </w:r>
          <w:r>
            <w:tab/>
          </w:r>
          <w:r>
            <w:fldChar w:fldCharType="begin"/>
          </w:r>
          <w:r>
            <w:instrText xml:space="preserve"> PAGEREF _Toc16986 \h </w:instrText>
          </w:r>
          <w:r>
            <w:fldChar w:fldCharType="separate"/>
          </w:r>
          <w:r>
            <w:t>3</w:t>
          </w:r>
          <w:r>
            <w:fldChar w:fldCharType="end"/>
          </w:r>
          <w:r>
            <w:fldChar w:fldCharType="end"/>
          </w:r>
        </w:p>
        <w:p w14:paraId="6248A8DC">
          <w:pPr>
            <w:pStyle w:val="15"/>
            <w:tabs>
              <w:tab w:val="right" w:leader="dot" w:pos="8310"/>
            </w:tabs>
          </w:pPr>
          <w:r>
            <w:fldChar w:fldCharType="begin"/>
          </w:r>
          <w:r>
            <w:instrText xml:space="preserve"> HYPERLINK \l "_Toc31132" </w:instrText>
          </w:r>
          <w:r>
            <w:fldChar w:fldCharType="separate"/>
          </w:r>
          <w:r>
            <w:rPr>
              <w:rFonts w:ascii="仿宋" w:hAnsi="仿宋" w:eastAsia="仿宋" w:cs="仿宋"/>
              <w:szCs w:val="32"/>
              <w:lang w:eastAsia="zh-CN"/>
            </w:rPr>
            <w:t xml:space="preserve">2 </w:t>
          </w:r>
          <w:r>
            <w:rPr>
              <w:rFonts w:hint="eastAsia" w:ascii="仿宋" w:hAnsi="仿宋" w:eastAsia="仿宋" w:cs="仿宋"/>
              <w:szCs w:val="32"/>
              <w:lang w:eastAsia="zh-CN"/>
            </w:rPr>
            <w:t>公司各部门安全职责</w:t>
          </w:r>
          <w:r>
            <w:tab/>
          </w:r>
          <w:r>
            <w:fldChar w:fldCharType="begin"/>
          </w:r>
          <w:r>
            <w:instrText xml:space="preserve"> PAGEREF _Toc31132 \h </w:instrText>
          </w:r>
          <w:r>
            <w:fldChar w:fldCharType="separate"/>
          </w:r>
          <w:r>
            <w:t>4</w:t>
          </w:r>
          <w:r>
            <w:fldChar w:fldCharType="end"/>
          </w:r>
          <w:r>
            <w:fldChar w:fldCharType="end"/>
          </w:r>
        </w:p>
        <w:p w14:paraId="1882DE8F">
          <w:pPr>
            <w:pStyle w:val="15"/>
            <w:tabs>
              <w:tab w:val="right" w:leader="dot" w:pos="8310"/>
            </w:tabs>
          </w:pPr>
          <w:r>
            <w:fldChar w:fldCharType="begin"/>
          </w:r>
          <w:r>
            <w:instrText xml:space="preserve"> HYPERLINK \l "_Toc4073" </w:instrText>
          </w:r>
          <w:r>
            <w:fldChar w:fldCharType="separate"/>
          </w:r>
          <w:r>
            <w:rPr>
              <w:rFonts w:ascii="仿宋" w:hAnsi="仿宋" w:eastAsia="仿宋" w:cs="仿宋"/>
              <w:szCs w:val="32"/>
              <w:lang w:eastAsia="zh-CN"/>
            </w:rPr>
            <w:t xml:space="preserve">3 </w:t>
          </w:r>
          <w:r>
            <w:rPr>
              <w:rFonts w:hint="eastAsia" w:ascii="仿宋" w:hAnsi="仿宋" w:eastAsia="仿宋" w:cs="仿宋"/>
              <w:szCs w:val="32"/>
              <w:lang w:eastAsia="zh-CN"/>
            </w:rPr>
            <w:t>附 则</w:t>
          </w:r>
          <w:r>
            <w:tab/>
          </w:r>
          <w:r>
            <w:fldChar w:fldCharType="begin"/>
          </w:r>
          <w:r>
            <w:instrText xml:space="preserve"> PAGEREF _Toc4073 \h </w:instrText>
          </w:r>
          <w:r>
            <w:fldChar w:fldCharType="separate"/>
          </w:r>
          <w:r>
            <w:t>9</w:t>
          </w:r>
          <w:r>
            <w:fldChar w:fldCharType="end"/>
          </w:r>
          <w:r>
            <w:fldChar w:fldCharType="end"/>
          </w:r>
        </w:p>
        <w:p w14:paraId="6FA0D73B">
          <w:pPr>
            <w:pStyle w:val="15"/>
            <w:tabs>
              <w:tab w:val="right" w:leader="dot" w:pos="8310"/>
            </w:tabs>
          </w:pPr>
          <w:r>
            <w:fldChar w:fldCharType="begin"/>
          </w:r>
          <w:r>
            <w:instrText xml:space="preserve"> HYPERLINK \l "_Toc17462" </w:instrText>
          </w:r>
          <w:r>
            <w:fldChar w:fldCharType="separate"/>
          </w:r>
          <w:r>
            <w:rPr>
              <w:rFonts w:hint="eastAsia" w:ascii="仿宋" w:hAnsi="仿宋" w:eastAsia="仿宋" w:cs="仿宋"/>
              <w:szCs w:val="32"/>
              <w:lang w:eastAsia="zh-CN"/>
            </w:rPr>
            <w:t>4 附 件：全员岗位安全生产责任制清单</w:t>
          </w:r>
          <w:r>
            <w:tab/>
          </w:r>
          <w:r>
            <w:fldChar w:fldCharType="begin"/>
          </w:r>
          <w:r>
            <w:instrText xml:space="preserve"> PAGEREF _Toc17462 \h </w:instrText>
          </w:r>
          <w:r>
            <w:fldChar w:fldCharType="separate"/>
          </w:r>
          <w:r>
            <w:t>9</w:t>
          </w:r>
          <w:r>
            <w:fldChar w:fldCharType="end"/>
          </w:r>
          <w:r>
            <w:fldChar w:fldCharType="end"/>
          </w:r>
        </w:p>
        <w:p w14:paraId="31D7E571">
          <w:pPr>
            <w:sectPr>
              <w:footerReference r:id="rId4" w:type="default"/>
              <w:pgSz w:w="11910" w:h="16840"/>
              <w:pgMar w:top="1440" w:right="1800" w:bottom="1320" w:left="1800" w:header="820" w:footer="1051" w:gutter="0"/>
              <w:cols w:space="720" w:num="1"/>
              <w:docGrid w:linePitch="299" w:charSpace="0"/>
            </w:sectPr>
          </w:pPr>
          <w:r>
            <w:fldChar w:fldCharType="end"/>
          </w:r>
        </w:p>
        <w:p w14:paraId="7DA8E175"/>
      </w:sdtContent>
    </w:sdt>
    <w:p w14:paraId="52DE4362">
      <w:pPr>
        <w:pStyle w:val="2"/>
        <w:spacing w:line="360" w:lineRule="auto"/>
        <w:rPr>
          <w:rFonts w:hint="eastAsia" w:ascii="仿宋" w:hAnsi="仿宋" w:eastAsia="仿宋" w:cs="仿宋"/>
          <w:sz w:val="32"/>
          <w:szCs w:val="32"/>
          <w:lang w:eastAsia="zh-CN"/>
        </w:rPr>
      </w:pPr>
      <w:bookmarkStart w:id="0" w:name="_Toc16986"/>
      <w:r>
        <w:rPr>
          <w:rFonts w:hint="eastAsia" w:ascii="仿宋" w:hAnsi="仿宋" w:eastAsia="仿宋" w:cs="仿宋"/>
          <w:sz w:val="32"/>
          <w:szCs w:val="32"/>
          <w:lang w:eastAsia="zh-CN"/>
        </w:rPr>
        <w:t>总 则</w:t>
      </w:r>
      <w:bookmarkEnd w:id="0"/>
    </w:p>
    <w:p w14:paraId="33CBE67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1.1 为贯彻落实《中华人民共和国安全生产法》、《职业病防治法》等法律法规，根据《山东省生产经营单位全员安全生产责任清单》，加强宁津北控城市环境服务有限公司（以下简称“公司”）的安全生产管理，明确全体员工的安全职责，特制定本制度。</w:t>
      </w:r>
    </w:p>
    <w:p w14:paraId="30541661">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1.2 公司实行安全生产岗位责任制制度，坚持“谁主管、谁负责”的原则履行安全生产职责；坚持责任明确，落实到人，分工负责，齐抓共管的原则；坚持分级管理，各负其责，自上而下逐级监督管理的原则。</w:t>
      </w:r>
    </w:p>
    <w:p w14:paraId="24EB49D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1.3 安全生产贯彻“管行业必须管安全、管业务必须管安全、管生产经营必须管安全”的原则，公司全体员工不仅要完成本职范围内的业务工作，同时承担业务职责范围内的安全生产目标管理工作，履行安全生产职责。</w:t>
      </w:r>
    </w:p>
    <w:p w14:paraId="717CF60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1.4 为落实安全生产责任制，公司采用逐层签订《安全生产责任书》的形式，明确公司各单位、各岗位的安全生产责任。</w:t>
      </w:r>
    </w:p>
    <w:p w14:paraId="61F74F7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1.5 公司全体员工履行本岗位安全生产责任，坚持“安全第一、预防为主、综合治理”的方针，相互支持，密切配合。</w:t>
      </w:r>
    </w:p>
    <w:p w14:paraId="67B0A23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1.6 本制度适用于宁津项目公司。</w:t>
      </w:r>
    </w:p>
    <w:p w14:paraId="7E4BAF81">
      <w:pPr>
        <w:pStyle w:val="2"/>
        <w:spacing w:line="360" w:lineRule="auto"/>
        <w:rPr>
          <w:rFonts w:hint="eastAsia" w:ascii="仿宋" w:hAnsi="仿宋" w:eastAsia="仿宋" w:cs="仿宋"/>
          <w:sz w:val="32"/>
          <w:szCs w:val="32"/>
          <w:lang w:eastAsia="zh-CN"/>
        </w:rPr>
      </w:pPr>
      <w:bookmarkStart w:id="1" w:name="_Toc31132"/>
      <w:r>
        <w:rPr>
          <w:rFonts w:hint="eastAsia" w:ascii="仿宋" w:hAnsi="仿宋" w:eastAsia="仿宋" w:cs="仿宋"/>
          <w:sz w:val="32"/>
          <w:szCs w:val="32"/>
          <w:lang w:eastAsia="zh-CN"/>
        </w:rPr>
        <w:t>公司各部门安全职责</w:t>
      </w:r>
      <w:bookmarkEnd w:id="1"/>
    </w:p>
    <w:p w14:paraId="3898E96A">
      <w:pPr>
        <w:pStyle w:val="3"/>
        <w:ind w:left="0" w:firstLine="425" w:firstLineChars="141"/>
        <w:rPr>
          <w:rFonts w:hint="eastAsia" w:ascii="仿宋" w:hAnsi="仿宋" w:eastAsia="仿宋" w:cs="仿宋"/>
          <w:sz w:val="30"/>
          <w:szCs w:val="30"/>
          <w:lang w:eastAsia="zh-CN"/>
        </w:rPr>
      </w:pPr>
      <w:r>
        <w:rPr>
          <w:rFonts w:hint="eastAsia" w:ascii="仿宋" w:hAnsi="仿宋" w:eastAsia="仿宋" w:cs="仿宋"/>
          <w:sz w:val="30"/>
          <w:szCs w:val="30"/>
          <w:lang w:eastAsia="zh-CN"/>
        </w:rPr>
        <w:t>安委会安全生产职责</w:t>
      </w:r>
    </w:p>
    <w:p w14:paraId="5D3F639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2.1.1落实执行国家有关安全生产方面的法律、法规、规章、属地政府相关规定及集团、山东区域事业部层面安全生产规章制度要求，完善本公司各项安全生产规章制度及安全操作规程。</w:t>
      </w:r>
    </w:p>
    <w:p w14:paraId="63DCA11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2.1.2根据集团、山东区域事业部的要求，结合本单位特点，制订、分解本公司的年度安全生产目标并组织实施。</w:t>
      </w:r>
    </w:p>
    <w:p w14:paraId="221E197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2.1.3建立健全本公司安全生产责任制；强化安全生产保证体系和监督体系的职能；充分发挥公司、部门、班组三级安全监督网的作用；实现安全生产管理“四级控制”（公司、部门、班组、个人）。</w:t>
      </w:r>
    </w:p>
    <w:p w14:paraId="77C4106B">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2.1.4利用集团、山东区域事业部和本公司生产信息管理网络，实现本公司安全生产管理流程化、信息化。</w:t>
      </w:r>
    </w:p>
    <w:p w14:paraId="37B6D46E">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2.1.5按规定足额提取和使用安全生产费用，用于完善和改进安全生产条件。</w:t>
      </w:r>
    </w:p>
    <w:p w14:paraId="7C0047A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2.1.6建立本公司安全生产教育培训管理制度和动态考核机制，结合年度需求，制定并落实本公司教育培训计划并组织实施。</w:t>
      </w:r>
    </w:p>
    <w:p w14:paraId="31CA3E71">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2.1.7组织召开本公司安全生产委员会会议、安全生产专题会议和基建工程安全生产专题会议，查找安全生产管理方面存在的薄弱环节，研究制定防范措施。</w:t>
      </w:r>
    </w:p>
    <w:p w14:paraId="36CA4E4B">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2.1.8完善公司生产安全监控网络，开展可靠性管理，提高设备本质安全水平。</w:t>
      </w:r>
    </w:p>
    <w:p w14:paraId="0A2A538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2.1.9规范公司相关方管理，加强过程监控，将相关方纳入公司统一管理。</w:t>
      </w:r>
    </w:p>
    <w:p w14:paraId="14D382C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2.1.10开展生产、建设项目安全风险评估（评价），对查找出问题制定整改计划，做好整改工作。</w:t>
      </w:r>
    </w:p>
    <w:p w14:paraId="114C646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2.1.11完善本公司应急救援管理体系，定期开展应急救援培训与演练。</w:t>
      </w:r>
    </w:p>
    <w:p w14:paraId="3AB5B7E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2.1.12完善本公司隐患排查管理体系，定期组织隐患排查，及时消除生产安全事故隐患。</w:t>
      </w:r>
    </w:p>
    <w:p w14:paraId="685C56D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2.1.13规范危险作业监控，强化作业人员行为管理，避免或减少事故发生。</w:t>
      </w:r>
    </w:p>
    <w:p w14:paraId="397BFB4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2.1.14负责公司新建、扩建工程生产准备工作；负责新建、改建、扩建工程安全设施、消防设施、环保设施、职业病防护设施与主体工程同时设计、同时施工、同时投入生产和使用。</w:t>
      </w:r>
    </w:p>
    <w:p w14:paraId="64639AB9">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2.1.15及时、如实向属地政府、集团、山东区域事业部报告生产安全事故。坚持“四不放过”原则，组织开展本公司权限范围内事故调查。</w:t>
      </w:r>
    </w:p>
    <w:p w14:paraId="5C33936E">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2.1.16严肃奖惩制度，对公司内在安全生产方面做出突出贡献的提出表扬或奖励方案，对相关事故责任者提出处理意见后呈文报山东区域事业部审批。</w:t>
      </w:r>
    </w:p>
    <w:p w14:paraId="41ABD63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2.1.17完成集团、山东区域事业部安全生产委员会交办的其他工作。</w:t>
      </w:r>
    </w:p>
    <w:p w14:paraId="78454A4D">
      <w:pPr>
        <w:pStyle w:val="3"/>
        <w:ind w:left="0" w:firstLine="425" w:firstLineChars="141"/>
        <w:rPr>
          <w:rFonts w:hint="eastAsia" w:ascii="仿宋" w:hAnsi="仿宋" w:eastAsia="仿宋" w:cs="仿宋"/>
          <w:sz w:val="30"/>
          <w:szCs w:val="30"/>
          <w:lang w:eastAsia="zh-CN"/>
        </w:rPr>
      </w:pPr>
      <w:r>
        <w:rPr>
          <w:rFonts w:hint="eastAsia" w:ascii="仿宋" w:hAnsi="仿宋" w:eastAsia="仿宋" w:cs="仿宋"/>
          <w:sz w:val="30"/>
          <w:szCs w:val="30"/>
          <w:lang w:eastAsia="zh-CN"/>
        </w:rPr>
        <w:t>安环</w:t>
      </w:r>
      <w:r>
        <w:rPr>
          <w:rFonts w:hint="eastAsia" w:ascii="仿宋" w:hAnsi="仿宋" w:eastAsia="仿宋" w:cs="仿宋"/>
          <w:sz w:val="30"/>
          <w:szCs w:val="30"/>
          <w:lang w:val="en-US" w:eastAsia="zh-CN"/>
        </w:rPr>
        <w:t>管理</w:t>
      </w:r>
      <w:r>
        <w:rPr>
          <w:rFonts w:hint="eastAsia" w:ascii="仿宋" w:hAnsi="仿宋" w:eastAsia="仿宋" w:cs="仿宋"/>
          <w:sz w:val="30"/>
          <w:szCs w:val="30"/>
          <w:lang w:eastAsia="zh-CN"/>
        </w:rPr>
        <w:t>部安全职责</w:t>
      </w:r>
    </w:p>
    <w:p w14:paraId="15405BC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 xml:space="preserve">.1 </w:t>
      </w:r>
      <w:r>
        <w:rPr>
          <w:rFonts w:hint="eastAsia" w:ascii="仿宋" w:hAnsi="仿宋" w:eastAsia="仿宋" w:cs="仿宋"/>
          <w:bCs/>
          <w:sz w:val="28"/>
          <w:szCs w:val="28"/>
          <w:lang w:eastAsia="zh-CN"/>
        </w:rPr>
        <w:t>组织或者参与拟订本单位安全生产规章制度、操作规程并监督实施；</w:t>
      </w:r>
    </w:p>
    <w:p w14:paraId="610D485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参与本单位涉及安全生产的经营决策，提出改进安全生产管理的建议，督促本单位其他机构、人员履行安全生产职责；</w:t>
      </w:r>
    </w:p>
    <w:p w14:paraId="559D1F26">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组织制定本单位安全生产管理年度工作计划和目标，并进行考核；</w:t>
      </w:r>
    </w:p>
    <w:p w14:paraId="07C0E41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2.2.4</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组织或者参与本单位安全生产宣传教育和培训，如实记录安全生产教育和培训情况;</w:t>
      </w:r>
    </w:p>
    <w:p w14:paraId="5D8BEA2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5</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组织开展危险源辨识和评估，督促落实本单位重大危险源的安全管理措施；</w:t>
      </w:r>
    </w:p>
    <w:p w14:paraId="5BA2C6D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6</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检查本单位的安全生产状况，及时排查生产安全事故隐患，提出改进安全生产管理的建议；</w:t>
      </w:r>
    </w:p>
    <w:p w14:paraId="0EB201F1">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7</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制止和纠正违章指挥、强令冒险作业、违反操作规程的行为；</w:t>
      </w:r>
    </w:p>
    <w:p w14:paraId="6E74F28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8</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制定本单位外来施工作业安全管理制度，督促承包、承租单位履行安全生产职责，并对承包、承租单位及人员的相关资质进行审核、监管；</w:t>
      </w:r>
    </w:p>
    <w:p w14:paraId="17893BF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9</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对本单位受限空间（有限空间）作业的现场作业情况进行抽查监督；</w:t>
      </w:r>
    </w:p>
    <w:p w14:paraId="06CDAC8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.1</w:t>
      </w:r>
      <w:r>
        <w:rPr>
          <w:rFonts w:hint="eastAsia" w:ascii="仿宋" w:hAnsi="仿宋" w:eastAsia="仿宋" w:cs="仿宋"/>
          <w:bCs/>
          <w:sz w:val="28"/>
          <w:szCs w:val="28"/>
          <w:lang w:val="en-US" w:eastAsia="zh-CN"/>
        </w:rPr>
        <w:t>0</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组织制定安全生产责任制绩效考核制度并监督实施;</w:t>
      </w:r>
    </w:p>
    <w:p w14:paraId="1B6062F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.1</w:t>
      </w:r>
      <w:r>
        <w:rPr>
          <w:rFonts w:hint="eastAsia" w:ascii="仿宋" w:hAnsi="仿宋" w:eastAsia="仿宋" w:cs="仿宋"/>
          <w:bCs/>
          <w:sz w:val="28"/>
          <w:szCs w:val="28"/>
          <w:lang w:val="en-US" w:eastAsia="zh-CN"/>
        </w:rPr>
        <w:t>1</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组织或者参与拟订本单位生产安全事故应急救援预案；</w:t>
      </w:r>
    </w:p>
    <w:p w14:paraId="5BC0EF0C">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.1</w:t>
      </w:r>
      <w:r>
        <w:rPr>
          <w:rFonts w:hint="eastAsia" w:ascii="仿宋" w:hAnsi="仿宋" w:eastAsia="仿宋" w:cs="仿宋"/>
          <w:bCs/>
          <w:sz w:val="28"/>
          <w:szCs w:val="28"/>
          <w:lang w:val="en-US" w:eastAsia="zh-CN"/>
        </w:rPr>
        <w:t>2</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组织或者参与本单位应急救援演练；</w:t>
      </w:r>
    </w:p>
    <w:p w14:paraId="139F995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.1</w:t>
      </w:r>
      <w:r>
        <w:rPr>
          <w:rFonts w:hint="eastAsia" w:ascii="仿宋" w:hAnsi="仿宋" w:eastAsia="仿宋" w:cs="仿宋"/>
          <w:bCs/>
          <w:sz w:val="28"/>
          <w:szCs w:val="28"/>
          <w:lang w:val="en-US" w:eastAsia="zh-CN"/>
        </w:rPr>
        <w:t>3</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法律、法规、规章以及本单位规定的其他安全生产职责。</w:t>
      </w:r>
    </w:p>
    <w:p w14:paraId="6CCA93B7">
      <w:pPr>
        <w:pStyle w:val="3"/>
        <w:ind w:left="0" w:firstLine="425" w:firstLineChars="141"/>
        <w:rPr>
          <w:rFonts w:hint="eastAsia" w:ascii="仿宋" w:hAnsi="仿宋" w:eastAsia="仿宋" w:cs="仿宋"/>
          <w:sz w:val="30"/>
          <w:szCs w:val="30"/>
          <w:lang w:eastAsia="zh-CN"/>
        </w:rPr>
      </w:pPr>
      <w:r>
        <w:rPr>
          <w:rFonts w:hint="eastAsia" w:ascii="仿宋" w:hAnsi="仿宋" w:eastAsia="仿宋" w:cs="仿宋"/>
          <w:sz w:val="30"/>
          <w:szCs w:val="30"/>
          <w:lang w:eastAsia="zh-CN"/>
        </w:rPr>
        <w:t>人力综合部安全职责</w:t>
      </w:r>
    </w:p>
    <w:p w14:paraId="3291D00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积极参加有关的安全生产会议、培训，认真学习有关安全生产的文件、资料。贯彻执行公司领导有关安全生产的指示；</w:t>
      </w:r>
    </w:p>
    <w:p w14:paraId="1EE5D8BC">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w:t>
      </w:r>
      <w:r>
        <w:rPr>
          <w:rFonts w:ascii="仿宋" w:hAnsi="仿宋" w:eastAsia="仿宋" w:cs="仿宋"/>
          <w:bCs/>
          <w:sz w:val="28"/>
          <w:szCs w:val="28"/>
          <w:lang w:eastAsia="zh-CN"/>
        </w:rPr>
        <w:t>.</w:t>
      </w:r>
      <w:r>
        <w:rPr>
          <w:rFonts w:hint="eastAsia" w:ascii="仿宋" w:hAnsi="仿宋" w:eastAsia="仿宋" w:cs="仿宋"/>
          <w:bCs/>
          <w:sz w:val="28"/>
          <w:szCs w:val="28"/>
          <w:lang w:eastAsia="zh-CN"/>
        </w:rPr>
        <w:t>3.2</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严格执行公司各项安全生产规章制度，对公司行政工作、办公用品管理、档案管理、仓库管理等负有安全管理责任；</w:t>
      </w:r>
    </w:p>
    <w:p w14:paraId="72B86F5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负责有关文件和各类档案的保存、保密、防盗、防潮、防蛀、防火等安全管理工作；</w:t>
      </w:r>
    </w:p>
    <w:p w14:paraId="28958FDE">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2.3.4</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负责公司各项后勤（防火防盗、防电、治安保卫、公共环境卫生）安全管理工作。定期进行安全检查，发现隐患应及时联系有关单位消除；</w:t>
      </w:r>
    </w:p>
    <w:p w14:paraId="0CBCF0F9">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2.3.5</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参加安全生产会议和事故调查分析会。在重大事故处理中完成领导布置的工作；</w:t>
      </w:r>
    </w:p>
    <w:p w14:paraId="47753236">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.6 </w:t>
      </w:r>
      <w:r>
        <w:rPr>
          <w:rFonts w:hint="eastAsia" w:ascii="仿宋" w:hAnsi="仿宋" w:eastAsia="仿宋" w:cs="仿宋"/>
          <w:bCs/>
          <w:sz w:val="28"/>
          <w:szCs w:val="28"/>
          <w:lang w:eastAsia="zh-CN"/>
        </w:rPr>
        <w:t>做好安全生产事故善后抚恤工作，维持企业稳定的相关工作；</w:t>
      </w:r>
    </w:p>
    <w:p w14:paraId="76140C7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.7 </w:t>
      </w:r>
      <w:r>
        <w:rPr>
          <w:rFonts w:hint="eastAsia" w:ascii="仿宋" w:hAnsi="仿宋" w:eastAsia="仿宋" w:cs="仿宋"/>
          <w:bCs/>
          <w:sz w:val="28"/>
          <w:szCs w:val="28"/>
          <w:lang w:eastAsia="zh-CN"/>
        </w:rPr>
        <w:t>负责组织安排、检查落实领导带班制度和节假日值班制度；</w:t>
      </w:r>
    </w:p>
    <w:p w14:paraId="7A2F430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.8 </w:t>
      </w:r>
      <w:r>
        <w:rPr>
          <w:rFonts w:hint="eastAsia" w:ascii="仿宋" w:hAnsi="仿宋" w:eastAsia="仿宋" w:cs="仿宋"/>
          <w:bCs/>
          <w:sz w:val="28"/>
          <w:szCs w:val="28"/>
          <w:lang w:eastAsia="zh-CN"/>
        </w:rPr>
        <w:t>对新进入公司人员（包括实习、试用人员）及时组织和安排安全培训，经考核合格后方可分配到工作岗位；</w:t>
      </w:r>
    </w:p>
    <w:p w14:paraId="022BC2C2">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.9 </w:t>
      </w:r>
      <w:r>
        <w:rPr>
          <w:rFonts w:hint="eastAsia" w:ascii="仿宋" w:hAnsi="仿宋" w:eastAsia="仿宋" w:cs="仿宋"/>
          <w:bCs/>
          <w:sz w:val="28"/>
          <w:szCs w:val="28"/>
          <w:lang w:eastAsia="zh-CN"/>
        </w:rPr>
        <w:t>负责组织员工定期体检工作；</w:t>
      </w:r>
    </w:p>
    <w:p w14:paraId="63DB442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0 </w:t>
      </w:r>
      <w:r>
        <w:rPr>
          <w:rFonts w:hint="eastAsia" w:ascii="仿宋" w:hAnsi="仿宋" w:eastAsia="仿宋" w:cs="仿宋"/>
          <w:bCs/>
          <w:sz w:val="28"/>
          <w:szCs w:val="28"/>
          <w:lang w:eastAsia="zh-CN"/>
        </w:rPr>
        <w:t>严格执行劳动保护法和劳动纪律，合理安排员工和控制员工加班、加点；</w:t>
      </w:r>
    </w:p>
    <w:p w14:paraId="6DD23E12">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1 </w:t>
      </w:r>
      <w:r>
        <w:rPr>
          <w:rFonts w:hint="eastAsia" w:ascii="仿宋" w:hAnsi="仿宋" w:eastAsia="仿宋" w:cs="仿宋"/>
          <w:bCs/>
          <w:sz w:val="28"/>
          <w:szCs w:val="28"/>
          <w:lang w:eastAsia="zh-CN"/>
        </w:rPr>
        <w:t>在与员工签订劳动合同时，应将工作过程中的不安全因素和可能产生的职业病危害及其后果、防范措施和待遇等内容如实告知职工，并在劳动合同中写明，不得隐瞒和欺骗；</w:t>
      </w:r>
    </w:p>
    <w:p w14:paraId="35A4285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接受安委办的安全监督，负责做好公司提出的相关安全工作；</w:t>
      </w:r>
    </w:p>
    <w:p w14:paraId="75AC1F0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负责公司行政车辆管理工作，严把出车审核关。加强对所辖汽车驾驶人员的安全行车教育，协助</w:t>
      </w:r>
      <w:r>
        <w:rPr>
          <w:rFonts w:hint="eastAsia" w:ascii="仿宋" w:hAnsi="仿宋" w:eastAsia="仿宋" w:cs="仿宋"/>
          <w:bCs/>
          <w:sz w:val="28"/>
          <w:szCs w:val="28"/>
          <w:lang w:val="en-US" w:eastAsia="zh-CN"/>
        </w:rPr>
        <w:t>生产运营</w:t>
      </w:r>
      <w:r>
        <w:rPr>
          <w:rFonts w:hint="eastAsia" w:ascii="仿宋" w:hAnsi="仿宋" w:eastAsia="仿宋" w:cs="仿宋"/>
          <w:bCs/>
          <w:sz w:val="28"/>
          <w:szCs w:val="28"/>
          <w:lang w:eastAsia="zh-CN"/>
        </w:rPr>
        <w:t>部做好车辆及驾驶员的年度审验工作，安全生产急需或安全工作检查时应优先安排用车；</w:t>
      </w:r>
    </w:p>
    <w:p w14:paraId="672EC9F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4 </w:t>
      </w:r>
      <w:r>
        <w:rPr>
          <w:rFonts w:hint="eastAsia" w:ascii="仿宋" w:hAnsi="仿宋" w:eastAsia="仿宋" w:cs="仿宋"/>
          <w:bCs/>
          <w:sz w:val="28"/>
          <w:szCs w:val="28"/>
          <w:lang w:eastAsia="zh-CN"/>
        </w:rPr>
        <w:t>负责按需求单位要求及时供应安全技术措施所需物资；</w:t>
      </w:r>
    </w:p>
    <w:p w14:paraId="09082B0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5 </w:t>
      </w:r>
      <w:r>
        <w:rPr>
          <w:rFonts w:hint="eastAsia" w:ascii="仿宋" w:hAnsi="仿宋" w:eastAsia="仿宋" w:cs="仿宋"/>
          <w:bCs/>
          <w:sz w:val="28"/>
          <w:szCs w:val="28"/>
          <w:lang w:eastAsia="zh-CN"/>
        </w:rPr>
        <w:t>负责按计划保质保量的采购各类劳动防护用品；</w:t>
      </w:r>
    </w:p>
    <w:p w14:paraId="196895C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6 </w:t>
      </w:r>
      <w:r>
        <w:rPr>
          <w:rFonts w:hint="eastAsia" w:ascii="仿宋" w:hAnsi="仿宋" w:eastAsia="仿宋" w:cs="仿宋"/>
          <w:bCs/>
          <w:sz w:val="28"/>
          <w:szCs w:val="28"/>
          <w:lang w:eastAsia="zh-CN"/>
        </w:rPr>
        <w:t>对购入的原材料、设备、配件等产品质量把关，必须符合国家标准要求，有特殊安全性能要求的应按规定要求采购；</w:t>
      </w:r>
    </w:p>
    <w:p w14:paraId="5C459C2C">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7 </w:t>
      </w:r>
      <w:r>
        <w:rPr>
          <w:rFonts w:hint="eastAsia" w:ascii="仿宋" w:hAnsi="仿宋" w:eastAsia="仿宋" w:cs="仿宋"/>
          <w:bCs/>
          <w:sz w:val="28"/>
          <w:szCs w:val="28"/>
          <w:lang w:eastAsia="zh-CN"/>
        </w:rPr>
        <w:t>签订施工等合同时必须包括安全条款；</w:t>
      </w:r>
    </w:p>
    <w:p w14:paraId="6974D172">
      <w:pPr>
        <w:spacing w:line="360" w:lineRule="auto"/>
        <w:ind w:firstLine="383" w:firstLineChars="137"/>
        <w:rPr>
          <w:rFonts w:hint="default" w:ascii="仿宋" w:hAnsi="仿宋" w:eastAsia="仿宋" w:cs="仿宋"/>
          <w:bCs/>
          <w:sz w:val="28"/>
          <w:szCs w:val="28"/>
          <w:lang w:val="en-US"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8 </w:t>
      </w:r>
      <w:r>
        <w:rPr>
          <w:rFonts w:hint="eastAsia" w:ascii="仿宋" w:hAnsi="仿宋" w:eastAsia="仿宋" w:cs="仿宋"/>
          <w:bCs/>
          <w:sz w:val="28"/>
          <w:szCs w:val="28"/>
          <w:lang w:val="en-US" w:eastAsia="zh-CN"/>
        </w:rPr>
        <w:t>招聘员工时，应严格审核应聘人员的从业资格、过往交通违章情况、健康状况及安全操作能力，确保其符合岗位安全要求；对特种作业人员须查验有效证件，杜绝无证上岗。</w:t>
      </w:r>
    </w:p>
    <w:p w14:paraId="7585316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8 </w:t>
      </w:r>
      <w:r>
        <w:rPr>
          <w:rFonts w:hint="eastAsia" w:ascii="仿宋" w:hAnsi="仿宋" w:eastAsia="仿宋" w:cs="仿宋"/>
          <w:bCs/>
          <w:sz w:val="28"/>
          <w:szCs w:val="28"/>
          <w:lang w:eastAsia="zh-CN"/>
        </w:rPr>
        <w:t>法律、法规、规章以及本单位规定的其他安全生产职责。</w:t>
      </w:r>
    </w:p>
    <w:p w14:paraId="11C43793">
      <w:pPr>
        <w:pStyle w:val="3"/>
        <w:ind w:left="0" w:firstLine="425" w:firstLineChars="141"/>
        <w:rPr>
          <w:rFonts w:hint="eastAsia" w:ascii="仿宋" w:hAnsi="仿宋" w:eastAsia="仿宋" w:cs="仿宋"/>
          <w:sz w:val="30"/>
          <w:szCs w:val="30"/>
          <w:lang w:eastAsia="zh-CN"/>
        </w:rPr>
      </w:pPr>
      <w:r>
        <w:rPr>
          <w:rFonts w:hint="eastAsia" w:ascii="仿宋" w:hAnsi="仿宋" w:eastAsia="仿宋" w:cs="仿宋"/>
          <w:sz w:val="30"/>
          <w:szCs w:val="30"/>
          <w:lang w:eastAsia="zh-CN"/>
        </w:rPr>
        <w:t>财务管理部安全职责</w:t>
      </w:r>
    </w:p>
    <w:p w14:paraId="2F94B41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.1 </w:t>
      </w:r>
      <w:r>
        <w:rPr>
          <w:rFonts w:hint="eastAsia" w:ascii="仿宋" w:hAnsi="仿宋" w:eastAsia="仿宋" w:cs="仿宋"/>
          <w:bCs/>
          <w:sz w:val="28"/>
          <w:szCs w:val="28"/>
          <w:lang w:eastAsia="zh-CN"/>
        </w:rPr>
        <w:t>积极参加有关的安全生产会议、培训，认真学习有关安全生产的文件、资料。贯彻执行公司领导有关安全生产的指示；</w:t>
      </w:r>
    </w:p>
    <w:p w14:paraId="76CD4D8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及时提取安全技术措施费、劳动保护经费及其他安全生产所需经费， 保证专款专用；</w:t>
      </w:r>
    </w:p>
    <w:p w14:paraId="3D238A29">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严格按照规章制度要求，对公司的财务管理、会计核算、成本管理、资产权益管理、资金管理、财务经营分析等工作的安全性、保密性负责；</w:t>
      </w:r>
    </w:p>
    <w:p w14:paraId="17780C3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.4 </w:t>
      </w:r>
      <w:r>
        <w:rPr>
          <w:rFonts w:hint="eastAsia" w:ascii="仿宋" w:hAnsi="仿宋" w:eastAsia="仿宋" w:cs="仿宋"/>
          <w:bCs/>
          <w:sz w:val="28"/>
          <w:szCs w:val="28"/>
          <w:lang w:eastAsia="zh-CN"/>
        </w:rPr>
        <w:t>负责监督审查安全生产费用的合理投入和使用；</w:t>
      </w:r>
    </w:p>
    <w:p w14:paraId="7379016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.5 </w:t>
      </w:r>
      <w:r>
        <w:rPr>
          <w:rFonts w:hint="eastAsia" w:ascii="仿宋" w:hAnsi="仿宋" w:eastAsia="仿宋" w:cs="仿宋"/>
          <w:bCs/>
          <w:sz w:val="28"/>
          <w:szCs w:val="28"/>
          <w:lang w:eastAsia="zh-CN"/>
        </w:rPr>
        <w:t>接受安委办的安全监督，负责做好公司提出的相关安全工作。</w:t>
      </w:r>
    </w:p>
    <w:p w14:paraId="0437B672">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.6 </w:t>
      </w:r>
      <w:r>
        <w:rPr>
          <w:rFonts w:hint="eastAsia" w:ascii="仿宋" w:hAnsi="仿宋" w:eastAsia="仿宋" w:cs="仿宋"/>
          <w:bCs/>
          <w:sz w:val="28"/>
          <w:szCs w:val="28"/>
          <w:lang w:eastAsia="zh-CN"/>
        </w:rPr>
        <w:t>法律、法规、规章以及本单位规定的其他安全生产职责。</w:t>
      </w:r>
    </w:p>
    <w:p w14:paraId="685EE7C9">
      <w:pPr>
        <w:pStyle w:val="3"/>
        <w:ind w:left="0" w:firstLine="422" w:firstLineChars="140"/>
        <w:rPr>
          <w:rFonts w:hint="eastAsia" w:ascii="仿宋" w:hAnsi="仿宋" w:eastAsia="仿宋" w:cs="仿宋"/>
          <w:sz w:val="30"/>
          <w:szCs w:val="30"/>
          <w:lang w:eastAsia="zh-CN"/>
        </w:rPr>
      </w:pPr>
      <w:r>
        <w:rPr>
          <w:rFonts w:hint="eastAsia" w:ascii="仿宋" w:hAnsi="仿宋" w:eastAsia="仿宋" w:cs="仿宋"/>
          <w:sz w:val="30"/>
          <w:szCs w:val="30"/>
          <w:lang w:val="en-US" w:eastAsia="zh-CN"/>
        </w:rPr>
        <w:t>生产管理</w:t>
      </w:r>
      <w:r>
        <w:rPr>
          <w:rFonts w:hint="eastAsia" w:ascii="仿宋" w:hAnsi="仿宋" w:eastAsia="仿宋" w:cs="仿宋"/>
          <w:sz w:val="30"/>
          <w:szCs w:val="30"/>
          <w:lang w:eastAsia="zh-CN"/>
        </w:rPr>
        <w:t>部安全职责</w:t>
      </w:r>
    </w:p>
    <w:p w14:paraId="1BEF08F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2.5.1 </w:t>
      </w:r>
      <w:r>
        <w:rPr>
          <w:rFonts w:hint="eastAsia" w:ascii="仿宋" w:hAnsi="仿宋" w:eastAsia="仿宋" w:cs="仿宋"/>
          <w:bCs/>
          <w:sz w:val="28"/>
          <w:szCs w:val="28"/>
          <w:lang w:eastAsia="zh-CN"/>
        </w:rPr>
        <w:t>负责全面贯彻落实公司关于安全、健康、环境以及部门各项规章、制度和标准、规范，做好生产管理工作，营造和谐生产运营环境；</w:t>
      </w:r>
    </w:p>
    <w:p w14:paraId="3C37209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2.5.2 </w:t>
      </w:r>
      <w:r>
        <w:rPr>
          <w:rFonts w:hint="eastAsia" w:ascii="仿宋" w:hAnsi="仿宋" w:eastAsia="仿宋" w:cs="仿宋"/>
          <w:bCs/>
          <w:sz w:val="28"/>
          <w:szCs w:val="28"/>
          <w:lang w:eastAsia="zh-CN"/>
        </w:rPr>
        <w:t>根据公司安全工作总体部署，全面负责乡镇保洁员、生产车辆及转运站管理的日常生产运行工作，认真贯彻落实公司的年度安全生产目标；</w:t>
      </w:r>
    </w:p>
    <w:p w14:paraId="29E9A07D">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2.5.3 </w:t>
      </w:r>
      <w:r>
        <w:rPr>
          <w:rFonts w:hint="eastAsia" w:ascii="仿宋" w:hAnsi="仿宋" w:eastAsia="仿宋" w:cs="仿宋"/>
          <w:bCs/>
          <w:sz w:val="28"/>
          <w:szCs w:val="28"/>
          <w:lang w:eastAsia="zh-CN"/>
        </w:rPr>
        <w:t>完善本部门的安全生产管理体系，建立健全本中心安全生产管理规章制度，定期对乡镇主管、生产车辆、转运站的各项工作进行监督考核，确保管理全面受控；</w:t>
      </w:r>
    </w:p>
    <w:p w14:paraId="02BEA34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2.5.4 </w:t>
      </w:r>
      <w:r>
        <w:rPr>
          <w:rFonts w:hint="eastAsia" w:ascii="仿宋" w:hAnsi="仿宋" w:eastAsia="仿宋" w:cs="仿宋"/>
          <w:bCs/>
          <w:sz w:val="28"/>
          <w:szCs w:val="28"/>
          <w:lang w:eastAsia="zh-CN"/>
        </w:rPr>
        <w:t>及时提出生产安全事故专项应急预案的修改意见，并严格按照要求开展实战演练、储备应急救援物资；</w:t>
      </w:r>
    </w:p>
    <w:p w14:paraId="668A48F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2.5.5 </w:t>
      </w:r>
      <w:r>
        <w:rPr>
          <w:rFonts w:hint="eastAsia" w:ascii="仿宋" w:hAnsi="仿宋" w:eastAsia="仿宋" w:cs="仿宋"/>
          <w:bCs/>
          <w:sz w:val="28"/>
          <w:szCs w:val="28"/>
          <w:lang w:eastAsia="zh-CN"/>
        </w:rPr>
        <w:t>制定本部门的安全培训计划，组织开展员工操作技能和安全知识培训工作；</w:t>
      </w:r>
    </w:p>
    <w:p w14:paraId="621DD65E">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2.5.6 </w:t>
      </w:r>
      <w:r>
        <w:rPr>
          <w:rFonts w:hint="eastAsia" w:ascii="仿宋" w:hAnsi="仿宋" w:eastAsia="仿宋" w:cs="仿宋"/>
          <w:bCs/>
          <w:sz w:val="28"/>
          <w:szCs w:val="28"/>
          <w:lang w:eastAsia="zh-CN"/>
        </w:rPr>
        <w:t>定期对生产车辆、转运站进行安全检查，做好设备日常维护保养和设备维修工作，确保生产正常运行；</w:t>
      </w:r>
    </w:p>
    <w:p w14:paraId="2DB5AC31">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2.5.7 </w:t>
      </w:r>
      <w:r>
        <w:rPr>
          <w:rFonts w:hint="eastAsia" w:ascii="仿宋" w:hAnsi="仿宋" w:eastAsia="仿宋" w:cs="仿宋"/>
          <w:bCs/>
          <w:sz w:val="28"/>
          <w:szCs w:val="28"/>
          <w:lang w:eastAsia="zh-CN"/>
        </w:rPr>
        <w:t>对于转运站受限空间（有限空间）作业，严格执行危险性作业许可制度，组织生产人员做好现场安全维护和监督工作；</w:t>
      </w:r>
    </w:p>
    <w:p w14:paraId="2D9B97B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2.5.8 </w:t>
      </w:r>
      <w:r>
        <w:rPr>
          <w:rFonts w:hint="eastAsia" w:ascii="仿宋" w:hAnsi="仿宋" w:eastAsia="仿宋" w:cs="仿宋"/>
          <w:bCs/>
          <w:sz w:val="28"/>
          <w:szCs w:val="28"/>
          <w:lang w:eastAsia="zh-CN"/>
        </w:rPr>
        <w:t>召开安全专题会议，分析并解决存在的安全问题；</w:t>
      </w:r>
    </w:p>
    <w:p w14:paraId="4517042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2.5.9 </w:t>
      </w:r>
      <w:r>
        <w:rPr>
          <w:rFonts w:hint="eastAsia" w:ascii="仿宋" w:hAnsi="仿宋" w:eastAsia="仿宋" w:cs="仿宋"/>
          <w:bCs/>
          <w:sz w:val="28"/>
          <w:szCs w:val="28"/>
          <w:lang w:eastAsia="zh-CN"/>
        </w:rPr>
        <w:t>贯彻公司各类安全活动的通知精神，细化活动方案并监督本部门各级人员落实；</w:t>
      </w:r>
    </w:p>
    <w:p w14:paraId="1F06C4AD">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2.5.10 </w:t>
      </w:r>
      <w:r>
        <w:rPr>
          <w:rFonts w:hint="eastAsia" w:ascii="仿宋" w:hAnsi="仿宋" w:eastAsia="仿宋" w:cs="仿宋"/>
          <w:bCs/>
          <w:sz w:val="28"/>
          <w:szCs w:val="28"/>
          <w:lang w:eastAsia="zh-CN"/>
        </w:rPr>
        <w:t>积极组织开展安全生产标准化、文明生产工作。督促本部门员工在各自岗位工作中落实安全标准化、文明生产各项工作要求并建立信息反馈系统，查漏补缺，及时完善安全生产标准化、文明生产内容。</w:t>
      </w:r>
    </w:p>
    <w:p w14:paraId="61B3F46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2.5.11 参与设备故障检查，对存在安全隐患的设备，提出整改意见，并监督落实整改；</w:t>
      </w:r>
    </w:p>
    <w:p w14:paraId="4FB38E79">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2.5.12 </w:t>
      </w:r>
      <w:r>
        <w:rPr>
          <w:rFonts w:hint="eastAsia" w:ascii="仿宋" w:hAnsi="仿宋" w:eastAsia="仿宋" w:cs="仿宋"/>
          <w:bCs/>
          <w:sz w:val="28"/>
          <w:szCs w:val="28"/>
          <w:lang w:eastAsia="zh-CN"/>
        </w:rPr>
        <w:t>负责本部门各类维修作业台账的建档和更新维护工作；</w:t>
      </w:r>
    </w:p>
    <w:p w14:paraId="366D923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2.5.13 </w:t>
      </w:r>
      <w:r>
        <w:rPr>
          <w:rFonts w:hint="eastAsia" w:ascii="仿宋" w:hAnsi="仿宋" w:eastAsia="仿宋" w:cs="仿宋"/>
          <w:bCs/>
          <w:sz w:val="28"/>
          <w:szCs w:val="28"/>
          <w:lang w:eastAsia="zh-CN"/>
        </w:rPr>
        <w:t>组织开展车辆、设备及相关安全设施的维护、保养、检定工作；</w:t>
      </w:r>
    </w:p>
    <w:p w14:paraId="24905002">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 xml:space="preserve">2.5.14 </w:t>
      </w:r>
      <w:r>
        <w:rPr>
          <w:rFonts w:hint="eastAsia" w:ascii="仿宋" w:hAnsi="仿宋" w:eastAsia="仿宋" w:cs="仿宋"/>
          <w:bCs/>
          <w:sz w:val="28"/>
          <w:szCs w:val="28"/>
          <w:lang w:eastAsia="zh-CN"/>
        </w:rPr>
        <w:t>积极贯彻公司各类安全活动通知精神，细化活动方案并认真落实；</w:t>
      </w:r>
    </w:p>
    <w:p w14:paraId="59C9F9A6">
      <w:pPr>
        <w:spacing w:line="360" w:lineRule="auto"/>
        <w:ind w:firstLine="383" w:firstLineChars="137"/>
        <w:rPr>
          <w:rFonts w:hint="eastAsia" w:ascii="仿宋" w:hAnsi="仿宋" w:eastAsia="仿宋" w:cs="仿宋"/>
          <w:bCs/>
          <w:sz w:val="28"/>
          <w:szCs w:val="28"/>
          <w:lang w:val="en-US" w:eastAsia="zh-CN"/>
        </w:rPr>
      </w:pPr>
      <w:r>
        <w:rPr>
          <w:rFonts w:hint="eastAsia" w:ascii="仿宋" w:hAnsi="仿宋" w:eastAsia="仿宋" w:cs="仿宋"/>
          <w:bCs/>
          <w:sz w:val="28"/>
          <w:szCs w:val="28"/>
          <w:lang w:val="en-US" w:eastAsia="zh-CN"/>
        </w:rPr>
        <w:t>2.5.15 严格实施本部门（中心）相关方安环管理，</w:t>
      </w:r>
      <w:r>
        <w:rPr>
          <w:rFonts w:hint="default" w:ascii="仿宋" w:hAnsi="仿宋" w:eastAsia="仿宋" w:cs="仿宋"/>
          <w:bCs/>
          <w:sz w:val="28"/>
          <w:szCs w:val="28"/>
          <w:lang w:val="zh-CN" w:eastAsia="zh-CN"/>
        </w:rPr>
        <w:t>严格审核资质</w:t>
      </w:r>
      <w:r>
        <w:rPr>
          <w:rFonts w:hint="eastAsia" w:ascii="仿宋" w:hAnsi="仿宋" w:eastAsia="仿宋" w:cs="仿宋"/>
          <w:bCs/>
          <w:sz w:val="28"/>
          <w:szCs w:val="28"/>
          <w:lang w:val="zh-CN" w:eastAsia="zh-CN"/>
        </w:rPr>
        <w:t>，</w:t>
      </w:r>
      <w:r>
        <w:rPr>
          <w:rFonts w:hint="eastAsia" w:ascii="仿宋" w:hAnsi="仿宋" w:eastAsia="仿宋" w:cs="仿宋"/>
          <w:bCs/>
          <w:sz w:val="28"/>
          <w:szCs w:val="28"/>
          <w:lang w:val="en-US" w:eastAsia="zh-CN"/>
        </w:rPr>
        <w:t>加强</w:t>
      </w:r>
      <w:r>
        <w:rPr>
          <w:rFonts w:hint="eastAsia" w:ascii="仿宋" w:hAnsi="仿宋" w:eastAsia="仿宋" w:cs="仿宋"/>
          <w:bCs/>
          <w:sz w:val="28"/>
          <w:szCs w:val="28"/>
          <w:lang w:eastAsia="zh-CN"/>
        </w:rPr>
        <w:t>承包商、</w:t>
      </w:r>
      <w:r>
        <w:rPr>
          <w:rFonts w:hint="eastAsia" w:ascii="仿宋" w:hAnsi="仿宋" w:eastAsia="仿宋" w:cs="仿宋"/>
          <w:bCs/>
          <w:sz w:val="28"/>
          <w:szCs w:val="28"/>
          <w:lang w:val="en-US" w:eastAsia="zh-CN"/>
        </w:rPr>
        <w:t>分包方、派遣方以及</w:t>
      </w:r>
      <w:r>
        <w:rPr>
          <w:rFonts w:hint="eastAsia" w:ascii="仿宋" w:hAnsi="仿宋" w:eastAsia="仿宋" w:cs="仿宋"/>
          <w:bCs/>
          <w:sz w:val="28"/>
          <w:szCs w:val="28"/>
          <w:lang w:eastAsia="zh-CN"/>
        </w:rPr>
        <w:t>其他相关方</w:t>
      </w:r>
      <w:r>
        <w:rPr>
          <w:rFonts w:hint="eastAsia" w:ascii="仿宋" w:hAnsi="仿宋" w:eastAsia="仿宋" w:cs="仿宋"/>
          <w:bCs/>
          <w:sz w:val="28"/>
          <w:szCs w:val="28"/>
          <w:lang w:val="en-US" w:eastAsia="zh-CN"/>
        </w:rPr>
        <w:t>安环管理，与相关方签订安环管理协议，明确双方安环管理职责</w:t>
      </w:r>
      <w:r>
        <w:rPr>
          <w:rFonts w:hint="default" w:ascii="仿宋" w:hAnsi="仿宋" w:eastAsia="仿宋" w:cs="仿宋"/>
          <w:bCs/>
          <w:sz w:val="28"/>
          <w:szCs w:val="28"/>
          <w:lang w:val="zh-CN" w:eastAsia="zh-CN"/>
        </w:rPr>
        <w:t>，建立相关方动态管理台账，落实相关方</w:t>
      </w:r>
      <w:r>
        <w:rPr>
          <w:rFonts w:hint="eastAsia" w:ascii="仿宋" w:hAnsi="仿宋" w:eastAsia="仿宋" w:cs="仿宋"/>
          <w:bCs/>
          <w:sz w:val="28"/>
          <w:szCs w:val="28"/>
          <w:lang w:val="en-US" w:eastAsia="zh-CN"/>
        </w:rPr>
        <w:t>安环</w:t>
      </w:r>
      <w:r>
        <w:rPr>
          <w:rFonts w:hint="default" w:ascii="仿宋" w:hAnsi="仿宋" w:eastAsia="仿宋" w:cs="仿宋"/>
          <w:bCs/>
          <w:sz w:val="28"/>
          <w:szCs w:val="28"/>
          <w:lang w:val="zh-CN" w:eastAsia="zh-CN"/>
        </w:rPr>
        <w:t>教育和现场监督</w:t>
      </w:r>
      <w:r>
        <w:rPr>
          <w:rFonts w:hint="eastAsia" w:ascii="仿宋" w:hAnsi="仿宋" w:eastAsia="仿宋" w:cs="仿宋"/>
          <w:bCs/>
          <w:sz w:val="28"/>
          <w:szCs w:val="28"/>
          <w:lang w:val="en-US" w:eastAsia="zh-CN"/>
        </w:rPr>
        <w:t>职责；</w:t>
      </w:r>
    </w:p>
    <w:p w14:paraId="3FD05317">
      <w:pPr>
        <w:spacing w:line="360" w:lineRule="auto"/>
        <w:ind w:firstLine="383" w:firstLineChars="137"/>
        <w:rPr>
          <w:rFonts w:hint="eastAsia" w:ascii="仿宋" w:hAnsi="仿宋" w:eastAsia="仿宋" w:cs="仿宋"/>
          <w:bCs/>
          <w:sz w:val="28"/>
          <w:szCs w:val="28"/>
          <w:lang w:val="en-US" w:eastAsia="zh-CN"/>
        </w:rPr>
      </w:pPr>
      <w:r>
        <w:rPr>
          <w:rFonts w:hint="eastAsia" w:ascii="仿宋" w:hAnsi="仿宋" w:eastAsia="仿宋" w:cs="仿宋"/>
          <w:bCs/>
          <w:sz w:val="28"/>
          <w:szCs w:val="28"/>
          <w:lang w:val="en-US" w:eastAsia="zh-CN"/>
        </w:rPr>
        <w:t>2.5.16 加强本部门（中心）的危险作业管理。严格作业许可管理，明确审批权限，严格履行作业审批程序，杜绝无票证作业；注重过程安全管控，严格按规程操作，强化风险辨识和管控措施全面有效。</w:t>
      </w:r>
    </w:p>
    <w:p w14:paraId="4F5A1D6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2.5.1</w:t>
      </w:r>
      <w:r>
        <w:rPr>
          <w:rFonts w:hint="eastAsia" w:ascii="仿宋" w:hAnsi="仿宋" w:eastAsia="仿宋" w:cs="仿宋"/>
          <w:bCs/>
          <w:sz w:val="28"/>
          <w:szCs w:val="28"/>
          <w:lang w:val="en-US" w:eastAsia="zh-CN"/>
        </w:rPr>
        <w:t>7</w:t>
      </w:r>
      <w:r>
        <w:rPr>
          <w:rFonts w:hint="eastAsia" w:ascii="仿宋" w:hAnsi="仿宋" w:eastAsia="仿宋" w:cs="仿宋"/>
          <w:bCs/>
          <w:sz w:val="28"/>
          <w:szCs w:val="28"/>
          <w:lang w:eastAsia="zh-CN"/>
        </w:rPr>
        <w:t xml:space="preserve"> </w:t>
      </w:r>
      <w:r>
        <w:rPr>
          <w:rFonts w:hint="eastAsia" w:ascii="仿宋" w:hAnsi="仿宋" w:eastAsia="仿宋" w:cs="仿宋"/>
          <w:bCs/>
          <w:sz w:val="28"/>
          <w:szCs w:val="28"/>
          <w:lang w:eastAsia="zh-CN"/>
        </w:rPr>
        <w:t>法律、法规、规章以及本单位规定的其他安全生产职责。</w:t>
      </w:r>
    </w:p>
    <w:p w14:paraId="4F2655CD">
      <w:pPr>
        <w:pStyle w:val="2"/>
        <w:spacing w:line="360" w:lineRule="auto"/>
        <w:rPr>
          <w:rFonts w:hint="eastAsia" w:ascii="仿宋" w:hAnsi="仿宋" w:eastAsia="仿宋" w:cs="仿宋"/>
          <w:sz w:val="32"/>
          <w:szCs w:val="32"/>
          <w:lang w:eastAsia="zh-CN"/>
        </w:rPr>
      </w:pPr>
      <w:bookmarkStart w:id="2" w:name="_Toc4073"/>
      <w:r>
        <w:rPr>
          <w:rFonts w:hint="eastAsia" w:ascii="仿宋" w:hAnsi="仿宋" w:eastAsia="仿宋" w:cs="仿宋"/>
          <w:sz w:val="32"/>
          <w:szCs w:val="32"/>
          <w:lang w:eastAsia="zh-CN"/>
        </w:rPr>
        <w:t>附 则</w:t>
      </w:r>
      <w:bookmarkEnd w:id="2"/>
      <w:bookmarkStart w:id="4" w:name="_GoBack"/>
      <w:bookmarkEnd w:id="4"/>
    </w:p>
    <w:p w14:paraId="0CB67676">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3</w:t>
      </w:r>
      <w:r>
        <w:rPr>
          <w:rFonts w:ascii="仿宋" w:hAnsi="仿宋" w:eastAsia="仿宋" w:cs="仿宋"/>
          <w:bCs/>
          <w:sz w:val="28"/>
          <w:szCs w:val="28"/>
          <w:lang w:eastAsia="zh-CN"/>
        </w:rPr>
        <w:t>.1</w:t>
      </w:r>
      <w:r>
        <w:rPr>
          <w:rFonts w:hint="eastAsia" w:ascii="仿宋" w:hAnsi="仿宋" w:eastAsia="仿宋" w:cs="仿宋"/>
          <w:bCs/>
          <w:sz w:val="28"/>
          <w:szCs w:val="28"/>
          <w:lang w:eastAsia="zh-CN"/>
        </w:rPr>
        <w:t xml:space="preserve"> 本制度自发布之日起施行。</w:t>
      </w:r>
    </w:p>
    <w:p w14:paraId="4EEB504D">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3</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本制度由公司安环品质部负责解释。</w:t>
      </w:r>
    </w:p>
    <w:p w14:paraId="34748618">
      <w:pPr>
        <w:pStyle w:val="2"/>
        <w:spacing w:line="360" w:lineRule="auto"/>
        <w:rPr>
          <w:rFonts w:hint="eastAsia" w:ascii="仿宋" w:hAnsi="仿宋" w:eastAsia="仿宋" w:cs="仿宋"/>
          <w:sz w:val="32"/>
          <w:szCs w:val="32"/>
          <w:lang w:eastAsia="zh-CN"/>
        </w:rPr>
      </w:pPr>
      <w:bookmarkStart w:id="3" w:name="_Toc17462"/>
      <w:r>
        <w:rPr>
          <w:rFonts w:hint="eastAsia" w:ascii="仿宋" w:hAnsi="仿宋" w:eastAsia="仿宋" w:cs="仿宋"/>
          <w:sz w:val="32"/>
          <w:szCs w:val="32"/>
          <w:lang w:eastAsia="zh-CN"/>
        </w:rPr>
        <w:t>附 件：全员岗位安全生产责任制清单</w:t>
      </w:r>
      <w:bookmarkEnd w:id="3"/>
    </w:p>
    <w:p w14:paraId="754924AD">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全员岗位安全生产责任制详见《全员岗位安全生产责任制清单》，根据岗位调整适时更新。</w:t>
      </w:r>
    </w:p>
    <w:p w14:paraId="67755A00">
      <w:pPr>
        <w:widowControl/>
        <w:rPr>
          <w:rFonts w:hint="eastAsia" w:ascii="仿宋" w:hAnsi="仿宋" w:eastAsia="仿宋" w:cs="仿宋"/>
          <w:bCs/>
          <w:sz w:val="28"/>
          <w:szCs w:val="28"/>
          <w:lang w:eastAsia="zh-CN"/>
        </w:rPr>
        <w:sectPr>
          <w:pgSz w:w="11910" w:h="16840"/>
          <w:pgMar w:top="1440" w:right="1800" w:bottom="1320" w:left="1800" w:header="820" w:footer="1051" w:gutter="0"/>
          <w:cols w:space="720" w:num="1"/>
          <w:docGrid w:linePitch="299" w:charSpace="0"/>
        </w:sectPr>
      </w:pPr>
      <w:r>
        <w:rPr>
          <w:rFonts w:ascii="仿宋" w:hAnsi="仿宋" w:eastAsia="仿宋" w:cs="仿宋"/>
          <w:bCs/>
          <w:sz w:val="28"/>
          <w:szCs w:val="28"/>
          <w:lang w:eastAsia="zh-CN"/>
        </w:rPr>
        <w:br w:type="page"/>
      </w:r>
    </w:p>
    <w:p w14:paraId="23C1B847">
      <w:pPr>
        <w:widowControl/>
        <w:rPr>
          <w:rFonts w:hint="eastAsia" w:ascii="仿宋" w:hAnsi="仿宋" w:eastAsia="仿宋" w:cs="仿宋"/>
          <w:bCs/>
          <w:sz w:val="28"/>
          <w:szCs w:val="28"/>
          <w:lang w:eastAsia="zh-CN"/>
        </w:rPr>
      </w:pPr>
    </w:p>
    <w:tbl>
      <w:tblPr>
        <w:tblStyle w:val="18"/>
        <w:tblW w:w="1470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080"/>
        <w:gridCol w:w="1080"/>
        <w:gridCol w:w="11469"/>
      </w:tblGrid>
      <w:tr w14:paraId="7D094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14709" w:type="dxa"/>
            <w:gridSpan w:val="4"/>
            <w:tcBorders>
              <w:top w:val="single" w:color="000000" w:sz="8" w:space="0"/>
              <w:left w:val="single" w:color="000000" w:sz="8" w:space="0"/>
              <w:bottom w:val="nil"/>
              <w:right w:val="single" w:color="000000" w:sz="8" w:space="0"/>
            </w:tcBorders>
            <w:shd w:val="clear" w:color="auto" w:fill="auto"/>
            <w:vAlign w:val="center"/>
          </w:tcPr>
          <w:p w14:paraId="70BBC233">
            <w:pPr>
              <w:keepNext w:val="0"/>
              <w:keepLines w:val="0"/>
              <w:widowControl/>
              <w:suppressLineNumbers w:val="0"/>
              <w:jc w:val="center"/>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全员岗位安全生产责任制清单</w:t>
            </w:r>
          </w:p>
        </w:tc>
      </w:tr>
      <w:tr w14:paraId="6BA8F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D7C9F">
            <w:pPr>
              <w:keepNext w:val="0"/>
              <w:keepLines w:val="0"/>
              <w:widowControl/>
              <w:suppressLineNumbers w:val="0"/>
              <w:jc w:val="center"/>
              <w:textAlignment w:val="center"/>
              <w:rPr>
                <w:rFonts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序号</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E3046">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部门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0F7937">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岗位</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F71CA">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岗位安全生产职责</w:t>
            </w:r>
          </w:p>
        </w:tc>
      </w:tr>
      <w:tr w14:paraId="445B6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6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21A4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7DA9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005C1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总经理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59181BAC">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项目负责人为职业健康安全第一责任人，对本单位的职业健康安全工作负总责，承担和履行安全第一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2.严格落实“管行业必须管安全、管业务必须管安全、管生产经营必须管安全”和“谁主管、谁负责”的安全生产责任。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3.贯彻执行“安全第一，预防为主、综合治理”的安全生产方针，组织落实全员安全生产责任制。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严格执行集团《事故事件管理制度》《HSE检查及隐患排查治理制度》《HSE 教育培训制度》等安全生产管理制度。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5.建立以本单位第一责任人为首的安全管理网络，层层落实安全生产责任制，推动属地安全管理模式和责任落地。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8.负责对本单位新入职员工（包括承包商及其他相关方）进行安全教育，并经考核合格后方能上岗。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9.组织辨识本单位生产作业活动存在的危险因素，并制定实施有效的预防和管控措施。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13.定期（每季度）召开本单位的安全生产委员会会议，研究、分析、解决安全生产的实际问题，为保障员工的安全营造良好的安全氛围。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14.负责本单位承包商安全生产管理，对工程承包商日常生产作业安全进行监督检查、考核。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16.负责组织开展形式多样的安全教育工作，保证员工具备必要的安全知识，履行本岗位的职责。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17.推进安全文化建设，项目公司负责人必须亲自部署和参加重大安全活动。积极组织并参与公司安全、消防、防污染等各种应急演练活动，提高队伍应急反应能力。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18.组织本单位在用设备设施日常运行使用的检查、维护和保养，保证设备设施的安全完好性。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19.严格落实集团《事故事件管理制度》，坚持按照“四不放过”原则开展事故调查处理，应当认真吸取事故教训，根据事故调查报告要求落实防范和整改措施，防止事故再次发生。</w:t>
            </w:r>
          </w:p>
        </w:tc>
      </w:tr>
      <w:tr w14:paraId="7FDC2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1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541C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6D498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0E2F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总经理助理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4F9DE2C3">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总经理助理为职业健康安全主要责任人，对本单位的职业健康安全工作负总责，承担和履行安全主要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2.严格落实“管行业必须管安全、管业务必须管安全、管生产经营必须管安全”和“谁主管、谁负责”的安全生产责任。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3.贯彻执行“安全第一，预防为主、综合治理”的安全生产方针，组织落实全员安全生产责任制。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严格执行集团《事故事件管理制度》《HSE检查及隐患排查治理制度》《HSE教育培训制度》《消防安全管理制度》等安全生产管理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5.协助建立以本单位第一责任人为首的安全管理网络，层层落实安全生产责任制，推动属地安全管理模式和责任落地。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8.负责对本单位新入职员工（包括承包商及其他相关方）进行安全教育，并经考核合格后方能上岗。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9.组织辨识本单位生产作业活动存在的危险因素，并制定实施有效的预防和管控措施，落实整改措施及对安全事故隐患的整改。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13.定期（每季度）参加本单位的安全生产委员会会议，研究、分析、解决安全生产的实际问题，为保障员工的安全营造良好的安全氛围。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14.负责本单位承包商安全生产管理，对工程承包商日常生产作业安全进行监督检查、考核。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16.监督检查对本单位员工开展形式多样的安全教育工作，保证员工具备必要的安全知识，履行本岗位的职责。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17.推进安全文化建设，必须亲自部署和参加重大安全活动。积极组织并参与公司安全、消防、防污染等各种应急演练活动，提高队伍应急反应能力。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18.监督检查本单位在用设备设施日常运行使用的检查、维护和保养，保证设备设施的安全完好性。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19.严格落实集团《事故事件管理制度》，坚持按照“四不放过”原则开展事故调查处理，应当认真吸取事故教训，根据事故调查报告要求落实防范和整改措施，防止事故再次发生。</w:t>
            </w:r>
          </w:p>
        </w:tc>
      </w:tr>
      <w:tr w14:paraId="1D380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1842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12A81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安环品质部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7D0F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（副）经理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6ED6C38C">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2.建立以第一责任人为首的安全管理网络，层层签订HSE目标责任书。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4.严格落实“管经营必须管安全”和“谁主管、谁负责”制度。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5.组织或者参与拟订本单位安全生产规章制度、操作规程，并监督检查执行情况，保证公司的安全管理体系有效运行和持续改进，大力宣传和推进企业安全文化的实施。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highlight w:val="yellow"/>
                <w:u w:val="none"/>
                <w:lang w:val="en-US" w:eastAsia="zh-CN" w:bidi="ar"/>
              </w:rPr>
              <w:t>6.提出本单位安全生产资金使用计划并组织实施。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7.制定劳动防护用品发放标准，监督本单位劳动防护用品的采购、发放、使用和管理工作，监督、检查从业人员正确佩戴和使用劳动防护用品。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8.负责本单位特种作业人员的安全管理。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9.参与研究并组织落实本单位职业危害预防和职业病防治措施。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10.负责对本单位新入职员工进行安全教育，并经考核合格后方能上岗，如实记录安全生产教育和培训情况。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12.监督指导本单位开展安全生产隐患排查治理工作，及时排查事故隐患，检查生产、作业的安全条件，制止和纠正违章指挥、强令冒险作业、违反操作规程的行为，督促落实本单位重大危险源的安全管理措施。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13.检查安全生产状况，提出改进本单位安全生产管理的建议，督促落实本单位安全生产管理措施。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14.监督指导本单位管辖的承包、承租、协作等单位签订安全生产管理协议，督促检查其履行安全生产职责。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16.依法组织或参与本单位生产安全事故调查处理；配合政府部门事故调查组调查处理生产安全事故，负责事故情况统计、分析和报告，协助有关部门制定事故预防措施并监督执行。</w:t>
            </w:r>
          </w:p>
        </w:tc>
      </w:tr>
      <w:tr w14:paraId="79A4D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ED83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43E1AB">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F6B6F">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安全员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14A659D2">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2.建立以第一责任人为首的安全管理网络，层层签订HSE目标责任书。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4.严格落实“管经营必须管安全”和“谁主管、谁负责”制度。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5.参与拟订本单位安全生产规章制度、操作规程，并监督检查执行情况，保证公司的安全管理体系有效运行和持续改进，大力宣传和推进企业安全文化的实施。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6.落实本单位安全生产资金使用计划并实施。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7.按照劳动防护用品发放标准，监督本单位劳动防护用品的采购、发放、使用和管理工作，监督、检查从业人员正确佩戴和使用劳动防护用品。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8.负责本单位特种作业人员的安全管理。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9.参与研究并组织落实本单位职业危害预防和职业病防治措施。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10.负责对本单位新入职员工进行安全教育，并经考核合格后方能上岗，如实记录安全生产教育和培训情况。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12.监督指导本单位开展安全生产隐患排查治理工作，及时排查事故隐患，检查生产、作业的安全条件，制止和纠正违章指挥、强令冒险作业、违反操作规程的行为，督促落实本单位重大危险源的安全管理措施。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13.检查安全生产状况，提出改进本单位安全生产管理的建议，督促落实本单位安全生产管理措施。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14.监督指导本单位管辖的承包、承租、协作等单位签订安全生产管理协议，督促检查其履行安全生产职责。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16.依法组织或参与本单位生产安全事故调查处理；配合政府部门事故调查组调查处理生产安全事故，负责事故情况统计、分析和报告，协助有关部门制定事故预防措施并监督执行。</w:t>
            </w:r>
          </w:p>
        </w:tc>
      </w:tr>
      <w:tr w14:paraId="11972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E5AC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022CBB">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安环品质部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1861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督察员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556E3E3B">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2.建立以第一责任人为首的安全管理网络，层层签订HSE目标责任书。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4.严格落实“管经营必须管安全”和“谁主管、谁负责”制度。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5.参与拟订本单位安全生产规章制度、操作规程，并监督检查执行情况，保证公司的安全管理体系有效运行和持续改进，大力宣传和推进企业安全文化的实施。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6.落实本单位安全生产资金使用计划并实施。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7.按照劳动防护用品发放标准，监督本单位劳动防护用品的采购、发放、使用和管理工作，监督、检查从业人员正确佩戴和使用劳动防护用品。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8.负责本单位特种作业人员的安全管理。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9.参与研究并组织落实本单位职业危害预防和职业病防治措施。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10.负责对本单位新入职员工进行安全教育，并经考核合格后方能上岗，如实记录安全生产教育和培训情况。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 监督指导本单位开展安全生产隐患排查治理工作，及时排查事故隐患，检查生产、作业的安全条件，制止和纠正违章指挥、强令冒险作业、违反操作规程的行为，督促落实本单位重大危险源的安全管理措施。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13.检查安全生产状况，提出改进本单位安全生产管理的建议，督促落实本单位安全生产管理措施。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14.监督指导本单位管辖的承包、承租、协作等单位签订安全生产管理协议，督促检查其履行安全生产职责。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16.依法组织或参与本单位生产安全事故调查处理；配合政府部门事故调查组调查处理生产安全事故，负责事故情况统计、分析和报告，协助有关部门制定事故预防措施并监督执行。</w:t>
            </w:r>
          </w:p>
        </w:tc>
      </w:tr>
      <w:tr w14:paraId="568E7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D645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1D5257">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人力综合部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CAA87">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（副）经理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007BDA8C">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6.落实对部门新入职员工（包括承包商及其他相关方）进行安全教育，并经考核合格后方能上岗的执行情况。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7.组织辨识本部门生产作业活动存在的危险因素，并制定实施有效的预防和管控措施，落实整改措施及对安全事故隐患的整改。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9.着重加强本部门安全建设，深入开展本部门无事故活动，充分发挥班前学习的作用，规范安全行为。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11.定期（每季度）参与本单位的安全生产委员会会议，研究、分析、解决安全生产的实际问题，为保障员工的安全营造良好的安全氛围。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12.负责本部门所属承包商安全生产管理，对工程承包商日常生产作业安全进行监督检查、考核。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13.组织对本部门员工开展形式多样的安全教育工作，保证员工具备必要的安全知识，履行本岗位的职责。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15.监督检查本部门在用设备设施日常运行使用的检查、维护和保养，保证设备设施的安全完好性。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17.对公司人员有建议任免权。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19.负责做好公司行政、后勤安全保障工作，参与各类事件、事故的调查及处理工作。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20.自主招聘员工，上岗前必须依法签订劳动合同、劳务合同、协议书，并进行岗前培训。同时要保证人员的稳定性，控制职工的流动。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严禁录用残、哑、聋、呆、傻、癫痫、等先天性病史、心脑血管疾病、精神病史等人员，发现一人，按照《员工奖惩制度》条款进行罚款，造成安全生产事故、财产损失的，视情节轻重予以《按照事故处理流程》条款进行相应的处罚。</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22.负责组织做好本部门安全生产教育培训工作（新入职、岗前、岗中、岗后）。</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23.负责人力资源管理工作。组织做好劳动合同及劳务合同的签订，告知职业危害及其后果，职业病防护措施和待遇等真实情况。保护职工合法权益，依法参加工伤社会保险。</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24.组织新员工岗前体检、职业病报告工作，做好妇女职工劳动保护工作。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25.采购的劳保用品必须符合规格标准，保证防护用品的质量和作用。对批准的安全设施所需材料应纳入计划，及时供应。</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26.对承包商、供应商等相关方的资格预审、选择、服务前准备、作业过程监督、提供的产品、技术服务、表现评估、续用等进行监督。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27.吸取事故教训，分析事故原因，提出整改意见或建议。</w:t>
            </w:r>
          </w:p>
        </w:tc>
      </w:tr>
      <w:tr w14:paraId="0178C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5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DEB8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7</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3E1464">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E0CA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行政主管</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2B4E8048">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6.接受项目公司组织的安全教育，并经考核合格后方能上岗。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7.熟悉掌握本部门生产作业活动存在的危险因素，根据制定预防和管控措施，落实整改措施及对安全事故隐患的整改。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9.着重加强本部门安全建设，深入开展本部门无事故活动，充分发挥班前学习的作用，规范安全行为。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11.对承包商、供应商等相关方的资格预审、选择、服务前准备、作业过程监督、提供的产品、技术服务、表现评估、续用等进行监督。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12.负责本部门所属承包商安全生产管理，对工程承包商日常生产作业安全进行监督检查、考核。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13.参加项目公司开展的安全教育工作，具备必要的安全知识，履行本岗位的安全职责。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18.负责做好公司行政、后勤安全保障工作，参与各类事件、事故的调查及处理工作。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19.采购的劳保用品必须符合规格标准，保证防护用品的质量和作用。对批准的安全设施所需材料应纳入计划，及时供应。</w:t>
            </w:r>
          </w:p>
        </w:tc>
      </w:tr>
      <w:tr w14:paraId="37D45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3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BAA3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8</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629EDD">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人力综合部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663CE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人力专员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3168CABB">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6.落实对公司新入职员工（包括承包商及其他相关方）进行安全教育，并经考核合格后方能上岗的执行情况。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7.学习掌握本岗位生产作业活动存在的危险因素，执行公司制定的预防和管控措施。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10.参加公司开展的安全教育工作，具备必要的安全知识，履行本岗位的安全职责。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11.积极参与公司安全、消防、防污染等各种应急演练活动，提高应急反应能力。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13.完成本部门在用设备设施日常运行使用的检查、维护和保养，保证设备设施的安全完好性。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15.对公司人员有建议任免权。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17.自主招聘员工，上岗前必须依法签订劳动合同、劳务合同、协议书，并进行岗前培训。同时要保证人员的稳定性，控制职工的流动。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严禁录用残、哑、聋、呆、傻、癫痫、等先天性病史、心脑血管疾病、精神病史等人员，发现一人，按照《员工奖惩制度》条款进行罚款，造成安全生产事故、财产损失的，视情节轻重予以《按照事故处理流程》条款进行相应的处罚。</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19.负责组织做好本公司教育培训工作（新入职、岗前、岗中、岗后）。</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20.负责人力资源管理工作。组织做好劳动合同及劳务合同的签订，告知职业危害及其后果，职业病防护措施和待遇等真实情况。保护职工合法权益，依法参加工伤社会保险。</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21.组织新员工岗前体检、职业病报告工作，做好妇女职工劳动保护工作。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22.吸取事故教训，分析事故原因，提出整改意见或建议。</w:t>
            </w:r>
          </w:p>
        </w:tc>
      </w:tr>
      <w:tr w14:paraId="44944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5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12DF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9</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E81F0C">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1461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库管专员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1CDAAB61">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6.接受项目公司组织的安全教育，并经考核合格后方能上岗。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7.熟悉掌握本部门生产作业活动存在的危险因素，根据制定预防和管控措施，落实整改措施及对安全事故隐患的整改。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9.着重加强本部门安全建设，深入开展本部门无事故活动，充分发挥班前学习的作用，规范安全行为。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11.参加项目公司开展的安全教育工作，具备必要的安全知识，履行本岗位的安全职责。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13.监督检查本部门在用设备设施日常运行使用的检查、维护和保养，保证设备设施的安全完好性。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16.负责做好项目公司后勤安全保障工作，参与各类事件、事故的调查及处理工作。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17.根据公司要求及时发放劳动用品并做好记录。</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18.保料存放要提前做好定置管理，减少不必要的搬运。</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19.物料堆放平稳，储存应按种类、大小、长短整齐堆置，防止倒塌，做到整齐有序。</w:t>
            </w:r>
          </w:p>
        </w:tc>
      </w:tr>
      <w:tr w14:paraId="08A1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1B45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8242E">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财务管理部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9E56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会计</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714B6D20">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6.组织辨识本部门生产作业活动存在的危险因素，并制定实施有效的预防和管控措施，落实整改措施及对安全事故隐患的整改。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8.着重加强本部门安全建设，深入开展本部门无事故活动，充分发挥班前学习的作用，规范安全行为。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10.定期（每季度）参与本单位的安全生产委员会会议，研究、分析、解决安全生产的实际问题，为保障员工的安全营造良好的安全氛围。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11.负责本部门所属承包商安全生产管理，对工程承包商日常生产作业安全进行监督检查、考核。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12.参加安全教育，具备必要的安全知识，履行本岗位的职责。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17.按照有关规定和实际需要，安排年度安全技术措施经费和劳保费用。按规定做好培训费用的提取和使用，做到专款专用。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18.协助安全、生产管理部门办理安全、生产奖罚款手续，对奖励、罚款等建立专项台账进行管理。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19.对审定的安全生产所需经费，列入年度预算，落实资金并专项立账使用，督促、检查安全经费的使用情况。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 负责安全生产奖、罚款的收付工作，保证奖罚兑现。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 做好财务帐簿、保险柜的管理工作，做好防火、防盗、防破坏工作，积极协助其它部门做好安全生产工作。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 确定安全费用提取标准，专项用于安全生产，保证资金到位。</w:t>
            </w:r>
          </w:p>
        </w:tc>
      </w:tr>
      <w:tr w14:paraId="39CA4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E7D8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11</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AF14C3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生产运营部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FB19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机械作业中心（副）经理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650C0990">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为本单位机械作业中心职业健康安全主要责任人，对本单位的职业健康安全工作负总责，承担和履行安全主要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5.履行以本单位第一责任人为首的安全管理网络，层层落实安全生产责任制，推动属地安全管理模式和责任落地。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8.落实对本单位新入职员工（包括承包商及其他相关方）进行安全教育，并经考核合格后方能上岗的执行情况。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9.组织辨识本单位生产作业活动存在的危险因素，并制定实施有效的预防和管控措施，落实整改措施及对安全事故隐患的整改。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13.定期（每季度）参与本单位的安全生产委员会会议，研究、分析、解决安全生产的实际问题，为保障员工的安全营造良好的安全氛围。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14.负责本单位承包商安全生产管理，对工程承包商日常生产作业安全进行监督检查、考核。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16.组织对本单位员工开展形式多样的安全教育工作，保证员工具备必要的安全知识，履行本岗位的职责。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17.推进安全文化建设，项目公司生产运营部经理必须亲自部署和参加重大安全活动。积极组织并参与公司安全、消防、防污染等各种应急演练活动，提高队伍应急反应能力。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18.负责本单位在用设备设施日常运行使用的检查、维护和保养，保证设备设施的安全完好性。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20.负责安全生产的组织和监督检查,并对生产执行当中存在的问题及时组织有关社区整改情况的落实，是生产管理第一责任者，主管车辆、驾驶员、转运站设备设施及转运站操作工。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21.负责对生产资产、材料、劳保福利、办公用品等计划的审批。对使用、维护、报废进行管理。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23.有权对公司分管转运站、各车辆人员进行管理，对所辖人员有建议任免权和停职权。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24.协助项目总经理、安环品质部处理生产的安全管理工作。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25.协助项目总经理各类工作，为项目总经理在生产体系管理、安全生产方面决策提供技术支持、根据项目发展需要，制定和完善生产安全体系、生产管理制度。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26.严格管理本部门车辆，禁止公车私用，非工作时间、非工作地点，发生事故由驾驶员本人负责，情况严重的解除劳动合同，毒驾、酒驾、无证驾驶一经发现解除劳动合同。</w:t>
            </w:r>
          </w:p>
        </w:tc>
      </w:tr>
      <w:tr w14:paraId="4D6E2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4662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FB2966">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24C4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乡镇主管</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51CD1E26">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为本单位生产运营部分管街道、乡镇职业健康安全主要责任人，对本单位生产运营部分管街道、乡镇的职业健康安全工作负总责，承担和履行安全主要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5.履行以本单位第一责任人为首的安全管理网络，层层落实安全生产责任制，推动属地安全管理模式和责任落地。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8.落实对本单位生产运营部分管街道、乡镇新入职员工（包括承包商及其他相关方）进行安全教育，并经考核合格后方能上岗的执行情况。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9.组织辨识本单位生产运营部分管街道、乡镇生产作业活动存在的危险因素，并制定实施有效的预防和管控措施，落实整改措施及对安全事故隐患的整改。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13.定期（每季度）参与本单位的安全生产委员会会议，研究、分析、解决安全生产的实际问题，为保障员工的安全营造良好的安全氛围。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14.负责本单位生产运营部分管街道、乡镇所属承包商安全生产管理，对工程承包商日常生产作业安全进行监督检查、考核。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16.组织对本部门员工开展形式多样的安全教育工作，保证员工具备必要的安全知识，履行本岗位的职责。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17.推进安全文化建设，项目公司生产运营部分管街道、乡镇必须亲自部署和参加重大安全活动。积极组织并参与公司安全、消防、防污染等各种应急演练活动，提高队伍应急反应能力。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18.监督检查本单位在用设备设施日常运行使用的检查、维护和保养，保证设备设施的安全完好性。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20.负责安全生产的组织和监督检查,并对生产执行当中存在的问题及时组织本区域整改情况的落实，是生产管理第一责任者。</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21.有权对分管街道、乡镇进行管理，对所辖人员有建议任免权和停职权。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22.协助安环品质部处理生产的安全管理工作。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23.协助安环品质部对各类事件、事故的调查及处理工作。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24.自主招聘员工，上岗前必须依法签订劳动合同、协议书，并进行岗前培训。同时要保证人员的稳定性，控制职工的流动。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25.严禁录用残、哑、聋、呆、傻、癫痫、等先天性病史、心脑血管疾病、精神病史等人员，发现一人，按照《员工奖惩制度》条款进行罚款，造成安全生产事故、财产损失的，视情节轻重予以《按照事故处理流程》条款进行相应的处罚。</w:t>
            </w:r>
          </w:p>
        </w:tc>
      </w:tr>
      <w:tr w14:paraId="2FB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CF04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13</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C25478">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3C5A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乡镇管理员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08684119">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1.为本组的安全主要责任人，承担和履行安全主要责任人的职责，加强对安全工作的领导，重视、支持、关心安全工作，采取有力防范措施，严格控制各类事故的发生。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5.履行以本单位第一责任人为首的安全管理网络，层层落实安全生产责任制，推动属地安全管理模式和责任落地。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8.落实对本组新入职员工进行安全教育，并经考核合格后方能上岗的执行情况。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9.组织辨识本组生产作业活动存在的危险因素，并制定实施有效的预防和管控措施，落实整改措施及对安全事故隐患的整改。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14.组织对组员工开展形式多样的安全教育工作，保证员工具备必要的安全知识，履行本岗位的职责。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16.监督检查本组在用设备设施日常运行使用的检查、维护和保养，保证设备设施的安全完好性。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18.负责安全生产的组织和监督检查,并对生产执行当中存在的问题及时组织本区域整改情况的落实。</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19.对所辖人员有建议任免权和停职权。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20.协助安环品质部处理生产的安全管理工作。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21.协助安环品质部对各类事件、事故的调查及处理工作。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22.自主招聘员工，上岗前必须依法签订劳动合同、协议书，并进行岗前培训。同时要保证人员的稳定性，控制职工的流动。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23.严禁录用残、哑、聋、呆、傻、癫痫、等先天性病史、心脑血管疾病、精神病史等人员，发现一人，按照《员工奖惩制度》条款进行罚款，造成安全生产事故、财产损失的，视情节轻重予以《按照事故处理流程》条款进行相应的处罚。</w:t>
            </w:r>
          </w:p>
        </w:tc>
      </w:tr>
      <w:tr w14:paraId="20C8F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1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1FDFB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14</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C4B6DC">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7F23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保洁员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75B2F885">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1.认真学习与贯彻执行国家安全生产规定及公司与班组的各项安全生产制度纪律，参加公司或班组的各种安全技术教育培训，掌握本工种的基本劳动保护措施，提高安全生产意识。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听从上级领导及安全管理人员的指挥，积极参加各项安全生产活动，不得参与有损公司形象的活动或其它非法活动；接受上级部门组织的各项安全检查与指导，并针对所提出问题及时落实整改，接受上级部门的各项奖罚处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3.工作期间必须穿公司统一发放的工作服、安全反光背心、按要求使用劳动保护用品。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4.不擅离职守，不违章作业，不酒后作业，不野蛮作业，工作过程中做到“三不伤害”，即不伤害自己、不伤害他人、不被他人伤害。</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5.工作前后必须认真检查、清点自己所使用的机械设备和各种工具，保证安全可靠；正确使用和爱护作业工具，不得私自改动设备的功能、结构。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6.不管是上下班途中还是在作业过程中都需要严格遵守交通规则,提高警觉,以免发生意外。</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7.根据安全操作规程的规定和岗位的特殊规定，正确穿戴工作服、劳动保护用品，正确使用安全器具。</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8.按照公司要求参加“三级”（公司、部门、班组）安全教育及考核，对相关的安全生产管理工作提出改进意见和建议。</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9.员工在工作期间如有身体不适应及时向上级领导汇报，不得带病工作；工作期间不允许私自找人顶岗工作。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10.发生事故和危险时，应按照公司要求立即履行逐级上报程序，保护好事故现场，进行适当抢救，并认真配合事故调查人员的工作。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11.在生产作业过程中，对违反安全生产规章制度的人和事，任何人都有义务予以制止或报告有关部门。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12.发生事故按要求及时上报，配合事故调查处理。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13.高温天气时听从上级领导安排的作业时间工作。保洁作业中如有身体不适，应及时休息并通知上级领导；</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保洁人员在冬季进行路面作业时必须做好保暖防寒措施，避免冻伤；在冬季结冰路面作业时必须注意安全避免滑倒摔伤；在进行路面作业时注意机动车和非机动车，与之保持有效的安全距离（比正常情况下增加一定距离），确保安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15.保洁人员在遇有绿化隔离带或中心隔离护栏的道路作业时，严禁横穿道路、翻越隔离护栏。</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保洁人员对机动车道进行清扫、保洁作业时必须在道路外侧（靠近路边或非机动车道一侧）作业。对非机动车道清扫、保洁作业时必须在道路外侧（靠近人行道一侧），清扫时应面向来车方向进行清扫作业，以便于观察车辆的动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17.将电动三轮车等工具放置在来车方向，以提示驾驶人员前方路段有环卫工人正在清扫作业。</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18.严禁私车公用。骑行的交通工具只能用作上下班使用，不得擅自将私家三轮车作为作业车辆使用。</w:t>
            </w:r>
          </w:p>
        </w:tc>
      </w:tr>
      <w:tr w14:paraId="45089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9E52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15</w:t>
            </w:r>
          </w:p>
        </w:tc>
        <w:tc>
          <w:tcPr>
            <w:tcW w:w="1080" w:type="dxa"/>
            <w:tcBorders>
              <w:top w:val="nil"/>
              <w:left w:val="single" w:color="000000" w:sz="4" w:space="0"/>
              <w:bottom w:val="single" w:color="000000" w:sz="4" w:space="0"/>
              <w:right w:val="single" w:color="000000" w:sz="4" w:space="0"/>
            </w:tcBorders>
            <w:shd w:val="clear" w:color="auto" w:fill="auto"/>
            <w:vAlign w:val="center"/>
          </w:tcPr>
          <w:p w14:paraId="5E0E1E3F">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028BE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挂桶工</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5E57C5F5">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1.认真学习与贯彻执行国家安全生产规定及公司与班组的各项安全生产制度纪律，参加公司或班组的各种安全技术教育培训，掌握本工种的基本劳动保护措施，提高安全生产意识。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听从上级领导及安全管理人员的指挥，积极参加各项安全生产活动，不得参与有损公司形象的活动或其它非法活动；接受上级部门组织的各项安全检查与指导，并针对所提出问题及时落实整改，接受上级部门的各项奖罚处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3.工作期间必须穿公司统一发放的工作服、安全反光背心、按要求使用劳动保护用品。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4.不擅离职守，不违章作业，不酒后作业，不野蛮作业，工作过程中做到“三不伤害”，即不伤害自己、不伤害他人、不被他人伤害。</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5.工作前后必须认真检查、清点自己所使用的机械设备和各种工具，保证安全可靠；正确使用和爱护作业工具，不得私自改动设备的功能、结构。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6.不管是上下班途中还是在作业过程中都需要严格遵守交通规则,提高警觉,以免发生意外。</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7.根据安全操作规程的规定和岗位的特殊规定，正确穿戴工作服、劳动保护用品，正确使用安全器具。</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8.按照公司要求参加“三级”（公司、部门、班组）安全教育及考核，对相关的安全生产管理工作提出改进意见和建议。</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9.员工在工作期间如有身体不适应及时向上级领导汇报，不得带病工作；工作期间不允许私自找人顶岗工作。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10.发生事故和危险时，应按照公司要求立即履行逐级上报程序，保护好事故现场，进行适当抢救，并认真配合事故调查人员的工作。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11.在生产作业过程中，对违反安全生产规章制度的人和事，任何人都有义务予以制止或报告有关部门。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12.发生事故按要求及时上报，配合事故调查处理。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13.在作业后，步行至下个作业点进行作业或在副驾驶位置，禁止攀爬在传动机构处。</w:t>
            </w:r>
          </w:p>
        </w:tc>
      </w:tr>
      <w:tr w14:paraId="53C28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31AE7">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16</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E1BA6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生产运营部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8774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转运站操作工</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6BE71682">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2.认真执行《安全生产法》《劳动法》《消防法》《道路交通安全法》《生产安全事故报告和调查处理条例》等有关安全生产法律法规、政策、标准规范的要求。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3.履行以本单位第一责任人为首的安全管理网络，落实本岗位安全生产责任制。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4.学习公司安全管理制度文件，执行公司安全管理相关规定。严格遵守车辆操作规程，严禁酒后驾驶，超速行驶，严禁车内吸烟，严禁在过度疲劳或患有严重疾病的情况下驾驶车辆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5.学习掌握本岗位生产作业活动存在的危险因素，执行公司制定的预防和管控措施。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7.参加公司开展的安全教育工作，具备必要的安全知识，履行本岗位的安全职责。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8.积极参与公司安全、消防、防污染等各种应急演练活动，提高应急反应能力。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9.负责管理好安全设备，做好勤维护，勤保养。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10.做好使用设备和工作环境的卫生工作，保持工作环境整洁。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11.有权制止无关人员进入转运站，有权制止对安全生产有危险的行为。工作时间坚守岗位，严禁脱岗、睡岗、酒后上岗。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12.熟悉消防器材的使用和扑救方法，负责本工作场所的安全监督管理，发现不安全因素和危机安全的行为及时制止和汇报。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13.做好本岗位设备设施、安全消防器材的日常维护保养。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14.有权拒绝违章指挥。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15.如实做好转运站的各项记录。</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16.发生事故按要求及时上报，配合事故调查处理。</w:t>
            </w:r>
          </w:p>
        </w:tc>
      </w:tr>
      <w:tr w14:paraId="0F244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BF38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17</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823DEB">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E5786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驾驶员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3348F294">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2.认真执行《安全生产法》《劳动法》《消防法》《道路交通安全法》《生产安全事故报告和调查处理条例》等有关安全生产法律法规、政策、标准规范的要求。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3.履行以本单位第一责任人为首的安全管理网络，落实本岗位安全生产责任制。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4.学习公司安全管理制度文件，执行公司安全管理相关规定。严格遵守车辆操作规程，严禁酒后驾驶，超速行驶，严禁车内吸烟，严禁在过度疲劳或患有严重疾病的情况下驾驶车辆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5.学习掌握本岗位生产作业活动存在的危险因素，执行公司制定的预防和管控措施。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7.参加公司开展的安全教育工作，具备必要的安全知识，履行本岗位的安全职责。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8.积极参与公司安全、消防、防污染等各种应急演练活动，提高应急反应能力。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9.驾驶员必需保证所驾驶的车辆车况良好，出车前严格按照“三检表”中的出车前检查，发现问题及时汇报维修。</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10.保证所驾驶车辆车况良好，并按规定做好车辆的保养，保持车容干净车况良好，GPS等通迅工具能正常使用。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11.严格落实集团《事故事件管理制度》，应当认真吸取事故教训，根据事故调查报告要求，举一反三，防止事故再次发生。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12.对公司检查出来的问题，及时落实整改。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13.禁止公车私用，非工作时间、非工作地点，发生事故由驾驶员本人负责，情况严重的解除劳动合同，毒驾、酒驾、无证驾驶一经发现解除劳动合同。</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14.驶员在岗期间如发生交通事故，无论事故大小必须及时上报，不得逃逸、瞒报、谎报和延误上报。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15.严禁将车辆交与他人驾驶，车辆驾驶员替换需要部门经理批准。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16.严禁私自搭乘公司以外的人员乘坐作业车辆。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17.按照公司规定，将车辆停放在固定位置。</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18.发生事故按要求及时上报，协助事故调查、分析，落实防范措施。</w:t>
            </w:r>
          </w:p>
        </w:tc>
      </w:tr>
      <w:tr w14:paraId="4D76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596A6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18</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490C1A">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A425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生产文员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07C67467">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6.落实对部门新入职员工（包括承包商及其他相关方）进行安全教育，并经考核合格后方能上岗的执行情况。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7.学习掌握本岗位生产作业活动存在的危险因素，执行公司制定的预防和管控措施。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10.参加公司开展的安全教育工作，具备必要的安全知识，履行本岗位的安全职责。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11.积极参与公司安全、消防、防污染等各种应急演练活动，提高应急反应能力。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12.监督检查本部门在用设备设施日常运行使用的检查、维护和保养，保证设备设施的安全完好性。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13.吸取事故教训，分析事故原因，提出整改意见或建议。</w:t>
            </w:r>
          </w:p>
        </w:tc>
      </w:tr>
    </w:tbl>
    <w:p w14:paraId="22B9F285">
      <w:pPr>
        <w:widowControl/>
        <w:rPr>
          <w:rFonts w:hint="eastAsia" w:ascii="仿宋" w:hAnsi="仿宋" w:eastAsia="仿宋" w:cs="仿宋"/>
          <w:bCs/>
          <w:sz w:val="28"/>
          <w:szCs w:val="28"/>
          <w:lang w:eastAsia="zh-CN"/>
        </w:rPr>
      </w:pPr>
    </w:p>
    <w:sectPr>
      <w:pgSz w:w="16840" w:h="11910" w:orient="landscape"/>
      <w:pgMar w:top="993" w:right="1440" w:bottom="-49" w:left="1320" w:header="820" w:footer="1051"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E968C">
    <w:pPr>
      <w:spacing w:line="14" w:lineRule="auto"/>
      <w:rPr>
        <w:sz w:val="20"/>
        <w:szCs w:val="20"/>
      </w:rPr>
    </w:pPr>
    <w:r>
      <w:rPr>
        <w:lang w:eastAsia="zh-CN"/>
      </w:rPr>
      <mc:AlternateContent>
        <mc:Choice Requires="wps">
          <w:drawing>
            <wp:anchor distT="0" distB="0" distL="114300" distR="114300" simplePos="0" relativeHeight="251660288" behindDoc="1" locked="0" layoutInCell="1" allowOverlap="1">
              <wp:simplePos x="0" y="0"/>
              <wp:positionH relativeFrom="page">
                <wp:posOffset>3849370</wp:posOffset>
              </wp:positionH>
              <wp:positionV relativeFrom="page">
                <wp:posOffset>9884410</wp:posOffset>
              </wp:positionV>
              <wp:extent cx="167005" cy="139700"/>
              <wp:effectExtent l="0" t="0" r="0" b="0"/>
              <wp:wrapNone/>
              <wp:docPr id="1604" name="Text Box 9"/>
              <wp:cNvGraphicFramePr/>
              <a:graphic xmlns:a="http://schemas.openxmlformats.org/drawingml/2006/main">
                <a:graphicData uri="http://schemas.microsoft.com/office/word/2010/wordprocessingShape">
                  <wps:wsp>
                    <wps:cNvSpPr txBox="1">
                      <a:spLocks noChangeArrowheads="1"/>
                    </wps:cNvSpPr>
                    <wps:spPr bwMode="auto">
                      <a:xfrm>
                        <a:off x="0" y="0"/>
                        <a:ext cx="167005" cy="139700"/>
                      </a:xfrm>
                      <a:prstGeom prst="rect">
                        <a:avLst/>
                      </a:prstGeom>
                      <a:noFill/>
                      <a:ln>
                        <a:noFill/>
                      </a:ln>
                      <a:effectLst/>
                    </wps:spPr>
                    <wps:txbx>
                      <w:txbxContent>
                        <w:p w14:paraId="2C87921F">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left:303.1pt;margin-top:778.3pt;height:11pt;width:13.15pt;mso-position-horizontal-relative:page;mso-position-vertical-relative:page;z-index:-251656192;mso-width-relative:page;mso-height-relative:page;" filled="f" stroked="f" coordsize="21600,21600" o:gfxdata="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ibuctoAAAANAQAADwAAAAAAAAABACAAAAAiAAAAZHJz&#10;L2Rvd25yZXYueG1sUEsBAhQAFAAAAAgAh07iQPEpM4MCAgAAFAQAAA4AAAAAAAAAAQAgAAAAKQEA&#10;AGRycy9lMm9Eb2MueG1sUEsFBgAAAAAGAAYAWQEAAJ0FAAAAAA==&#10;">
              <v:fill on="f" focussize="0,0"/>
              <v:stroke on="f"/>
              <v:imagedata o:title=""/>
              <o:lock v:ext="edit" aspectratio="f"/>
              <v:textbox inset="0mm,0mm,0mm,0mm">
                <w:txbxContent>
                  <w:p w14:paraId="2C87921F">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4C449">
    <w:pPr>
      <w:pStyle w:val="14"/>
      <w:jc w:val="both"/>
      <w:rPr>
        <w:lang w:eastAsia="zh-CN"/>
      </w:rPr>
    </w:pPr>
    <w:r>
      <w:rPr>
        <w:rFonts w:hint="eastAsia" w:ascii="宋体" w:hAnsi="宋体" w:eastAsia="宋体" w:cs="宋体"/>
        <w:lang w:eastAsia="zh-CN"/>
      </w:rPr>
      <w:t>安全生产责任制度</w:t>
    </w: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6530D7"/>
    <w:multiLevelType w:val="multilevel"/>
    <w:tmpl w:val="596530D7"/>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hMGE2YjQ0MDBlNjRiZjAxOTgyNGFjYjQ1NDNmNGUifQ=="/>
    <w:docVar w:name="KSO_WPS_MARK_KEY" w:val="5e547162-f7c9-4204-a924-fce1794925ba"/>
  </w:docVars>
  <w:rsids>
    <w:rsidRoot w:val="7EDF0F19"/>
    <w:rsid w:val="0001649A"/>
    <w:rsid w:val="000527BA"/>
    <w:rsid w:val="000A1AEC"/>
    <w:rsid w:val="000D7AD6"/>
    <w:rsid w:val="0015032A"/>
    <w:rsid w:val="00195132"/>
    <w:rsid w:val="001E5817"/>
    <w:rsid w:val="00203554"/>
    <w:rsid w:val="002929B0"/>
    <w:rsid w:val="002F42CC"/>
    <w:rsid w:val="00315F77"/>
    <w:rsid w:val="003634F0"/>
    <w:rsid w:val="00397451"/>
    <w:rsid w:val="003C4C52"/>
    <w:rsid w:val="003E7A38"/>
    <w:rsid w:val="0043740F"/>
    <w:rsid w:val="00557800"/>
    <w:rsid w:val="005931DF"/>
    <w:rsid w:val="005A12DC"/>
    <w:rsid w:val="005C6F64"/>
    <w:rsid w:val="00614429"/>
    <w:rsid w:val="006B3E36"/>
    <w:rsid w:val="006D1626"/>
    <w:rsid w:val="006F22E3"/>
    <w:rsid w:val="007A1658"/>
    <w:rsid w:val="007C308B"/>
    <w:rsid w:val="007E192E"/>
    <w:rsid w:val="007F1814"/>
    <w:rsid w:val="007F32FB"/>
    <w:rsid w:val="00803E77"/>
    <w:rsid w:val="009014C7"/>
    <w:rsid w:val="009575DF"/>
    <w:rsid w:val="009774FF"/>
    <w:rsid w:val="009C46F2"/>
    <w:rsid w:val="009F6E72"/>
    <w:rsid w:val="009F73EE"/>
    <w:rsid w:val="00B42612"/>
    <w:rsid w:val="00B50251"/>
    <w:rsid w:val="00BF706B"/>
    <w:rsid w:val="00C06742"/>
    <w:rsid w:val="00C55F23"/>
    <w:rsid w:val="00CA7439"/>
    <w:rsid w:val="00CD47DB"/>
    <w:rsid w:val="00D81A17"/>
    <w:rsid w:val="00DC7929"/>
    <w:rsid w:val="00DE196D"/>
    <w:rsid w:val="00E125E2"/>
    <w:rsid w:val="00E75E1B"/>
    <w:rsid w:val="00EF3F5D"/>
    <w:rsid w:val="00F33A3D"/>
    <w:rsid w:val="00F3643E"/>
    <w:rsid w:val="00F602B3"/>
    <w:rsid w:val="00F73244"/>
    <w:rsid w:val="012A5F16"/>
    <w:rsid w:val="015E1342"/>
    <w:rsid w:val="04BF27C1"/>
    <w:rsid w:val="04C42EA2"/>
    <w:rsid w:val="05302971"/>
    <w:rsid w:val="0577746E"/>
    <w:rsid w:val="05F85598"/>
    <w:rsid w:val="06ED651A"/>
    <w:rsid w:val="073A569E"/>
    <w:rsid w:val="07A17E20"/>
    <w:rsid w:val="080971AF"/>
    <w:rsid w:val="090221EB"/>
    <w:rsid w:val="09D61B19"/>
    <w:rsid w:val="0A6C2012"/>
    <w:rsid w:val="0AF71DB6"/>
    <w:rsid w:val="0B416FFB"/>
    <w:rsid w:val="0E6C76B9"/>
    <w:rsid w:val="0EE26D46"/>
    <w:rsid w:val="106A2B50"/>
    <w:rsid w:val="11072A94"/>
    <w:rsid w:val="11746151"/>
    <w:rsid w:val="11D16BFE"/>
    <w:rsid w:val="126565A7"/>
    <w:rsid w:val="128F0014"/>
    <w:rsid w:val="1297303E"/>
    <w:rsid w:val="13E9022F"/>
    <w:rsid w:val="140C420A"/>
    <w:rsid w:val="146B50E8"/>
    <w:rsid w:val="14C709EA"/>
    <w:rsid w:val="160550C9"/>
    <w:rsid w:val="16E573D4"/>
    <w:rsid w:val="172D5E73"/>
    <w:rsid w:val="19960E59"/>
    <w:rsid w:val="19D61256"/>
    <w:rsid w:val="1A69031C"/>
    <w:rsid w:val="1AE741D9"/>
    <w:rsid w:val="1C6012AB"/>
    <w:rsid w:val="1E90231B"/>
    <w:rsid w:val="1FA92442"/>
    <w:rsid w:val="202D1DEC"/>
    <w:rsid w:val="225B16C5"/>
    <w:rsid w:val="22B90615"/>
    <w:rsid w:val="241B0ABE"/>
    <w:rsid w:val="242552B4"/>
    <w:rsid w:val="248D10AB"/>
    <w:rsid w:val="251E0098"/>
    <w:rsid w:val="266F182D"/>
    <w:rsid w:val="26E935DD"/>
    <w:rsid w:val="27554102"/>
    <w:rsid w:val="29514455"/>
    <w:rsid w:val="2A222295"/>
    <w:rsid w:val="2B1020EE"/>
    <w:rsid w:val="2B5621F6"/>
    <w:rsid w:val="2BE23A8A"/>
    <w:rsid w:val="2C9F5E1F"/>
    <w:rsid w:val="2CA46F92"/>
    <w:rsid w:val="2D012636"/>
    <w:rsid w:val="2E114AFB"/>
    <w:rsid w:val="2F111609"/>
    <w:rsid w:val="2F236894"/>
    <w:rsid w:val="2FA56B84"/>
    <w:rsid w:val="2FC60F7E"/>
    <w:rsid w:val="303074BA"/>
    <w:rsid w:val="32904240"/>
    <w:rsid w:val="329572EE"/>
    <w:rsid w:val="350902DA"/>
    <w:rsid w:val="358D2CB9"/>
    <w:rsid w:val="35B9585C"/>
    <w:rsid w:val="360F7196"/>
    <w:rsid w:val="37182A56"/>
    <w:rsid w:val="38804D57"/>
    <w:rsid w:val="3AFA4432"/>
    <w:rsid w:val="3B9B5A04"/>
    <w:rsid w:val="3CE80E5E"/>
    <w:rsid w:val="3DE47B36"/>
    <w:rsid w:val="3F3D511C"/>
    <w:rsid w:val="3F520E6B"/>
    <w:rsid w:val="407D1B7C"/>
    <w:rsid w:val="40B46C17"/>
    <w:rsid w:val="42461FFA"/>
    <w:rsid w:val="425C5EED"/>
    <w:rsid w:val="42C34880"/>
    <w:rsid w:val="436239D7"/>
    <w:rsid w:val="43704610"/>
    <w:rsid w:val="44A75419"/>
    <w:rsid w:val="45012D7B"/>
    <w:rsid w:val="45536C05"/>
    <w:rsid w:val="461B7E6D"/>
    <w:rsid w:val="46C202E8"/>
    <w:rsid w:val="46CC73B9"/>
    <w:rsid w:val="46F56910"/>
    <w:rsid w:val="48256D81"/>
    <w:rsid w:val="48F055E1"/>
    <w:rsid w:val="49A346C1"/>
    <w:rsid w:val="4A3B0411"/>
    <w:rsid w:val="4B4C5754"/>
    <w:rsid w:val="4BFC604B"/>
    <w:rsid w:val="4D233B88"/>
    <w:rsid w:val="4D3A08EF"/>
    <w:rsid w:val="4DE67291"/>
    <w:rsid w:val="4E563BD2"/>
    <w:rsid w:val="4EA01E14"/>
    <w:rsid w:val="4EB41388"/>
    <w:rsid w:val="4EDD5EE4"/>
    <w:rsid w:val="4F5A7C58"/>
    <w:rsid w:val="4F866290"/>
    <w:rsid w:val="4FF07FD8"/>
    <w:rsid w:val="500F0A42"/>
    <w:rsid w:val="5039282F"/>
    <w:rsid w:val="503E4E84"/>
    <w:rsid w:val="503F0BFC"/>
    <w:rsid w:val="50D31F30"/>
    <w:rsid w:val="528B0128"/>
    <w:rsid w:val="533B1B4E"/>
    <w:rsid w:val="533F1203"/>
    <w:rsid w:val="534C78B7"/>
    <w:rsid w:val="53F874FB"/>
    <w:rsid w:val="54554E92"/>
    <w:rsid w:val="54A57A08"/>
    <w:rsid w:val="54B003AC"/>
    <w:rsid w:val="5596490A"/>
    <w:rsid w:val="563D798B"/>
    <w:rsid w:val="57A471AC"/>
    <w:rsid w:val="57AB5EBF"/>
    <w:rsid w:val="58117322"/>
    <w:rsid w:val="58835249"/>
    <w:rsid w:val="58E4446E"/>
    <w:rsid w:val="596A30C0"/>
    <w:rsid w:val="59A76D9C"/>
    <w:rsid w:val="59D81EA5"/>
    <w:rsid w:val="59FF7E2E"/>
    <w:rsid w:val="5A311EF9"/>
    <w:rsid w:val="5A4D34B5"/>
    <w:rsid w:val="5ABC42C2"/>
    <w:rsid w:val="5ABD109B"/>
    <w:rsid w:val="5BC528FD"/>
    <w:rsid w:val="5CA1558E"/>
    <w:rsid w:val="5CF05758"/>
    <w:rsid w:val="5F013C4C"/>
    <w:rsid w:val="60FA6BA5"/>
    <w:rsid w:val="610F5C99"/>
    <w:rsid w:val="61451E88"/>
    <w:rsid w:val="6184171B"/>
    <w:rsid w:val="619568CD"/>
    <w:rsid w:val="63F46295"/>
    <w:rsid w:val="642947D3"/>
    <w:rsid w:val="64650200"/>
    <w:rsid w:val="65F242EE"/>
    <w:rsid w:val="671820DF"/>
    <w:rsid w:val="672F50CE"/>
    <w:rsid w:val="67C223E6"/>
    <w:rsid w:val="68BB4339"/>
    <w:rsid w:val="68C1444C"/>
    <w:rsid w:val="6A560ED8"/>
    <w:rsid w:val="6A9E2C97"/>
    <w:rsid w:val="6B5F4D2C"/>
    <w:rsid w:val="6BA73DCD"/>
    <w:rsid w:val="6CBA5E8D"/>
    <w:rsid w:val="6CE64481"/>
    <w:rsid w:val="6D2F7BD6"/>
    <w:rsid w:val="6D714693"/>
    <w:rsid w:val="709D4364"/>
    <w:rsid w:val="70F96E79"/>
    <w:rsid w:val="713A6776"/>
    <w:rsid w:val="715B0D2F"/>
    <w:rsid w:val="73C41155"/>
    <w:rsid w:val="73F56A5B"/>
    <w:rsid w:val="74B530B7"/>
    <w:rsid w:val="75A45B27"/>
    <w:rsid w:val="75AC428F"/>
    <w:rsid w:val="7719556E"/>
    <w:rsid w:val="778F10F3"/>
    <w:rsid w:val="77C47AB5"/>
    <w:rsid w:val="77E867FF"/>
    <w:rsid w:val="797F3C93"/>
    <w:rsid w:val="7A54785C"/>
    <w:rsid w:val="7B0B4A23"/>
    <w:rsid w:val="7BA71F7C"/>
    <w:rsid w:val="7C134DFC"/>
    <w:rsid w:val="7CFE5E0B"/>
    <w:rsid w:val="7D4F1749"/>
    <w:rsid w:val="7E8104AE"/>
    <w:rsid w:val="7EDF0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ascii="Arial" w:hAnsi="Arial" w:eastAsia="黑体"/>
      <w:b/>
      <w:sz w:val="32"/>
    </w:rPr>
  </w:style>
  <w:style w:type="paragraph" w:styleId="4">
    <w:name w:val="heading 3"/>
    <w:basedOn w:val="1"/>
    <w:next w:val="1"/>
    <w:link w:val="24"/>
    <w:semiHidden/>
    <w:unhideWhenUsed/>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5"/>
    <w:semiHidden/>
    <w:unhideWhenUsed/>
    <w:qFormat/>
    <w:uiPriority w:val="0"/>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6"/>
    <w:semiHidden/>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2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28"/>
    <w:semiHidden/>
    <w:unhideWhenUsed/>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link w:val="2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uiPriority w:val="0"/>
  </w:style>
  <w:style w:type="paragraph" w:styleId="12">
    <w:name w:val="Body Text"/>
    <w:basedOn w:val="1"/>
    <w:qFormat/>
    <w:uiPriority w:val="1"/>
    <w:pPr>
      <w:ind w:left="138"/>
    </w:pPr>
    <w:rPr>
      <w:rFonts w:ascii="宋体" w:hAnsi="宋体" w:eastAsia="宋体"/>
      <w:sz w:val="24"/>
      <w:szCs w:val="24"/>
    </w:rPr>
  </w:style>
  <w:style w:type="paragraph" w:styleId="13">
    <w:name w:val="footer"/>
    <w:basedOn w:val="1"/>
    <w:qFormat/>
    <w:uiPriority w:val="0"/>
    <w:pPr>
      <w:tabs>
        <w:tab w:val="center" w:pos="4153"/>
        <w:tab w:val="right" w:pos="8306"/>
      </w:tabs>
      <w:snapToGrid w:val="0"/>
    </w:pPr>
    <w:rPr>
      <w:sz w:val="18"/>
    </w:rPr>
  </w:style>
  <w:style w:type="paragraph" w:styleId="14">
    <w:name w:val="header"/>
    <w:basedOn w:val="1"/>
    <w:link w:val="37"/>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spacing w:before="120" w:after="120"/>
    </w:pPr>
    <w:rPr>
      <w:rFonts w:cstheme="minorHAnsi"/>
      <w:b/>
      <w:bCs/>
      <w:caps/>
      <w:sz w:val="20"/>
      <w:szCs w:val="20"/>
    </w:rPr>
  </w:style>
  <w:style w:type="paragraph" w:styleId="16">
    <w:name w:val="Normal (Web)"/>
    <w:basedOn w:val="1"/>
    <w:qFormat/>
    <w:uiPriority w:val="0"/>
    <w:pPr>
      <w:widowControl/>
      <w:spacing w:before="100" w:beforeAutospacing="1" w:after="100" w:afterAutospacing="1"/>
    </w:pPr>
    <w:rPr>
      <w:rFonts w:ascii="宋体" w:hAnsi="宋体" w:eastAsia="宋体" w:cs="宋体"/>
      <w:sz w:val="24"/>
    </w:rPr>
  </w:style>
  <w:style w:type="paragraph" w:styleId="17">
    <w:name w:val="annotation subject"/>
    <w:basedOn w:val="11"/>
    <w:next w:val="11"/>
    <w:link w:val="39"/>
    <w:qFormat/>
    <w:uiPriority w:val="0"/>
    <w:rPr>
      <w:b/>
      <w:bCs/>
    </w:r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styleId="21">
    <w:name w:val="annotation reference"/>
    <w:basedOn w:val="19"/>
    <w:qFormat/>
    <w:uiPriority w:val="0"/>
    <w:rPr>
      <w:sz w:val="21"/>
      <w:szCs w:val="21"/>
    </w:rPr>
  </w:style>
  <w:style w:type="paragraph" w:styleId="22">
    <w:name w:val="List Paragraph"/>
    <w:basedOn w:val="1"/>
    <w:unhideWhenUsed/>
    <w:qFormat/>
    <w:uiPriority w:val="99"/>
    <w:pPr>
      <w:ind w:firstLine="420" w:firstLineChars="200"/>
    </w:pPr>
  </w:style>
  <w:style w:type="paragraph" w:customStyle="1" w:styleId="23">
    <w:name w:val="WPSOffice手动目录 1"/>
    <w:qFormat/>
    <w:uiPriority w:val="0"/>
    <w:rPr>
      <w:rFonts w:ascii="Times New Roman" w:hAnsi="Times New Roman" w:eastAsia="宋体" w:cs="Times New Roman"/>
      <w:lang w:val="en-US" w:eastAsia="zh-CN" w:bidi="ar-SA"/>
    </w:rPr>
  </w:style>
  <w:style w:type="character" w:customStyle="1" w:styleId="24">
    <w:name w:val="标题 3 字符"/>
    <w:basedOn w:val="19"/>
    <w:link w:val="4"/>
    <w:semiHidden/>
    <w:qFormat/>
    <w:uiPriority w:val="0"/>
    <w:rPr>
      <w:rFonts w:asciiTheme="minorHAnsi" w:hAnsiTheme="minorHAnsi" w:eastAsiaTheme="minorHAnsi" w:cstheme="minorBidi"/>
      <w:b/>
      <w:bCs/>
      <w:sz w:val="32"/>
      <w:szCs w:val="32"/>
      <w:lang w:eastAsia="en-US"/>
    </w:rPr>
  </w:style>
  <w:style w:type="character" w:customStyle="1" w:styleId="25">
    <w:name w:val="标题 4 字符"/>
    <w:basedOn w:val="19"/>
    <w:link w:val="5"/>
    <w:semiHidden/>
    <w:qFormat/>
    <w:uiPriority w:val="0"/>
    <w:rPr>
      <w:rFonts w:asciiTheme="majorHAnsi" w:hAnsiTheme="majorHAnsi" w:eastAsiaTheme="majorEastAsia" w:cstheme="majorBidi"/>
      <w:b/>
      <w:bCs/>
      <w:sz w:val="28"/>
      <w:szCs w:val="28"/>
      <w:lang w:eastAsia="en-US"/>
    </w:rPr>
  </w:style>
  <w:style w:type="character" w:customStyle="1" w:styleId="26">
    <w:name w:val="标题 5 字符"/>
    <w:basedOn w:val="19"/>
    <w:link w:val="6"/>
    <w:semiHidden/>
    <w:qFormat/>
    <w:uiPriority w:val="0"/>
    <w:rPr>
      <w:rFonts w:asciiTheme="minorHAnsi" w:hAnsiTheme="minorHAnsi" w:eastAsiaTheme="minorHAnsi" w:cstheme="minorBidi"/>
      <w:b/>
      <w:bCs/>
      <w:sz w:val="28"/>
      <w:szCs w:val="28"/>
      <w:lang w:eastAsia="en-US"/>
    </w:rPr>
  </w:style>
  <w:style w:type="character" w:customStyle="1" w:styleId="27">
    <w:name w:val="标题 6 字符"/>
    <w:basedOn w:val="19"/>
    <w:link w:val="7"/>
    <w:semiHidden/>
    <w:qFormat/>
    <w:uiPriority w:val="0"/>
    <w:rPr>
      <w:rFonts w:asciiTheme="majorHAnsi" w:hAnsiTheme="majorHAnsi" w:eastAsiaTheme="majorEastAsia" w:cstheme="majorBidi"/>
      <w:b/>
      <w:bCs/>
      <w:sz w:val="24"/>
      <w:szCs w:val="24"/>
      <w:lang w:eastAsia="en-US"/>
    </w:rPr>
  </w:style>
  <w:style w:type="character" w:customStyle="1" w:styleId="28">
    <w:name w:val="标题 7 字符"/>
    <w:basedOn w:val="19"/>
    <w:link w:val="8"/>
    <w:semiHidden/>
    <w:qFormat/>
    <w:uiPriority w:val="0"/>
    <w:rPr>
      <w:rFonts w:asciiTheme="minorHAnsi" w:hAnsiTheme="minorHAnsi" w:eastAsiaTheme="minorHAnsi" w:cstheme="minorBidi"/>
      <w:b/>
      <w:bCs/>
      <w:sz w:val="24"/>
      <w:szCs w:val="24"/>
      <w:lang w:eastAsia="en-US"/>
    </w:rPr>
  </w:style>
  <w:style w:type="character" w:customStyle="1" w:styleId="29">
    <w:name w:val="标题 8 字符"/>
    <w:basedOn w:val="19"/>
    <w:link w:val="9"/>
    <w:semiHidden/>
    <w:qFormat/>
    <w:uiPriority w:val="0"/>
    <w:rPr>
      <w:rFonts w:asciiTheme="majorHAnsi" w:hAnsiTheme="majorHAnsi" w:eastAsiaTheme="majorEastAsia" w:cstheme="majorBidi"/>
      <w:sz w:val="24"/>
      <w:szCs w:val="24"/>
      <w:lang w:eastAsia="en-US"/>
    </w:rPr>
  </w:style>
  <w:style w:type="character" w:customStyle="1" w:styleId="30">
    <w:name w:val="标题 9 字符"/>
    <w:basedOn w:val="19"/>
    <w:link w:val="10"/>
    <w:semiHidden/>
    <w:qFormat/>
    <w:uiPriority w:val="0"/>
    <w:rPr>
      <w:rFonts w:asciiTheme="majorHAnsi" w:hAnsiTheme="majorHAnsi" w:eastAsiaTheme="majorEastAsia" w:cstheme="majorBidi"/>
      <w:sz w:val="21"/>
      <w:szCs w:val="21"/>
      <w:lang w:eastAsia="en-US"/>
    </w:rPr>
  </w:style>
  <w:style w:type="character" w:customStyle="1" w:styleId="31">
    <w:name w:val="font31"/>
    <w:basedOn w:val="19"/>
    <w:qFormat/>
    <w:uiPriority w:val="0"/>
    <w:rPr>
      <w:rFonts w:hint="eastAsia" w:ascii="宋体" w:hAnsi="宋体" w:eastAsia="宋体" w:cs="宋体"/>
      <w:b/>
      <w:bCs/>
      <w:color w:val="000000"/>
      <w:sz w:val="30"/>
      <w:szCs w:val="30"/>
      <w:u w:val="none"/>
    </w:rPr>
  </w:style>
  <w:style w:type="character" w:customStyle="1" w:styleId="32">
    <w:name w:val="font51"/>
    <w:basedOn w:val="19"/>
    <w:qFormat/>
    <w:uiPriority w:val="0"/>
    <w:rPr>
      <w:rFonts w:hint="eastAsia" w:ascii="宋体" w:hAnsi="宋体" w:eastAsia="宋体" w:cs="宋体"/>
      <w:b/>
      <w:bCs/>
      <w:color w:val="000000"/>
      <w:sz w:val="20"/>
      <w:szCs w:val="20"/>
      <w:u w:val="none"/>
    </w:rPr>
  </w:style>
  <w:style w:type="character" w:customStyle="1" w:styleId="33">
    <w:name w:val="font11"/>
    <w:basedOn w:val="19"/>
    <w:qFormat/>
    <w:uiPriority w:val="0"/>
    <w:rPr>
      <w:rFonts w:hint="default" w:ascii="Times New Roman" w:hAnsi="Times New Roman" w:cs="Times New Roman"/>
      <w:color w:val="000000"/>
      <w:sz w:val="20"/>
      <w:szCs w:val="20"/>
      <w:u w:val="none"/>
    </w:rPr>
  </w:style>
  <w:style w:type="character" w:customStyle="1" w:styleId="34">
    <w:name w:val="font71"/>
    <w:basedOn w:val="19"/>
    <w:qFormat/>
    <w:uiPriority w:val="0"/>
    <w:rPr>
      <w:rFonts w:hint="eastAsia" w:ascii="宋体" w:hAnsi="宋体" w:eastAsia="宋体" w:cs="宋体"/>
      <w:color w:val="000000"/>
      <w:sz w:val="20"/>
      <w:szCs w:val="20"/>
      <w:u w:val="none"/>
    </w:rPr>
  </w:style>
  <w:style w:type="character" w:customStyle="1" w:styleId="35">
    <w:name w:val="font01"/>
    <w:basedOn w:val="19"/>
    <w:qFormat/>
    <w:uiPriority w:val="0"/>
    <w:rPr>
      <w:rFonts w:hint="default" w:ascii="Times New Roman" w:hAnsi="Times New Roman" w:cs="Times New Roman"/>
      <w:color w:val="000000"/>
      <w:sz w:val="20"/>
      <w:szCs w:val="20"/>
      <w:u w:val="none"/>
    </w:rPr>
  </w:style>
  <w:style w:type="character" w:customStyle="1" w:styleId="36">
    <w:name w:val="font61"/>
    <w:basedOn w:val="19"/>
    <w:qFormat/>
    <w:uiPriority w:val="0"/>
    <w:rPr>
      <w:rFonts w:hint="eastAsia" w:ascii="宋体" w:hAnsi="宋体" w:eastAsia="宋体" w:cs="宋体"/>
      <w:color w:val="000000"/>
      <w:sz w:val="20"/>
      <w:szCs w:val="20"/>
      <w:u w:val="none"/>
    </w:rPr>
  </w:style>
  <w:style w:type="character" w:customStyle="1" w:styleId="37">
    <w:name w:val="页眉 字符"/>
    <w:basedOn w:val="19"/>
    <w:link w:val="14"/>
    <w:qFormat/>
    <w:uiPriority w:val="0"/>
    <w:rPr>
      <w:rFonts w:asciiTheme="minorHAnsi" w:hAnsiTheme="minorHAnsi" w:eastAsiaTheme="minorHAnsi" w:cstheme="minorBidi"/>
      <w:sz w:val="18"/>
      <w:szCs w:val="18"/>
      <w:lang w:eastAsia="en-US"/>
    </w:rPr>
  </w:style>
  <w:style w:type="character" w:customStyle="1" w:styleId="38">
    <w:name w:val="批注文字 字符"/>
    <w:basedOn w:val="19"/>
    <w:link w:val="11"/>
    <w:qFormat/>
    <w:uiPriority w:val="0"/>
    <w:rPr>
      <w:rFonts w:asciiTheme="minorHAnsi" w:hAnsiTheme="minorHAnsi" w:eastAsiaTheme="minorHAnsi" w:cstheme="minorBidi"/>
      <w:sz w:val="22"/>
      <w:szCs w:val="22"/>
      <w:lang w:eastAsia="en-US"/>
    </w:rPr>
  </w:style>
  <w:style w:type="character" w:customStyle="1" w:styleId="39">
    <w:name w:val="批注主题 字符"/>
    <w:basedOn w:val="38"/>
    <w:link w:val="17"/>
    <w:qFormat/>
    <w:uiPriority w:val="0"/>
    <w:rPr>
      <w:rFonts w:asciiTheme="minorHAnsi" w:hAnsiTheme="minorHAnsi" w:eastAsiaTheme="minorHAnsi" w:cstheme="minorBidi"/>
      <w:b/>
      <w:bCs/>
      <w:sz w:val="22"/>
      <w:szCs w:val="22"/>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234</Words>
  <Characters>307</Characters>
  <Lines>146</Lines>
  <Paragraphs>41</Paragraphs>
  <TotalTime>1</TotalTime>
  <ScaleCrop>false</ScaleCrop>
  <LinksUpToDate>false</LinksUpToDate>
  <CharactersWithSpaces>320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2020-11-04T13:22:00Z</dcterms:created>
  <dc:creator>lenovo</dc:creator>
  <cp:lastModifiedBy>随遇而安</cp:lastModifiedBy>
  <cp:lastPrinted>2023-01-09T23:47:00Z</cp:lastPrinted>
  <dcterms:modified xsi:type="dcterms:W3CDTF">2026-05-08T00:57:20Z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C6BF6FA9BC304E7C8D09E1660D5E0A61_13</vt:lpwstr>
  </property>
  <property fmtid="{D5CDD505-2E9C-101B-9397-08002B2CF9AE}" pid="4" name="KSOTemplateDocerSaveRecord">
    <vt:lpwstr>eyJoZGlkIjoiYzZhMGE2YjQ0MDBlNjRiZjAxOTgyNGFjYjQ1NDNmNGUiLCJ1c2VySWQiOiI4MDkyMjY1NDIifQ==</vt:lpwstr>
  </property>
</Properties>
</file>