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ascii="Times New Roman" w:hAnsi="Times New Roman"/>
          <w:b/>
          <w:bCs/>
          <w:sz w:val="24"/>
        </w:rPr>
      </w:pPr>
      <w:r>
        <w:rPr>
          <w:rFonts w:hint="eastAsia" w:ascii="Times New Roman" w:hAnsi="Times New Roman"/>
          <w:sz w:val="24"/>
          <w:lang w:val="en-US" w:eastAsia="zh-CN"/>
        </w:rPr>
        <w:t xml:space="preserve">                    </w:t>
      </w:r>
      <w:bookmarkStart w:id="0" w:name="_GoBack"/>
      <w:r>
        <w:rPr>
          <w:rFonts w:hint="eastAsia" w:ascii="Times New Roman" w:hAnsi="Times New Roman"/>
          <w:b/>
          <w:bCs/>
          <w:sz w:val="24"/>
          <w:lang w:val="en-US" w:eastAsia="zh-CN"/>
        </w:rPr>
        <w:t xml:space="preserve">   托福阅读单词测试三</w:t>
      </w:r>
    </w:p>
    <w:bookmarkEnd w:id="0"/>
    <w:p>
      <w:pPr>
        <w:numPr>
          <w:numId w:val="0"/>
        </w:numPr>
        <w:rPr>
          <w:rFonts w:ascii="Times New Roman" w:hAnsi="Times New Roman"/>
          <w:sz w:val="24"/>
        </w:rPr>
      </w:pPr>
    </w:p>
    <w:p>
      <w:pPr>
        <w:numPr>
          <w:ilvl w:val="0"/>
          <w:numId w:val="1"/>
        </w:numPr>
        <w:rPr>
          <w:rFonts w:ascii="Times New Roman" w:hAnsi="Times New Roman"/>
          <w:sz w:val="24"/>
        </w:rPr>
      </w:pPr>
      <w:r>
        <w:rPr>
          <w:rFonts w:ascii="Times New Roman" w:hAnsi="Times New Roman"/>
          <w:sz w:val="24"/>
        </w:rPr>
        <w:t xml:space="preserve">Adaptations to the regular change of seasons in the temperate and polar regions may be relatively simple. For example, many seeds require  a period of stratification, exposure to low temperatures for some minimum period, before they will germinate. </w:t>
      </w:r>
    </w:p>
    <w:p>
      <w:pPr>
        <w:numPr>
          <w:ilvl w:val="0"/>
          <w:numId w:val="1"/>
        </w:numPr>
        <w:rPr>
          <w:rFonts w:ascii="Times New Roman" w:hAnsi="Times New Roman"/>
          <w:sz w:val="24"/>
        </w:rPr>
      </w:pPr>
      <w:r>
        <w:rPr>
          <w:rFonts w:ascii="Times New Roman" w:hAnsi="Times New Roman" w:eastAsia="宋体"/>
        </w:rPr>
        <w:t>The male bird exploits both of these modes of signaling simultaneously in his courtship display. The sounds made as each wing is opened carry extremely well over distance and advertise his presence widely.</w:t>
      </w:r>
    </w:p>
    <w:p>
      <w:pPr>
        <w:numPr>
          <w:ilvl w:val="0"/>
          <w:numId w:val="1"/>
        </w:numPr>
        <w:rPr>
          <w:rFonts w:ascii="Times New Roman" w:hAnsi="Times New Roman"/>
          <w:sz w:val="24"/>
        </w:rPr>
      </w:pPr>
      <w:r>
        <w:rPr>
          <w:rFonts w:ascii="Times New Roman" w:hAnsi="Times New Roman"/>
          <w:sz w:val="24"/>
        </w:rPr>
        <w:t>Physiological adaptations can assist amphibians in colonizing habitats where extreme conditions prevail. The tolerance range in body temperature represents the range of temperatures within which a species can survive</w:t>
      </w:r>
    </w:p>
    <w:p>
      <w:pPr>
        <w:numPr>
          <w:ilvl w:val="0"/>
          <w:numId w:val="1"/>
        </w:numPr>
        <w:rPr>
          <w:rFonts w:ascii="Times New Roman" w:hAnsi="Times New Roman"/>
          <w:sz w:val="24"/>
        </w:rPr>
      </w:pPr>
      <w:r>
        <w:rPr>
          <w:rFonts w:ascii="Times New Roman" w:hAnsi="Times New Roman"/>
          <w:color w:val="000000"/>
          <w:sz w:val="24"/>
        </w:rPr>
        <w:t xml:space="preserve"> Many frogs invest considerable energy in calling, both because they do not feed and because it is a physically demanding behavior that relies on rapid muscular contractions of the vocalization apparatus.</w:t>
      </w:r>
    </w:p>
    <w:p>
      <w:pPr>
        <w:numPr>
          <w:ilvl w:val="0"/>
          <w:numId w:val="1"/>
        </w:numPr>
        <w:rPr>
          <w:rFonts w:ascii="Times New Roman" w:hAnsi="Times New Roman"/>
          <w:sz w:val="24"/>
        </w:rPr>
      </w:pPr>
      <w:r>
        <w:rPr>
          <w:rFonts w:hint="eastAsia" w:ascii="Times New Roman" w:hAnsi="Times New Roman"/>
          <w:sz w:val="24"/>
        </w:rPr>
        <w:t>The second is increased vulnerability to parasites and disease, which plague social species of all sorts. While it is true that some social animals have evolved special responses designed to combat parasites and disease, those responses can only reduce, but cannot totally eliminate, the damage caused by those threats, and the responses may even carry their own costs.</w:t>
      </w:r>
    </w:p>
    <w:p>
      <w:pPr>
        <w:numPr>
          <w:ilvl w:val="0"/>
          <w:numId w:val="1"/>
        </w:numPr>
        <w:rPr>
          <w:rFonts w:ascii="Times New Roman" w:hAnsi="Times New Roman"/>
          <w:sz w:val="24"/>
        </w:rPr>
      </w:pPr>
      <w:r>
        <w:rPr>
          <w:rFonts w:hint="eastAsia" w:ascii="Times New Roman" w:hAnsi="Times New Roman"/>
          <w:kern w:val="0"/>
          <w:sz w:val="24"/>
        </w:rPr>
        <w:t xml:space="preserve"> </w:t>
      </w:r>
      <w:r>
        <w:rPr>
          <w:rFonts w:ascii="Times New Roman" w:hAnsi="Times New Roman"/>
          <w:kern w:val="0"/>
          <w:sz w:val="24"/>
        </w:rPr>
        <w:t xml:space="preserve">In the angiosperm the seeds are wrapped in an additional layer of covering. Some of these coats are hard–like the shell of a nut–for extra protection. </w:t>
      </w:r>
    </w:p>
    <w:p>
      <w:pPr>
        <w:numPr>
          <w:ilvl w:val="0"/>
          <w:numId w:val="1"/>
        </w:numPr>
        <w:rPr>
          <w:rFonts w:ascii="Times New Roman" w:hAnsi="Times New Roman"/>
          <w:sz w:val="24"/>
        </w:rPr>
      </w:pPr>
      <w:r>
        <w:rPr>
          <w:rFonts w:hint="eastAsia" w:ascii="Times New Roman" w:hAnsi="Times New Roman"/>
          <w:sz w:val="24"/>
        </w:rPr>
        <w:t xml:space="preserve">. The information conveyed by the olfactory signals on a buck rub make it the social equivalent of some auditory signals in other deer species, such as trumpeting by bull elk. </w:t>
      </w:r>
    </w:p>
    <w:p>
      <w:pPr>
        <w:numPr>
          <w:ilvl w:val="0"/>
          <w:numId w:val="1"/>
        </w:numPr>
        <w:rPr>
          <w:rFonts w:ascii="Times New Roman" w:hAnsi="Times New Roman"/>
          <w:sz w:val="24"/>
        </w:rPr>
      </w:pPr>
      <w:r>
        <w:rPr>
          <w:rFonts w:ascii="Times New Roman" w:hAnsi="Times New Roman"/>
          <w:sz w:val="24"/>
        </w:rPr>
        <w:t xml:space="preserve"> European society was relatively stratified; occupation and social status were inherited. In American society, however, the class structure was less rigid; </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w:hAnsi="Times New Roman"/>
          <w:sz w:val="24"/>
        </w:rPr>
      </w:pPr>
      <w:r>
        <w:rPr>
          <w:rFonts w:hint="eastAsia" w:ascii="Times New Roman" w:hAnsi="Times New Roman"/>
          <w:sz w:val="24"/>
          <w:lang w:val="en-US" w:eastAsia="zh-CN"/>
        </w:rPr>
        <w:t>9.</w:t>
      </w:r>
      <w:r>
        <w:rPr>
          <w:rFonts w:ascii="Times New Roman" w:hAnsi="Times New Roman"/>
          <w:sz w:val="24"/>
        </w:rPr>
        <w:t xml:space="preserve"> Evidence from teeth suggests that these earliest tetrapods did not utilize land plants as food; they were presumably carnivorous and had not developed the ability to feed on plants.</w:t>
      </w:r>
    </w:p>
    <w:p>
      <w:pPr>
        <w:numPr>
          <w:numId w:val="0"/>
        </w:numPr>
        <w:rPr>
          <w:rFonts w:ascii="Times New Roman" w:hAnsi="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BC7036"/>
    <w:multiLevelType w:val="singleLevel"/>
    <w:tmpl w:val="F1BC703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5B6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风花雪月</cp:lastModifiedBy>
  <dcterms:modified xsi:type="dcterms:W3CDTF">2018-01-25T12:24:52Z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