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MU应用软件是数管分系统的核心组成部分，以嵌入式实时处理单元为硬件载体，面向星载任务管理与数据服务场景构建；系统采用分级分布式架构思想，以用户管理、数据查询为核心功能模块，通过标准化软硬件接口实现与整星其他分系统（如载荷、遥测遥控、电源等）的协同运行。</w:t>
      </w:r>
    </w:p>
    <w:p w:rsidR="007D2501" w:rsidRDefault="00711891">
      <w:pPr>
        <w:pStyle w:val="23"/>
        <w:numPr>
          <w:ilvl w:val="0"/>
          <w:numId w:val="10"/>
        </w:numPr>
        <w:tabs>
          <w:tab w:val="left" w:pos="420"/>
        </w:tabs>
        <w:ind w:left="0" w:firstLine="480"/>
      </w:pPr>
      <w:r>
        <w:rPr>
          <w:rFonts w:hint="eastAsia"/>
        </w:rPr>
        <w:t xml:space="preserve"/>
      </w:r>
      <w:r>
        <w:rPr>
          <w:rFonts w:hint="eastAsia"/>
        </w:rPr>
        <w:tab/>
      </w:r>
    </w:p>
    <w:p w:rsidR="007D2501" w:rsidRDefault="00711891">
      <w:pPr>
        <w:pStyle w:val="23"/>
        <w:numPr>
          <w:ilvl w:val="0"/>
          <w:numId w:val="10"/>
        </w:numPr>
        <w:tabs>
          <w:tab w:val="left" w:pos="420"/>
        </w:tabs>
        <w:ind w:left="0" w:firstLine="480"/>
      </w:pPr>
      <w:r>
        <w:rPr>
          <w:rFonts w:hint="eastAsia"/>
        </w:rPr>
        <w:t xml:space="preserve"/>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{'software_level': 'B', 'programming_language': 'C语言', 'dev_unit': 'SMU', 'subsystem_function': 'a.初始化功能；b.用户管理功能；c.数据查询功能。', 'subsystem_function_qd': '用户管理功能、数据查询功能'}</w:t>
      </w:r>
      <w:r>
        <w:t>，编程语言为</w:t>
      </w:r>
      <w:r>
        <w:rPr>
          <w:rFonts w:hint="eastAsia"/>
        </w:rPr>
        <w:t xml:space="preserve"/>
      </w:r>
      <w:r>
        <w:rPr>
          <w:rFonts w:hint="eastAsia"/>
        </w:rPr>
        <w:t>，研制单位为</w:t>
      </w:r>
      <w:r>
        <w:rPr>
          <w:rFonts w:hint="eastAsia"/>
        </w:rPr>
        <w:t xml:space="preserve"/>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SMU应用软件开发环境基于嵌入式Linux（或Windows）主机平台，采用ARM架构交叉编译工具链，支持GPIO、1553B总线及看门狗等硬件接口驱动开发；编译工具链包含arm-none-eabi-gcc交叉编译器、OpenOCD调试工具及配套构建系统（如Make/CMake），适配SRAM≤4MB的资源约束，并满足实时性要求（如看门狗50秒超时检测）。</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w:t>
      </w:r>
    </w:p>
    <w:p w:rsidR="007D2501" w:rsidRPr="00AB78FC" w:rsidRDefault="00711891" w:rsidP="00AB78FC">
      <w:pPr>
        <w:tabs>
          <w:tab w:val="left" w:pos="420"/>
        </w:tabs>
        <w:wordWrap w:val="0"/>
        <w:spacing w:line="360" w:lineRule="auto"/>
        <w:rPr>
          <w:sz w:val="24"/>
        </w:rPr>
      </w:pPr>
      <w:r w:rsidRPr="00AB78FC">
        <w:rPr>
          <w:rFonts w:hint="eastAsia"/>
          <w:sz w:val="24"/>
        </w:rPr>
        <w:t xml:space="preserve">IF--001: </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 xml:space="preserve">，共总结如下</w:t>
      </w:r>
      <w:r>
        <w:rPr>
          <w:rFonts w:hint="eastAsia"/>
          <w:sz w:val="24"/>
        </w:rPr>
        <w:t xml:space="preserve">0</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
      </w:r>
      <w:r>
        <w:rPr>
          <w:rFonts w:hint="eastAsia"/>
        </w:rPr>
        <w:t xml:space="preserve">及上述的测试需求分析，共总结如下</w:t>
      </w:r>
      <w:r>
        <w:rPr>
          <w:rFonts w:hint="eastAsia"/>
        </w:rPr>
        <w:t xml:space="preserve">0</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，共总结如下</w:t>
      </w:r>
      <w:r>
        <w:rPr>
          <w:rFonts w:hint="eastAsia"/>
          <w:sz w:val="24"/>
        </w:rPr>
        <w:t xml:space="preserve"/>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8</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内存下卸长度限幅96字节</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用户名长度为3字符（最小值）</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用户名长度为20字符（最大值）</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密码长度为8字符（最小值）</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密码长度为32字符（最大值）</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分页参数page_size为1（最小值）</w:t>
            </w:r>
          </w:p>
        </w:tc>
        <w:tc>
          <w:tcPr>
            <w:tcW w:w="2483" w:type="dxa"/>
            <w:vAlign w:val="center"/>
          </w:tcPr>
          <w:p w:rsidR="007D2501" w:rsidRDefault="00BE14D1">
            <w:pPr>
              <w:tabs>
                <w:tab w:val="left" w:pos="420"/>
              </w:tabs>
              <w:wordWrap w:val="0"/>
              <w:jc w:val="center"/>
              <w:rPr>
                <w:szCs w:val="21"/>
              </w:rPr>
            </w:pPr>
            <w:r>
              <w:rPr>
                <w:rFonts w:hint="eastAsia"/>
              </w:rPr>
              <w:t xml:space="preserve">TR-BJ-006</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分页参数page_size为1000（典型上限，依据并发用户数1000及分页场景推定）</w:t>
            </w:r>
          </w:p>
        </w:tc>
        <w:tc>
          <w:tcPr>
            <w:tcW w:w="2483" w:type="dxa"/>
            <w:vAlign w:val="center"/>
          </w:tcPr>
          <w:p w:rsidR="007D2501" w:rsidRDefault="00BE14D1">
            <w:pPr>
              <w:tabs>
                <w:tab w:val="left" w:pos="420"/>
              </w:tabs>
              <w:wordWrap w:val="0"/>
              <w:jc w:val="center"/>
              <w:rPr>
                <w:szCs w:val="21"/>
              </w:rPr>
            </w:pPr>
            <w:r>
              <w:rPr>
                <w:rFonts w:hint="eastAsia"/>
              </w:rPr>
              <w:t xml:space="preserve">TR-BJ-007</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看门狗超时阈值为50秒（未喂狗最大容忍时间）</w:t>
            </w:r>
          </w:p>
        </w:tc>
        <w:tc>
          <w:tcPr>
            <w:tcW w:w="2483" w:type="dxa"/>
            <w:vAlign w:val="center"/>
          </w:tcPr>
          <w:p w:rsidR="007D2501" w:rsidRDefault="00BE14D1">
            <w:pPr>
              <w:tabs>
                <w:tab w:val="left" w:pos="420"/>
              </w:tabs>
              <w:wordWrap w:val="0"/>
              <w:jc w:val="center"/>
              <w:rPr>
                <w:szCs w:val="21"/>
              </w:rPr>
            </w:pPr>
            <w:r>
              <w:rPr>
                <w:rFonts w:hint="eastAsia"/>
              </w:rPr>
              <w:t xml:space="preserve">TR-BJ-008</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
      </w:r>
      <w:r>
        <w:t>，共总结</w:t>
      </w:r>
      <w:r>
        <w:rPr>
          <w:rFonts w:hint="eastAsia"/>
        </w:rPr>
        <w:t>如下</w:t>
      </w:r>
      <w:r w:rsidR="00B92D8F">
        <w:rPr>
          <w:rFonts w:hint="eastAsia"/>
        </w:rPr>
        <w:t xml:space="preserve">0</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w:t>
      </w:r>
      <w:r>
        <w:rPr>
          <w:rFonts w:hint="eastAsia"/>
          <w:sz w:val="24"/>
        </w:rPr>
        <w:t xml:space="preserve"/>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4.1.1</w:t>
            </w:r>
          </w:p>
        </w:tc>
        <w:tc>
          <w:tcPr>
            <w:tcW w:w="2882" w:type="dxa"/>
            <w:vAlign w:val="center"/>
          </w:tcPr>
          <w:p w:rsidR="007D2501" w:rsidRDefault="00711891">
            <w:pPr>
              <w:tabs>
                <w:tab w:val="left" w:pos="420"/>
              </w:tabs>
              <w:wordWrap w:val="0"/>
              <w:jc w:val="center"/>
              <w:rPr>
                <w:szCs w:val="21"/>
              </w:rPr>
            </w:pPr>
            <w:r>
              <w:rPr>
                <w:rFonts w:hint="eastAsia"/>
              </w:rPr>
              <w:t xml:space="preserve">2 功能需求</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4.1.2</w:t>
            </w:r>
          </w:p>
        </w:tc>
        <w:tc>
          <w:tcPr>
            <w:tcW w:w="2882" w:type="dxa"/>
            <w:vAlign w:val="center"/>
          </w:tcPr>
          <w:p w:rsidR="007D2501" w:rsidRDefault="00711891">
            <w:pPr>
              <w:tabs>
                <w:tab w:val="left" w:pos="420"/>
              </w:tabs>
              <w:wordWrap w:val="0"/>
              <w:jc w:val="center"/>
              <w:rPr>
                <w:szCs w:val="21"/>
              </w:rPr>
            </w:pPr>
            <w:r>
              <w:rPr>
                <w:rFonts w:hint="eastAsia"/>
              </w:rPr>
              <w:t xml:space="preserve">2.1 用户管理功能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4.1.3</w:t>
            </w:r>
          </w:p>
        </w:tc>
        <w:tc>
          <w:tcPr>
            <w:tcW w:w="2882" w:type="dxa"/>
            <w:vAlign w:val="center"/>
          </w:tcPr>
          <w:p w:rsidR="007D2501" w:rsidRDefault="00711891">
            <w:pPr>
              <w:tabs>
                <w:tab w:val="left" w:pos="420"/>
              </w:tabs>
              <w:wordWrap w:val="0"/>
              <w:jc w:val="center"/>
              <w:rPr>
                <w:szCs w:val="21"/>
              </w:rPr>
            </w:pPr>
            <w:r>
              <w:rPr>
                <w:rFonts w:hint="eastAsia"/>
              </w:rPr>
              <w:t xml:space="preserve">2.2 数据查询功能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