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北京市海淀区中关村南二条1号中国科学院微电子研究所</w:t>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SMU应用软件是数管分系统的核心组成部分，以嵌入式实时处理单元为硬件载体，面向星载任务管理与数据服务需求构建。</w:t>
      </w:r>
    </w:p>
    <w:p w:rsidR="007D2501" w:rsidRDefault="00711891">
      <w:pPr>
        <w:pStyle w:val="23"/>
        <w:numPr>
          <w:ilvl w:val="0"/>
          <w:numId w:val="10"/>
        </w:numPr>
        <w:tabs>
          <w:tab w:val="left" w:pos="420"/>
        </w:tabs>
        <w:ind w:left="0" w:firstLine="480"/>
      </w:pPr>
      <w:r>
        <w:rPr>
          <w:rFonts w:hint="eastAsia"/>
        </w:rPr>
        <w:t xml:space="preserve">未在文档中提及CPU类型及主频信息。</w:t>
      </w:r>
      <w:r>
        <w:rPr>
          <w:rFonts w:hint="eastAsia"/>
        </w:rPr>
        <w:tab/>
      </w:r>
    </w:p>
    <w:p w:rsidR="007D2501" w:rsidRDefault="00711891">
      <w:pPr>
        <w:pStyle w:val="23"/>
        <w:numPr>
          <w:ilvl w:val="0"/>
          <w:numId w:val="10"/>
        </w:numPr>
        <w:tabs>
          <w:tab w:val="left" w:pos="420"/>
        </w:tabs>
        <w:ind w:left="0" w:firstLine="480"/>
      </w:pPr>
      <w:r>
        <w:rPr>
          <w:rFonts w:hint="eastAsia"/>
        </w:rPr>
        <w:t xml:space="preserve">文档中仅提及SRAM约束：SRAM ≤ 4M（余量 &gt; 20%），未提供具体型号、地址范围、FLASH、SDRAM或其他存储器类型及详细分配信息。</w:t>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未在文档中明确给出软件安全等级（A/B/C级）</w:t>
      </w:r>
      <w:r>
        <w:t>，编程语言为</w:t>
      </w:r>
      <w:r>
        <w:rPr>
          <w:rFonts w:hint="eastAsia"/>
        </w:rPr>
        <w:t xml:space="preserve">未在文档中明确给出编程语言</w:t>
      </w:r>
      <w:r>
        <w:rPr>
          <w:rFonts w:hint="eastAsia"/>
        </w:rPr>
        <w:t>，研制单位为</w:t>
      </w:r>
      <w:r>
        <w:rPr>
          <w:rFonts w:hint="eastAsia"/>
        </w:rPr>
        <w:t xml:space="preserve">未在文档中明确给出研制单位（软件交办方）</w:t>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a.初始化功能；b.用户管理功能；c.数据查询功能</w:t>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SMU应用软件开发环境基于嵌入式Linux（或Windows）主机平台，采用ARM架构交叉编译工具链（如arm-none-eabi-gcc），支持对含1553B总线控制器、GPIO及看门狗外设的国产化ARM Cortex-M或Cortex-A类主控芯片进行编译与烧录；构建系统依赖Make/CMake，调试通过J-Link/OpenOCD配合GDB实现，满足SRAM≤4MB的内存约束及实时性要求。</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通用输入输出接口，用于连接外部硬件设备（如传感器、继电器、LED等），支持配置为输入或输出模式，可进行电平读取或驱动控制。</w:t>
      </w:r>
    </w:p>
    <w:p w:rsidR="007D2501" w:rsidRDefault="00711891">
      <w:pPr>
        <w:tabs>
          <w:tab w:val="left" w:pos="420"/>
        </w:tabs>
        <w:wordWrap w:val="0"/>
        <w:spacing w:line="360" w:lineRule="auto"/>
        <w:rPr>
          <w:sz w:val="24"/>
        </w:rPr>
      </w:pPr>
      <w:r>
        <w:rPr>
          <w:rFonts w:hint="eastAsia"/>
          <w:sz w:val="24"/>
        </w:rPr>
        <w:t xml:space="preserve">GPIO</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-002</w:t>
      </w:r>
      <w:r>
        <w:rPr>
          <w:rFonts w:hint="eastAsia"/>
          <w:sz w:val="24"/>
        </w:rPr>
        <w:t xml:space="preserve">：</w:t>
      </w:r>
      <w:r>
        <w:rPr>
          <w:rFonts w:hint="eastAsia"/>
          <w:sz w:val="24"/>
        </w:rPr>
        <w:t xml:space="preserve">通用输入输出接口，用于连接外部硬件设备（如传感器、指示灯、继电器等），支持配置为输入或输出模式，具备电平读取与驱动能力。</w:t>
      </w:r>
    </w:p>
    <w:p w:rsidR="007D2501" w:rsidRDefault="00711891">
      <w:pPr>
        <w:tabs>
          <w:tab w:val="left" w:pos="420"/>
        </w:tabs>
        <w:wordWrap w:val="0"/>
        <w:spacing w:line="360" w:lineRule="auto"/>
        <w:rPr>
          <w:sz w:val="24"/>
        </w:rPr>
      </w:pPr>
      <w:r>
        <w:rPr>
          <w:rFonts w:hint="eastAsia"/>
          <w:sz w:val="24"/>
        </w:rPr>
        <w:t xml:space="preserve">GPIO</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看门狗硬件接口，用于系统异常检测与自动复位保护，通过GPIO引脚实现喂狗信号输入，触发超时复位机制。</w:t>
      </w:r>
    </w:p>
    <w:p w:rsidR="007D2501" w:rsidRDefault="00711891">
      <w:pPr>
        <w:tabs>
          <w:tab w:val="left" w:pos="420"/>
        </w:tabs>
        <w:wordWrap w:val="0"/>
        <w:spacing w:line="360" w:lineRule="auto"/>
        <w:rPr>
          <w:sz w:val="24"/>
        </w:rPr>
      </w:pPr>
      <w:r>
        <w:rPr>
          <w:rFonts w:hint="eastAsia"/>
          <w:sz w:val="24"/>
        </w:rPr>
        <w:t xml:space="preserve">硬件接口：GPIO、1553B总线、看门狗。</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IF-DOG-002</w:t>
      </w:r>
      <w:r>
        <w:rPr>
          <w:rFonts w:hint="eastAsia"/>
          <w:sz w:val="24"/>
        </w:rPr>
        <w:t xml:space="preserve">：</w:t>
      </w:r>
      <w:r>
        <w:rPr>
          <w:rFonts w:hint="eastAsia"/>
          <w:sz w:val="24"/>
        </w:rPr>
        <w:t xml:space="preserve">看门狗超时配置参数：系统要求在前50秒内不执行喂狗操作，即看门狗定时器初始超时阈值为50秒，超时未喂狗则触发系统复位。</w:t>
      </w:r>
    </w:p>
    <w:p w:rsidR="007D2501" w:rsidRDefault="00711891">
      <w:pPr>
        <w:tabs>
          <w:tab w:val="left" w:pos="420"/>
        </w:tabs>
        <w:wordWrap w:val="0"/>
        <w:spacing w:line="360" w:lineRule="auto"/>
        <w:rPr>
          <w:sz w:val="24"/>
        </w:rPr>
      </w:pPr>
      <w:r>
        <w:rPr>
          <w:rFonts w:hint="eastAsia"/>
          <w:sz w:val="24"/>
        </w:rPr>
        <w:t xml:space="preserve">看门狗前50秒不喂狗。</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1553B总线</w:t>
      </w:r>
    </w:p>
    <w:p w:rsidR="007D2501" w:rsidRPr="00AB78FC" w:rsidRDefault="00711891" w:rsidP="00AB78FC">
      <w:pPr>
        <w:tabs>
          <w:tab w:val="left" w:pos="420"/>
        </w:tabs>
        <w:wordWrap w:val="0"/>
        <w:spacing w:line="360" w:lineRule="auto"/>
        <w:rPr>
          <w:sz w:val="24"/>
        </w:rPr>
      </w:pPr>
      <w:r w:rsidRPr="00AB78FC">
        <w:rPr>
          <w:rFonts w:hint="eastAsia"/>
          <w:sz w:val="24"/>
        </w:rPr>
        <w:t xml:space="preserve">IF-1553B总线-001: 1553B总线用于系统与外部设备进行高可靠性、时间触发式的双向数据通信，支持BC/RT/MT模式，常用于航空航天领域。</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WY-R/HYS-4A/RX016</w:t>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 xml:space="preserve">，共总结如下</w:t>
      </w:r>
      <w:r>
        <w:rPr>
          <w:rFonts w:hint="eastAsia"/>
          <w:sz w:val="24"/>
        </w:rPr>
        <w:t xml:space="preserve">0</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WY-R/HYS-4A/RX016</w:t>
      </w:r>
      <w:r>
        <w:rPr>
          <w:rFonts w:hint="eastAsia"/>
        </w:rPr>
        <w:t xml:space="preserve">及上述的测试需求分析，共总结如下</w:t>
      </w:r>
      <w:r>
        <w:rPr>
          <w:rFonts w:hint="eastAsia"/>
        </w:rPr>
        <w:t xml:space="preserve">0</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rFonts w:hint="eastAsia"/>
          <w:sz w:val="24"/>
        </w:rPr>
        <w:t>及上述的测试需求分析</w:t>
      </w:r>
      <w:r>
        <w:rPr>
          <w:sz w:val="24"/>
        </w:rPr>
        <w:t>，共总结如下</w:t>
      </w:r>
      <w:r>
        <w:rPr>
          <w:rFonts w:hint="eastAsia"/>
          <w:sz w:val="24"/>
        </w:rPr>
        <w:t xml:space="preserve"/>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，共总结如下</w:t>
      </w:r>
      <w:r>
        <w:rPr>
          <w:rFonts w:hint="eastAsia"/>
          <w:sz w:val="24"/>
        </w:rPr>
        <w:t xml:space="preserve"/>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WY-R/HYS-4A/RX016</w:t>
      </w:r>
      <w:r>
        <w:rPr>
          <w:rFonts w:hint="eastAsia"/>
          <w:sz w:val="24"/>
        </w:rPr>
        <w:t>及上述的测试需求分析</w:t>
      </w:r>
      <w:r>
        <w:rPr>
          <w:sz w:val="24"/>
        </w:rPr>
        <w:t>，共总结如下</w:t>
      </w:r>
      <w:r>
        <w:rPr>
          <w:rFonts w:hint="eastAsia"/>
          <w:sz w:val="24"/>
        </w:rPr>
        <w:t xml:space="preserve">7</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用户名长度为3字符或20字符时，用户注册和登录功能应正常处理</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密码长度为8字符或32字符时，用户注册和登录功能应正常处理</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内存下卸指令包（TC_MEM_DUMP）中下卸长度为96字节时，系统应正确执行下卸操作</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分页查询参数page_size为1或最大支持值（由系统并发与性能约束推导，上限受1000并发及响应时间≤2秒约束隐含限定）时，数据查询功能应返回正确分页结果</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看门狗超时阈值为50秒时，系统应在未喂狗达50秒后触发复位</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JWT token有效期为86400秒（24小时）到期时刻，系统应拒绝该token的后续API访问</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登录失败次数为5次时，账户应立即锁定；第5次失败后30分钟内禁止再次登录</w:t>
            </w:r>
          </w:p>
        </w:tc>
        <w:tc>
          <w:tcPr>
            <w:tcW w:w="2483" w:type="dxa"/>
            <w:vAlign w:val="center"/>
          </w:tcPr>
          <w:p w:rsidR="007D2501" w:rsidRDefault="00BE14D1">
            <w:pPr>
              <w:tabs>
                <w:tab w:val="left" w:pos="420"/>
              </w:tabs>
              <w:wordWrap w:val="0"/>
              <w:jc w:val="center"/>
              <w:rPr>
                <w:szCs w:val="21"/>
              </w:rPr>
            </w:pPr>
            <w:r>
              <w:rPr>
                <w:rFonts w:hint="eastAsia"/>
              </w:rPr>
              <w:t xml:space="preserve">TR-BJ-007</w:t>
            </w:r>
          </w:p>
        </w:tc>
        <w:tc>
          <w:tcPr>
            <w:tcW w:w="2064" w:type="dxa"/>
            <w:vAlign w:val="center"/>
          </w:tcPr>
          <w:p w:rsidR="007D2501" w:rsidRDefault="00711891" w:rsidP="00711891">
            <w:pPr>
              <w:tabs>
                <w:tab w:val="left" w:pos="420"/>
              </w:tabs>
              <w:jc w:val="center"/>
              <w:rPr>
                <w:szCs w:val="21"/>
              </w:rPr>
            </w:pPr>
            <w:r>
              <w:rPr>
                <w:rFonts w:hint="eastAsia"/>
              </w:rPr>
              <w:t xml:space="preserve">计数域边界测试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WY-R/HYS-4A/RX016</w:t>
      </w:r>
      <w:r>
        <w:t>，共总结</w:t>
      </w:r>
      <w:r>
        <w:rPr>
          <w:rFonts w:hint="eastAsia"/>
        </w:rPr>
        <w:t>如下</w:t>
      </w:r>
      <w:r w:rsidR="00B92D8F">
        <w:rPr>
          <w:rFonts w:hint="eastAsia"/>
        </w:rPr>
        <w:t xml:space="preserve">0</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WY-R/HYS-4A/RX016</w:t>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，共总结</w:t>
      </w:r>
      <w:r>
        <w:rPr>
          <w:rFonts w:hint="eastAsia"/>
          <w:sz w:val="24"/>
        </w:rPr>
        <w:t xml:space="preserve"/>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WY-R/HYS-4A/RX016</w:t>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