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1F6FD">
      <w:pPr>
        <w:spacing w:before="0" w:after="400" w:line="560" w:lineRule="exact"/>
        <w:jc w:val="center"/>
      </w:pPr>
      <w:r>
        <w:rPr>
          <w:rFonts w:ascii="Times New Roman" w:hAnsi="Times New Roman" w:eastAsia="方正小标宋简体"/>
          <w:b w:val="0"/>
          <w:sz w:val="44"/>
        </w:rPr>
        <w:t>关于"劳动力调查 AI 助手"项目有关情况的汇报</w:t>
      </w:r>
    </w:p>
    <w:p w14:paraId="24986728">
      <w:pPr>
        <w:spacing w:before="240" w:after="12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一、从两个真实痛点说起</w:t>
      </w:r>
    </w:p>
    <w:p w14:paraId="12A9799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去年下半年起，劳动力调查的填报场景越来越复杂：新型就业形态不断涌现，"游戏代练""短视频博主""外卖骑手""退休返聘"等身份判定问题，频繁摆在辅助调查员面前。</w:t>
      </w:r>
    </w:p>
    <w:p w14:paraId="060F376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【案例 1】游戏代练。某县区辅助调查员入户时，遇到一名 25 岁青年，全职从事游戏代练，月收入 6,000 余元。调查员拿不准这算不算"就业"，翻遍制度手册找不到对应条款，第二天上午才敢填。后来通过电话反复确认，才按"自营劳动者"填报。整个过程耗时近一天。</w:t>
      </w:r>
    </w:p>
    <w:p w14:paraId="5C9B9C8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【案例 2】</w:t>
      </w:r>
      <w:r>
        <w:rPr>
          <w:rFonts w:hint="eastAsia" w:ascii="Times New Roman" w:hAnsi="Times New Roman" w:eastAsia="仿宋_GB2312"/>
          <w:b w:val="0"/>
          <w:sz w:val="32"/>
        </w:rPr>
        <w:t xml:space="preserve"> 外卖骑手。 某辅助调查员入户遇到一名外卖骑手，每天跑单约 6小时、在多个平台注册、没有固定雇主。骑手"算就业"没有异议，但对"雇员"还是"自营劳动者"的身份判定，调查员拿不准——前者对应平台用工，后者对应灵活就业，两者的周劳动时间和合同类型口径完全不同。现场查不到对应条款，只能先空着、回去再核对。</w:t>
      </w:r>
    </w:p>
    <w:p w14:paraId="3227A7D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这两个案例的共同点是：标准答案其实就在制度里，但现场查不到、查得慢、查不准。</w:t>
      </w:r>
    </w:p>
    <w:p w14:paraId="36425320">
      <w:pPr>
        <w:spacing w:before="240" w:after="12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二、为什么会出现这个问题</w:t>
      </w:r>
    </w:p>
    <w:p w14:paraId="1292BB9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一是制度内容多。劳动力调查制度涵盖就业判断、就业身份、单位类型、收入认定等十余类场景，</w:t>
      </w:r>
      <w:r>
        <w:rPr>
          <w:rFonts w:hint="eastAsia"/>
          <w:b w:val="0"/>
          <w:sz w:val="32"/>
          <w:lang w:val="en-US" w:eastAsia="zh-CN"/>
        </w:rPr>
        <w:t>工作</w:t>
      </w:r>
      <w:r>
        <w:rPr>
          <w:rFonts w:ascii="Times New Roman" w:hAnsi="Times New Roman" w:eastAsia="仿宋_GB2312"/>
          <w:b w:val="0"/>
          <w:sz w:val="32"/>
        </w:rPr>
        <w:t>手册正文</w:t>
      </w:r>
      <w:r>
        <w:rPr>
          <w:rFonts w:hint="eastAsia"/>
          <w:b w:val="0"/>
          <w:sz w:val="32"/>
          <w:lang w:val="en-US" w:eastAsia="zh-CN"/>
        </w:rPr>
        <w:t>80</w:t>
      </w:r>
      <w:r>
        <w:rPr>
          <w:rFonts w:ascii="Times New Roman" w:hAnsi="Times New Roman" w:eastAsia="仿宋_GB2312"/>
          <w:b w:val="0"/>
          <w:sz w:val="32"/>
        </w:rPr>
        <w:t>余页，辅助调查员无法全部熟记。</w:t>
      </w:r>
    </w:p>
    <w:p w14:paraId="43802E3E">
      <w:pPr>
        <w:spacing w:before="0" w:after="0" w:line="560" w:lineRule="exact"/>
        <w:ind w:firstLine="640"/>
        <w:jc w:val="both"/>
        <w:rPr>
          <w:rFonts w:hint="eastAsia" w:ascii="Times New Roman" w:hAnsi="Times New Roman" w:eastAsia="仿宋_GB2312"/>
          <w:b w:val="0"/>
          <w:sz w:val="32"/>
        </w:rPr>
      </w:pPr>
      <w:r>
        <w:rPr>
          <w:rFonts w:hint="eastAsia" w:ascii="Times New Roman" w:hAnsi="Times New Roman" w:eastAsia="仿宋_GB2312"/>
          <w:b w:val="0"/>
          <w:sz w:val="32"/>
        </w:rPr>
        <w:t>二是现场条件受限。 制度手册虽随调查员随身携带，但</w:t>
      </w:r>
      <w:r>
        <w:rPr>
          <w:rFonts w:hint="eastAsia"/>
          <w:b w:val="0"/>
          <w:sz w:val="32"/>
          <w:lang w:val="en-US" w:eastAsia="zh-CN"/>
        </w:rPr>
        <w:t>工作</w:t>
      </w:r>
      <w:r>
        <w:rPr>
          <w:rFonts w:ascii="Times New Roman" w:hAnsi="Times New Roman" w:eastAsia="仿宋_GB2312"/>
          <w:b w:val="0"/>
          <w:sz w:val="32"/>
        </w:rPr>
        <w:t>手册正文</w:t>
      </w:r>
      <w:r>
        <w:rPr>
          <w:rFonts w:hint="eastAsia"/>
          <w:b w:val="0"/>
          <w:sz w:val="32"/>
          <w:lang w:val="en-US" w:eastAsia="zh-CN"/>
        </w:rPr>
        <w:t>80</w:t>
      </w:r>
      <w:r>
        <w:rPr>
          <w:rFonts w:ascii="Times New Roman" w:hAnsi="Times New Roman" w:eastAsia="仿宋_GB2312"/>
          <w:b w:val="0"/>
          <w:sz w:val="32"/>
        </w:rPr>
        <w:t>余页</w:t>
      </w:r>
      <w:r>
        <w:rPr>
          <w:rFonts w:hint="eastAsia" w:ascii="Times New Roman" w:hAnsi="Times New Roman" w:eastAsia="仿宋_GB2312"/>
          <w:b w:val="0"/>
          <w:sz w:val="32"/>
        </w:rPr>
        <w:t>、没有全文检索能力，遇到边角问题翻查耗时严重；如需逐级请示区队、市局，又往往跨数日才能得到答复；入户节奏紧、调查户在场等待，没时间在现场慢慢核实</w:t>
      </w:r>
    </w:p>
    <w:p w14:paraId="0EB1438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三是经验传承断层。资深调查员积累的"边角案例"判断经验，往往随人员调动流失，新入职调查员难以快速积累同类经验。</w:t>
      </w:r>
    </w:p>
    <w:p w14:paraId="3629326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综上，基层最迫切的需求，是一个能在现场 2 秒钟查到制度依据的工具。</w:t>
      </w:r>
    </w:p>
    <w:p w14:paraId="397A359B">
      <w:pPr>
        <w:spacing w:before="240" w:after="12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三、我们做的工具：劳动力调查 AI 助手</w:t>
      </w:r>
    </w:p>
    <w:p w14:paraId="685E59E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为回应上述痛点，我们利用业余时间，自主开发了"劳动力调查 AI 助手"，定位为辅助调查员的随身制度问答工具。它有三个特点：</w:t>
      </w:r>
    </w:p>
    <w:p w14:paraId="7FF1ADA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第一，即开即用。调查员只需在手机上打开一个网页链接（微信内可直接点击），输入想问的问题，平均 2 秒即可得到答案。无需下载 App，无需注册账号。</w:t>
      </w:r>
    </w:p>
    <w:p w14:paraId="5ADEA18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 xml:space="preserve">第二，答案可追溯。每条回答都附带具体的制度出处——出自《劳动力调查制度》第几部分、对应哪一条指标，调查员可据此复核、也可作为审核依据。系统内部已建立 </w:t>
      </w:r>
      <w:r>
        <w:rPr>
          <w:rFonts w:hint="eastAsia"/>
          <w:b w:val="0"/>
          <w:sz w:val="32"/>
          <w:lang w:val="en-US" w:eastAsia="zh-CN"/>
        </w:rPr>
        <w:t>302</w:t>
      </w:r>
      <w:r>
        <w:rPr>
          <w:rFonts w:ascii="Times New Roman" w:hAnsi="Times New Roman" w:eastAsia="仿宋_GB2312"/>
          <w:b w:val="0"/>
          <w:sz w:val="32"/>
        </w:rPr>
        <w:t xml:space="preserve"> 条结构化制度问答，覆盖就业判断、就业身份、单位类型、特殊场景（港澳台、外籍、服刑人员、僧道人士等）等核心填报场景。</w:t>
      </w:r>
    </w:p>
    <w:p w14:paraId="4F6F319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第三，只查制度、不传居民信息。这是本项目最重要的设计原则：网页端只接收调查员输入的查询文本，不收集、不上传任何居民姓名、身份证号、地址、家庭收入等个人信息。系统访问的仅是与制度问答相关的知识库内容。</w:t>
      </w:r>
    </w:p>
    <w:p w14:paraId="2B6D7698">
      <w:pPr>
        <w:spacing w:before="240" w:after="12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四、试运行情况</w:t>
      </w:r>
    </w:p>
    <w:p w14:paraId="390B226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项目自 2026 年 4 月启动，目前已完成第一阶段建设，处室内测运行中。成效主要体现在三方面：</w:t>
      </w:r>
    </w:p>
    <w:p w14:paraId="47202CE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一是覆盖度初具规模。知识库已收录</w:t>
      </w:r>
      <w:r>
        <w:rPr>
          <w:rFonts w:hint="eastAsia"/>
          <w:b w:val="0"/>
          <w:sz w:val="32"/>
          <w:lang w:val="en-US" w:eastAsia="zh-CN"/>
        </w:rPr>
        <w:t>302</w:t>
      </w:r>
      <w:bookmarkStart w:id="0" w:name="_GoBack"/>
      <w:bookmarkEnd w:id="0"/>
      <w:r>
        <w:rPr>
          <w:rFonts w:ascii="Times New Roman" w:hAnsi="Times New Roman" w:eastAsia="仿宋_GB2312"/>
          <w:b w:val="0"/>
          <w:sz w:val="32"/>
        </w:rPr>
        <w:t xml:space="preserve"> 条制度问答，覆盖就业判断、就业身份、单位类型、特殊场景等核心填报场景，并对游戏代练、退休返聘、外卖骑手等典型坑题进行了专项补全。</w:t>
      </w:r>
    </w:p>
    <w:p w14:paraId="4378C54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二是回答准确率较高。我们建立了 100 题内部评估题库，覆盖"知识库内""超出知识库""陷阱题""模糊题"四类场景，实测通过率 99%（其中 99 题答对）。未通过的一题已定位原因，正在补充知识库条目。</w:t>
      </w:r>
    </w:p>
    <w:p w14:paraId="5F4401F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三是具备反馈闭环。每条回答下方都设有"采纳/不采纳"按钮，调查员的反馈会回流到知识库维护流程，用于持续优化问答质量。</w:t>
      </w:r>
    </w:p>
    <w:p w14:paraId="7302EA6B">
      <w:pPr>
        <w:spacing w:before="240" w:after="12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五、花多少钱、安全怎么保</w:t>
      </w:r>
    </w:p>
    <w:p w14:paraId="2907D17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关于成本：按省级 700 名辅助调查员、日均提问 10 次的规模测算，每月运行成本约 87 元，全年约 1,044 元。这一规模可走阿里云政府采购协议供货渠道，采购流程简单、周期短。如未来推广至全国约 2 万名辅助调查员，月成本约 1,066 元，仍属可控范围。</w:t>
      </w:r>
    </w:p>
    <w:p w14:paraId="7A85A07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关于安全合规，我们重点把好四道关：</w:t>
      </w:r>
    </w:p>
    <w:p w14:paraId="1D0BFA9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一是数据边界关。网页端与居民个人信息完全隔离，仅传输调查员输入的查询文本，从源头杜绝居民数据外泄。</w:t>
      </w:r>
    </w:p>
    <w:p w14:paraId="7132542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二是模型自主可控。系统采用国产大型语言模型，中文理解能力强、合规可控；语义匹配采用阿里云通义系列模型，数据不出境。</w:t>
      </w:r>
    </w:p>
    <w:p w14:paraId="74F5C5D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三是日志限期管理。所有操作日志保留 30 天后滚动清理，不长期留存。</w:t>
      </w:r>
    </w:p>
    <w:p w14:paraId="4D114CE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四是备案合规推进。当前为个人主体试运行阶段，仅限处室内部 10–20 人使用；计划在 3 个月后启动单位主体备案（贵阳调查队作为主办单位），备案周期约 15–20 个工作日，备案完成后方可面向更大范围推广。</w:t>
      </w:r>
    </w:p>
    <w:p w14:paraId="26ACC17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需要如实说明的是，项目目前由 1 名同志利用业余时间开发，迭代速度受限于人力；知识库条目距 500 条的远期目标还有约 200 条缺口；试用阶段访问地址每次重启会变化。这些问题将在单位主体备案完成后逐步解决。</w:t>
      </w:r>
    </w:p>
    <w:p w14:paraId="58962299">
      <w:pPr>
        <w:spacing w:before="240" w:after="12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六、申请事项</w:t>
      </w:r>
    </w:p>
    <w:p w14:paraId="01B502C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为推动项目从"试用"走向"可用"，恳请支持以下事项：</w:t>
      </w:r>
    </w:p>
    <w:p w14:paraId="4DECAB7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一是同意扩大试点范围。在完成单位主体备案后，将使用范围扩展至贵阳市全体辅助调查员，进一步验证大规模场景下的稳定性。</w:t>
      </w:r>
    </w:p>
    <w:p w14:paraId="3C7C2E3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二是启动单位主体备案工作。以贵阳调查队作为主办单位，启动网站备案及信息系统定级相关流程，预计 15–20 个工作日完成。</w:t>
      </w:r>
    </w:p>
    <w:p w14:paraId="2C03ADC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三是推进省级协议供货采购。将项目运行费用纳入明年信息化建设预算，按协议供货方式采购阿里云资源，年支出约 1,044 元。</w:t>
      </w:r>
    </w:p>
    <w:p w14:paraId="738401C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四是视情况纳入全省推广规划。在贵阳试点成熟的基础上，研究向全省辅助调查员推广的可行性。</w:t>
      </w:r>
    </w:p>
    <w:p w14:paraId="2E625B3D">
      <w:pPr>
        <w:spacing w:before="240" w:after="12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七、结语</w:t>
      </w:r>
    </w:p>
    <w:p w14:paraId="03AC0FC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"劳动力调查 AI 助手"是基层同志为解决实际工作难题而自发开展的微创新，投入小、风险低、见效快、合规边界清晰。我们坚信，让制度在指尖可用，是提升源头数据质量最朴素、也最有效的方式。恳请上级机关给予指导和支持，我们将认真落实各项要求，把项目做实做好。</w:t>
      </w:r>
    </w:p>
    <w:p w14:paraId="1FC97E89">
      <w:pPr>
        <w:spacing w:before="56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贵阳市劳动力调查处</w:t>
      </w:r>
    </w:p>
    <w:p w14:paraId="1EB06E0C">
      <w:pPr>
        <w:spacing w:before="56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2026 年 6 月 23 日</w:t>
      </w:r>
    </w:p>
    <w:sectPr>
      <w:pgSz w:w="11906" w:h="16838"/>
      <w:pgMar w:top="2098" w:right="1474" w:bottom="1984" w:left="1587" w:header="1134" w:footer="113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64116D"/>
    <w:rsid w:val="4A411143"/>
    <w:rsid w:val="7529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2049</Words>
  <Characters>2118</Characters>
  <Lines>0</Lines>
  <Paragraphs>0</Paragraphs>
  <TotalTime>9</TotalTime>
  <ScaleCrop>false</ScaleCrop>
  <LinksUpToDate>false</LinksUpToDate>
  <CharactersWithSpaces>2187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企业用户_384757340</cp:lastModifiedBy>
  <dcterms:modified xsi:type="dcterms:W3CDTF">2026-06-23T02:57:18Z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eyJoZGlkIjoiN2M1ZmUwYmNkZTI3Zjc0MWUyZjBlZjhjYTkyMjBjNTAiLCJ1c2VySWQiOiIxNTUwMzUwNzM3In0=</vt:lpwstr>
  </property>
  <property fmtid="{D5CDD505-2E9C-101B-9397-08002B2CF9AE}" pid="3" name="KSOProductBuildVer">
    <vt:lpwstr>2052-12.1.0.26895</vt:lpwstr>
  </property>
  <property fmtid="{D5CDD505-2E9C-101B-9397-08002B2CF9AE}" pid="4" name="ICV">
    <vt:lpwstr>0D0FB5B2442C431BBE90E34CE3DA6D76_12</vt:lpwstr>
  </property>
</Properties>
</file>