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80"/>
        <w:jc w:val="center"/>
      </w:pPr>
      <w:r>
        <w:rPr>
          <w:rFonts w:ascii="Times New Roman" w:hAnsi="Times New Roman" w:eastAsia="黑体"/>
          <w:b/>
          <w:color w:val="000000"/>
          <w:sz w:val="40"/>
        </w:rPr>
        <w:t>厦门大学管理学院</w:t>
      </w:r>
    </w:p>
    <w:p>
      <w:pPr>
        <w:spacing w:after="11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创业管理理论与前沿</w:t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[第N周]研讨作业</w:t>
      </w:r>
    </w:p>
    <w:p>
      <w:pPr>
        <w:spacing w:after="90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[本周题目待填写]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4394"/>
        <w:gridCol w:w="4394"/>
      </w:tblGrid>
      <w:tr>
        <w:tc>
          <w:tcPr>
            <w:tcW w:type="dxa" w:w="7200"/>
            <w:vAlign w:val="center"/>
            <w:gridSpan w:val="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200" w:line="312" w:lineRule="auto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院系专业：</w:t>
            </w:r>
            <w:r>
              <w:rPr>
                <w:rFonts w:ascii="宋体" w:hAnsi="宋体" w:eastAsia="宋体"/>
                <w:color w:val="000000"/>
                <w:sz w:val="24"/>
                <w:u w:val="single"/>
              </w:rPr>
              <w:t>管理学院企业管理系 创业学专业</w:t>
            </w:r>
          </w:p>
        </w:tc>
      </w:tr>
      <w:tr>
        <w:tc>
          <w:tcPr>
            <w:tcW w:type="dxa" w:w="7200"/>
            <w:vAlign w:val="center"/>
            <w:gridSpan w:val="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200" w:line="312" w:lineRule="auto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授课教师：</w:t>
            </w:r>
            <w:r>
              <w:rPr>
                <w:rFonts w:ascii="宋体" w:hAnsi="宋体" w:eastAsia="宋体"/>
                <w:color w:val="000000"/>
                <w:sz w:val="24"/>
                <w:u w:val="single"/>
              </w:rPr>
              <w:t>木志荣教授</w:t>
            </w:r>
          </w:p>
        </w:tc>
      </w:tr>
      <w:tr>
        <w:tc>
          <w:tcPr>
            <w:tcW w:type="dxa" w:w="7200"/>
            <w:vAlign w:val="center"/>
            <w:gridSpan w:val="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200" w:line="312" w:lineRule="auto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学生姓名：</w:t>
            </w:r>
            <w:r>
              <w:rPr>
                <w:rFonts w:ascii="宋体" w:hAnsi="宋体" w:eastAsia="宋体"/>
                <w:color w:val="000000"/>
                <w:sz w:val="24"/>
                <w:u w:val="single"/>
              </w:rPr>
              <w:t>[学生姓名]</w:t>
            </w:r>
          </w:p>
        </w:tc>
      </w:tr>
      <w:tr>
        <w:tc>
          <w:tcPr>
            <w:tcW w:type="dxa" w:w="7200"/>
            <w:vAlign w:val="center"/>
            <w:gridSpan w:val="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200" w:line="312" w:lineRule="auto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学号：</w:t>
            </w:r>
            <w:r>
              <w:rPr>
                <w:rFonts w:ascii="宋体" w:hAnsi="宋体" w:eastAsia="宋体"/>
                <w:color w:val="000000"/>
                <w:sz w:val="24"/>
                <w:u w:val="single"/>
              </w:rPr>
              <w:t>[学号]</w:t>
            </w:r>
          </w:p>
        </w:tc>
      </w:tr>
      <w:tr>
        <w:tc>
          <w:tcPr>
            <w:tcW w:type="dxa" w:w="7200"/>
            <w:vAlign w:val="center"/>
            <w:gridSpan w:val="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200" w:line="312" w:lineRule="auto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年级：</w:t>
            </w:r>
            <w:r>
              <w:rPr>
                <w:rFonts w:ascii="宋体" w:hAnsi="宋体" w:eastAsia="宋体"/>
                <w:color w:val="000000"/>
                <w:sz w:val="24"/>
                <w:u w:val="single"/>
              </w:rPr>
              <w:t>[年级]</w:t>
            </w:r>
          </w:p>
        </w:tc>
      </w:tr>
      <w:tr>
        <w:tc>
          <w:tcPr>
            <w:tcW w:type="dxa" w:w="7200"/>
            <w:vAlign w:val="center"/>
            <w:gridSpan w:val="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200" w:line="312" w:lineRule="auto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提交日期：</w:t>
            </w:r>
            <w:r>
              <w:rPr>
                <w:rFonts w:ascii="宋体" w:hAnsi="宋体" w:eastAsia="宋体"/>
                <w:color w:val="000000"/>
                <w:sz w:val="24"/>
                <w:u w:val="single"/>
              </w:rPr>
              <w:t>[提交日期]</w:t>
            </w:r>
          </w:p>
        </w:tc>
      </w:tr>
    </w:tbl>
    <w:p>
      <w:r>
        <w:br w:type="page"/>
      </w:r>
    </w:p>
    <w:p>
      <w:pPr>
        <w:pStyle w:val="Title"/>
        <w:spacing w:after="20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[第N周]研讨报告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本报告围绕本周课程研讨题目，记录 AI 辅助研讨过程、文献依据和按主题归纳的讨论结论。请将所有方括号提示替换为经核实的内容，并在定稿前删除本提示段。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一 AI技巧评价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评价的是本周可观察到的 AI 使用过程，不是课程成绩或研究结论本身。每个适用维度记录等级、证据、主要缺口和可执行的优化建议。表格采用黑色三线表、白底黑字，字号不低于 11 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/>
          <w:bottom w:val="single" w:sz="12" w:color="000000"/>
          <w:right w:val="nil"/>
          <w:insideH w:val="nil"/>
          <w:insideV w:val="nil"/>
        </w:tblBorders>
      </w:tblPr>
      <w:tblGrid>
        <w:gridCol w:w="2197"/>
        <w:gridCol w:w="2197"/>
        <w:gridCol w:w="2197"/>
        <w:gridCol w:w="2197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bottom w:val="single" w:sz="8" w:space="0" w:color="000000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2"/>
              </w:rPr>
              <w:t>评价维度与权重</w:t>
            </w:r>
          </w:p>
        </w:tc>
        <w:tc>
          <w:tcPr>
            <w:tcW w:type="dxa" w:w="102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bottom w:val="single" w:sz="8" w:space="0" w:color="000000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2"/>
              </w:rPr>
              <w:t>等级</w:t>
            </w:r>
          </w:p>
        </w:tc>
        <w:tc>
          <w:tcPr>
            <w:tcW w:type="dxa" w:w="2835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bottom w:val="single" w:sz="8" w:space="0" w:color="000000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2"/>
              </w:rPr>
              <w:t>过程证据与主要缺口</w:t>
            </w:r>
          </w:p>
        </w:tc>
        <w:tc>
          <w:tcPr>
            <w:tcW w:type="dxa" w:w="226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bottom w:val="single" w:sz="8" w:space="0" w:color="000000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2"/>
              </w:rPr>
              <w:t>下一步优化建议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工具链策略与安全配置（15%）</w:t>
            </w:r>
          </w:p>
        </w:tc>
        <w:tc>
          <w:tcPr>
            <w:tcW w:type="dxa" w:w="102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[1—7/NA/NE]</w:t>
            </w:r>
          </w:p>
        </w:tc>
        <w:tc>
          <w:tcPr>
            <w:tcW w:type="dxa" w:w="2835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[实际调用、适配理由、边界与安全记录]</w:t>
            </w:r>
          </w:p>
        </w:tc>
        <w:tc>
          <w:tcPr>
            <w:tcW w:type="dxa" w:w="226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[具体下一步]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提示词与任务分解（20%）</w:t>
            </w:r>
          </w:p>
        </w:tc>
        <w:tc>
          <w:tcPr>
            <w:tcW w:type="dxa" w:w="102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[1—7/NA/NE]</w:t>
            </w:r>
          </w:p>
        </w:tc>
        <w:tc>
          <w:tcPr>
            <w:tcW w:type="dxa" w:w="2835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[目标、约束、验收标准、分步及追问]</w:t>
            </w:r>
          </w:p>
        </w:tc>
        <w:tc>
          <w:tcPr>
            <w:tcW w:type="dxa" w:w="226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[具体下一步]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上下文工程（20%）</w:t>
            </w:r>
          </w:p>
        </w:tc>
        <w:tc>
          <w:tcPr>
            <w:tcW w:type="dxa" w:w="102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[1—7/NA/NE]</w:t>
            </w:r>
          </w:p>
        </w:tc>
        <w:tc>
          <w:tcPr>
            <w:tcW w:type="dxa" w:w="2835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[背景、材料选择、来源状态和组织方式]</w:t>
            </w:r>
          </w:p>
        </w:tc>
        <w:tc>
          <w:tcPr>
            <w:tcW w:type="dxa" w:w="226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[具体下一步]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文献与事实核验（20%）</w:t>
            </w:r>
          </w:p>
        </w:tc>
        <w:tc>
          <w:tcPr>
            <w:tcW w:type="dxa" w:w="102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[1—7/NA/NE]</w:t>
            </w:r>
          </w:p>
        </w:tc>
        <w:tc>
          <w:tcPr>
            <w:tcW w:type="dxa" w:w="2835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[元数据、论据、引注和本地文献检查]</w:t>
            </w:r>
          </w:p>
        </w:tc>
        <w:tc>
          <w:tcPr>
            <w:tcW w:type="dxa" w:w="226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[具体下一步]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批判性对话与迭代（15%）</w:t>
            </w:r>
          </w:p>
        </w:tc>
        <w:tc>
          <w:tcPr>
            <w:tcW w:type="dxa" w:w="102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[1—7/NA/NE]</w:t>
            </w:r>
          </w:p>
        </w:tc>
        <w:tc>
          <w:tcPr>
            <w:tcW w:type="dxa" w:w="2835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[承接用户回应、选择追问、检视机制/边界/反例及观点修正]</w:t>
            </w:r>
          </w:p>
        </w:tc>
        <w:tc>
          <w:tcPr>
            <w:tcW w:type="dxa" w:w="226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[具体下一步]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综合整合与交付复核（10%）</w:t>
            </w:r>
          </w:p>
        </w:tc>
        <w:tc>
          <w:tcPr>
            <w:tcW w:type="dxa" w:w="102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[1—7/NA/NE]</w:t>
            </w:r>
          </w:p>
        </w:tc>
        <w:tc>
          <w:tcPr>
            <w:tcW w:type="dxa" w:w="2835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[证据整合、引用/格式/图表及版面复查]</w:t>
            </w:r>
          </w:p>
        </w:tc>
        <w:tc>
          <w:tcPr>
            <w:tcW w:type="dxa" w:w="226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2"/>
              </w:rPr>
              <w:t>[具体下一步]</w:t>
            </w:r>
          </w:p>
        </w:tc>
      </w:tr>
    </w:tbl>
    <w:p>
      <w:pPr>
        <w:spacing w:after="20"/>
      </w:pP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七级锚点：7 卓越；6 优秀；5 良好；4 达标；3 发展中；2 较弱；1 未达标。NA 表示不适用，NE 表示证据不足；NA 不计分，NE 不得按 1 分处理。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综合得分按适用维度权重计算并重新归一化；至少四个维度有有效评分才给综合等级。四舍五入至最近整数，0.5 向上（1.00—1.49 为 1 级，依此类推，6.50—7.00 为 7 级）。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综合评级：[加权得分 / 1—7级及名称]。评级依据：[说明主要优势、限制和可核验依据]。优先改进：[列出最重要的两项动作]。完整锚点及算法见 `AI技能评级体系.md`。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二 本次作业的AI使用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/>
          <w:bottom w:val="single" w:sz="12" w:color="000000"/>
          <w:right w:val="nil"/>
          <w:insideH w:val="nil"/>
          <w:insideV w:val="nil"/>
        </w:tblBorders>
      </w:tblPr>
      <w:tblGrid>
        <w:gridCol w:w="4394"/>
        <w:gridCol w:w="4394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bottom w:val="single" w:sz="8" w:space="0" w:color="000000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记录项</w:t>
            </w:r>
          </w:p>
        </w:tc>
        <w:tc>
          <w:tcPr>
            <w:tcW w:type="dxa" w:w="549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bottom w:val="single" w:sz="8" w:space="0" w:color="000000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本次实际使用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模型与版本</w:t>
            </w:r>
          </w:p>
        </w:tc>
        <w:tc>
          <w:tcPr>
            <w:tcW w:type="dxa" w:w="549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[填写实际可确认信息；不确定时注明未知]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Agent / Harness</w:t>
            </w:r>
          </w:p>
        </w:tc>
        <w:tc>
          <w:tcPr>
            <w:tcW w:type="dxa" w:w="549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[记录平台、Agent角色、编排/运行环境]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Skills / MCP / 工具链</w:t>
            </w:r>
          </w:p>
        </w:tc>
        <w:tc>
          <w:tcPr>
            <w:tcW w:type="dxa" w:w="549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[仅记录实际调用项及用途]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Zotero Buddy / 本地库</w:t>
            </w:r>
          </w:p>
        </w:tc>
        <w:tc>
          <w:tcPr>
            <w:tcW w:type="dxa" w:w="549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[记录 Zotero 版本、本地命中与 item key、按 DOI 添加结果、集合分类、#标签及写入复查]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研讨节点与最终成果授权</w:t>
            </w:r>
          </w:p>
        </w:tc>
        <w:tc>
          <w:tcPr>
            <w:tcW w:type="dxa" w:w="549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[记录逐主题结束确认；所有主题确认后记录用户制作最终成果的明确授权及时间]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上下文材料</w:t>
            </w:r>
          </w:p>
        </w:tc>
        <w:tc>
          <w:tcPr>
            <w:tcW w:type="dxa" w:w="549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[题目、讲义、论文、笔记等]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提示词与追问范式</w:t>
            </w:r>
          </w:p>
        </w:tc>
        <w:tc>
          <w:tcPr>
            <w:tcW w:type="dxa" w:w="549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[记录任务提示、证据要求和自适应接续提示；说明 Agent 如何承接观点、选择一个追问并迭代]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人工核验与修改</w:t>
            </w:r>
          </w:p>
        </w:tc>
        <w:tc>
          <w:tcPr>
            <w:tcW w:type="dxa" w:w="549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[说明核对书目、纠正输出、采纳/拒绝建议的过程]</w:t>
            </w:r>
          </w:p>
        </w:tc>
      </w:tr>
    </w:tbl>
    <w:p>
      <w:pPr>
        <w:spacing w:after="20"/>
      </w:pP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添加或分类失败的相关文献须列入手动收录清单，提供完整书目信息、DOI、建议集合与 #标签、失败状态/错误信息和稳定来源链接；不得将失败条目标记为已入库。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6"/>
        </w:rPr>
        <w:t>自适应提问与追问提示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请先准确回应学生当前的问题或观点，指出最值得澄清或推进的一处认知缺口，再结合上下文提出一个具体、开放、非诱导的追问。解释、纠正和澄清请求应先完整作答，再视情况追问。学生简短表示认同不代表主题结束；可请其应用到案例、检验反例、界定边界或提出判断标准。不要堆叠问题，不要只总结后把下一步留给学生主动发起。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追问类型按需要选择：概念澄清；证据与假设；作用机制；反例与边界；案例应用；评价与综合。可参考苏格拉底式探究、布鲁姆认知目标层次、形成性反馈、ICAP互动学习，以及启发式和因材施教原则；不机械套用固定阶梯或每轮提问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三 本次研讨及追问概要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按教师问题或讨论主题分别归纳。每部分说明题目焦点、主要论点及其文献依据、Agent与学生观点的异同、追问后形成的修正，以及尚存的边界或证据缺口。不要把摘要写成聊天记录。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可视化（按需）：若 Mermaid 图式或 SVG 能帮助呈现概念关系、创业过程、作用机制或理论边界，可将图嵌入相关主题的研讨概要/对话摘要段落附近并配图号、图题和文字解读；若讨论形成初步理论模型，可插图辅助理解，但须明确其为概念性/探索性模型，未经实证验证或信效度检验，不作验证性主张。保留 Mermaid 源码或 SVG 文件于当周“图示”目录。图示须与论据一致，不替代正文解释和文献引注。最终文档中的图、表主体和图示一律水平居中；图题、表题按课程/学校格式排版。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Markdown 表格处理：纳入 Word 成果时将 Markdown 表格转换为 Word 原生表格，应用居中的学术论文三线表样式；不得保留管道符文本或把表格内容作为普通段落粘贴。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6"/>
        </w:rPr>
        <w:t>3.1 [问题/主题名称]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/>
          <w:color w:val="000000"/>
          <w:sz w:val="24"/>
        </w:rPr>
        <w:t>研讨焦点：</w:t>
      </w:r>
      <w:r>
        <w:rPr>
          <w:rFonts w:ascii="Times New Roman" w:hAnsi="Times New Roman" w:eastAsia="宋体"/>
          <w:b w:val="0"/>
          <w:color w:val="000000"/>
          <w:sz w:val="24"/>
        </w:rPr>
        <w:t>[复述问题核心，不改变题意]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/>
          <w:color w:val="000000"/>
          <w:sz w:val="24"/>
        </w:rPr>
        <w:t>主要观点与理论依据：</w:t>
      </w:r>
      <w:r>
        <w:rPr>
          <w:rFonts w:ascii="Times New Roman" w:hAnsi="Times New Roman" w:eastAsia="宋体"/>
          <w:b w:val="0"/>
          <w:color w:val="000000"/>
          <w:sz w:val="24"/>
        </w:rPr>
        <w:t>[综合讨论观点，并用顺序编码引注标明已核验来源]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/>
          <w:color w:val="000000"/>
          <w:sz w:val="24"/>
        </w:rPr>
        <w:t>追问路径：</w:t>
      </w:r>
      <w:r>
        <w:rPr>
          <w:rFonts w:ascii="Times New Roman" w:hAnsi="Times New Roman" w:eastAsia="宋体"/>
          <w:b w:val="0"/>
          <w:color w:val="000000"/>
          <w:sz w:val="24"/>
        </w:rPr>
        <w:t>[当前缺口与追问类型；用户回应带来的新信息；观点如何补充、辨析或修正]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/>
          <w:color w:val="000000"/>
          <w:sz w:val="24"/>
        </w:rPr>
        <w:t>追问与观点变化：</w:t>
      </w:r>
      <w:r>
        <w:rPr>
          <w:rFonts w:ascii="Times New Roman" w:hAnsi="Times New Roman" w:eastAsia="宋体"/>
          <w:b w:val="0"/>
          <w:color w:val="000000"/>
          <w:sz w:val="24"/>
        </w:rPr>
        <w:t>[记录追问如何推动补充论据、辨析边界或修正初步判断]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/>
          <w:color w:val="000000"/>
          <w:sz w:val="24"/>
        </w:rPr>
        <w:t>小结与未决问题：</w:t>
      </w:r>
      <w:r>
        <w:rPr>
          <w:rFonts w:ascii="Times New Roman" w:hAnsi="Times New Roman" w:eastAsia="宋体"/>
          <w:b w:val="0"/>
          <w:color w:val="000000"/>
          <w:sz w:val="24"/>
        </w:rPr>
        <w:t>[概括当前判断、适用条件及仍需证据支持之处]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6"/>
        </w:rPr>
        <w:t>3.2 [问题/主题名称]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/>
          <w:color w:val="000000"/>
          <w:sz w:val="24"/>
        </w:rPr>
        <w:t>研讨焦点：</w:t>
      </w:r>
      <w:r>
        <w:rPr>
          <w:rFonts w:ascii="Times New Roman" w:hAnsi="Times New Roman" w:eastAsia="宋体"/>
          <w:b w:val="0"/>
          <w:color w:val="000000"/>
          <w:sz w:val="24"/>
        </w:rPr>
        <w:t>[复述问题核心，不改变题意]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/>
          <w:color w:val="000000"/>
          <w:sz w:val="24"/>
        </w:rPr>
        <w:t>主要观点与理论依据：</w:t>
      </w:r>
      <w:r>
        <w:rPr>
          <w:rFonts w:ascii="Times New Roman" w:hAnsi="Times New Roman" w:eastAsia="宋体"/>
          <w:b w:val="0"/>
          <w:color w:val="000000"/>
          <w:sz w:val="24"/>
        </w:rPr>
        <w:t>[综合讨论观点，并用顺序编码引注标明已核验来源]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/>
          <w:color w:val="000000"/>
          <w:sz w:val="24"/>
        </w:rPr>
        <w:t>追问路径：</w:t>
      </w:r>
      <w:r>
        <w:rPr>
          <w:rFonts w:ascii="Times New Roman" w:hAnsi="Times New Roman" w:eastAsia="宋体"/>
          <w:b w:val="0"/>
          <w:color w:val="000000"/>
          <w:sz w:val="24"/>
        </w:rPr>
        <w:t>[当前缺口与追问类型；用户回应带来的新信息；观点如何补充、辨析或修正]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/>
          <w:color w:val="000000"/>
          <w:sz w:val="24"/>
        </w:rPr>
        <w:t>追问与观点变化：</w:t>
      </w:r>
      <w:r>
        <w:rPr>
          <w:rFonts w:ascii="Times New Roman" w:hAnsi="Times New Roman" w:eastAsia="宋体"/>
          <w:b w:val="0"/>
          <w:color w:val="000000"/>
          <w:sz w:val="24"/>
        </w:rPr>
        <w:t>[记录追问如何推动补充论据、辨析边界或修正初步判断]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/>
          <w:color w:val="000000"/>
          <w:sz w:val="24"/>
        </w:rPr>
        <w:t>小结与未决问题：</w:t>
      </w:r>
      <w:r>
        <w:rPr>
          <w:rFonts w:ascii="Times New Roman" w:hAnsi="Times New Roman" w:eastAsia="宋体"/>
          <w:b w:val="0"/>
          <w:color w:val="000000"/>
          <w:sz w:val="24"/>
        </w:rPr>
        <w:t>[概括当前判断、适用条件及仍需证据支持之处]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6"/>
        </w:rPr>
        <w:t>3.3 [问题/主题名称]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/>
          <w:color w:val="000000"/>
          <w:sz w:val="24"/>
        </w:rPr>
        <w:t>研讨焦点：</w:t>
      </w:r>
      <w:r>
        <w:rPr>
          <w:rFonts w:ascii="Times New Roman" w:hAnsi="Times New Roman" w:eastAsia="宋体"/>
          <w:b w:val="0"/>
          <w:color w:val="000000"/>
          <w:sz w:val="24"/>
        </w:rPr>
        <w:t>[复述问题核心，不改变题意]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/>
          <w:color w:val="000000"/>
          <w:sz w:val="24"/>
        </w:rPr>
        <w:t>主要观点与理论依据：</w:t>
      </w:r>
      <w:r>
        <w:rPr>
          <w:rFonts w:ascii="Times New Roman" w:hAnsi="Times New Roman" w:eastAsia="宋体"/>
          <w:b w:val="0"/>
          <w:color w:val="000000"/>
          <w:sz w:val="24"/>
        </w:rPr>
        <w:t>[综合讨论观点，并用顺序编码引注标明已核验来源]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/>
          <w:color w:val="000000"/>
          <w:sz w:val="24"/>
        </w:rPr>
        <w:t>追问路径：</w:t>
      </w:r>
      <w:r>
        <w:rPr>
          <w:rFonts w:ascii="Times New Roman" w:hAnsi="Times New Roman" w:eastAsia="宋体"/>
          <w:b w:val="0"/>
          <w:color w:val="000000"/>
          <w:sz w:val="24"/>
        </w:rPr>
        <w:t>[当前缺口与追问类型；用户回应带来的新信息；观点如何补充、辨析或修正]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/>
          <w:color w:val="000000"/>
          <w:sz w:val="24"/>
        </w:rPr>
        <w:t>追问与观点变化：</w:t>
      </w:r>
      <w:r>
        <w:rPr>
          <w:rFonts w:ascii="Times New Roman" w:hAnsi="Times New Roman" w:eastAsia="宋体"/>
          <w:b w:val="0"/>
          <w:color w:val="000000"/>
          <w:sz w:val="24"/>
        </w:rPr>
        <w:t>[记录追问如何推动补充论据、辨析边界或修正初步判断]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/>
          <w:color w:val="000000"/>
          <w:sz w:val="24"/>
        </w:rPr>
        <w:t>小结与未决问题：</w:t>
      </w:r>
      <w:r>
        <w:rPr>
          <w:rFonts w:ascii="Times New Roman" w:hAnsi="Times New Roman" w:eastAsia="宋体"/>
          <w:b w:val="0"/>
          <w:color w:val="000000"/>
          <w:sz w:val="24"/>
        </w:rPr>
        <w:t>[概括当前判断、适用条件及仍需证据支持之处]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四 完整研讨聊天记录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按问题/主题和时间顺序呈现本次相关对话的完整原文，包括用户提示、追问、Agent回应及后续修正。保留轮次、必要的工具调用信息和引用链接；如因隐私或长度删节，明确标出删节位置与范围。Agent应按自适应追问规范保持讨论有明确的下一步；主题达到收束条件时，概括后询问用户是否结束，未获确认不切换主题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6"/>
        </w:rPr>
        <w:t>4.1 [问题/主题名称]</w:t>
      </w:r>
    </w:p>
    <w:p>
      <w:pPr>
        <w:keepLines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[日期时间；模型/Agent；使用的上下文材料]</w:t>
      </w:r>
    </w:p>
    <w:p>
      <w:pPr>
        <w:keepLines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用户（轮次1）：[粘贴完整原文]</w:t>
      </w:r>
    </w:p>
    <w:p>
      <w:pPr>
        <w:keepLines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Agent（轮次1）：[粘贴完整原文]</w:t>
      </w:r>
    </w:p>
    <w:p>
      <w:pPr>
        <w:keepLines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用户追问（轮次2）：[粘贴完整原文]</w:t>
      </w:r>
    </w:p>
    <w:p>
      <w:pPr>
        <w:keepLines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Agent回应（轮次2）：[粘贴完整原文]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[按实际对话继续追加轮次；不得将概述伪装为逐字记录]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6"/>
        </w:rPr>
        <w:t>4.2 [问题/主题名称]</w:t>
      </w:r>
    </w:p>
    <w:p>
      <w:pPr>
        <w:keepLines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[日期时间；模型/Agent；使用的上下文材料]</w:t>
      </w:r>
    </w:p>
    <w:p>
      <w:pPr>
        <w:keepLines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用户（轮次1）：[粘贴完整原文]</w:t>
      </w:r>
    </w:p>
    <w:p>
      <w:pPr>
        <w:keepLines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Agent（轮次1）：[粘贴完整原文]</w:t>
      </w:r>
    </w:p>
    <w:p>
      <w:pPr>
        <w:keepLines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用户追问（轮次2）：[粘贴完整原文]</w:t>
      </w:r>
    </w:p>
    <w:p>
      <w:pPr>
        <w:keepLines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Agent回应（轮次2）：[粘贴完整原文]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[按实际对话继续追加轮次；不得将概述伪装为逐字记录]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五 参考文献</w:t>
      </w:r>
    </w:p>
    <w:p>
      <w:pPr>
        <w:keepLines w:val="0"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按正文首次引用顺序列出，遵循 GB/T 7714—2015。提交前核实每条文献的作者、题名、出版信息及 DOI/链接，并确认正文引注编号与本表一一对应。</w:t>
      </w:r>
    </w:p>
    <w:p>
      <w:pPr>
        <w:keepLines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[1] [作者. 题名[文献类型标识]. 刊名/出版地: 出版者, 年, 卷(期): 页码. DOI或稳定链接.]</w:t>
      </w:r>
    </w:p>
    <w:p>
      <w:pPr>
        <w:keepLines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[2] [作者. 题名[文献类型标识]. 刊名/出版地: 出版者, 年, 卷(期): 页码. DOI或稳定链接.]</w:t>
      </w:r>
    </w:p>
    <w:p>
      <w:pPr>
        <w:keepLines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[3] [作者. 题名[文献类型标识]. 刊名/出版地: 出版者, 年, 卷(期): 页码. DOI或稳定链接.]</w:t>
      </w:r>
    </w:p>
    <w:p>
      <w:pPr>
        <w:keepLines/>
        <w:spacing w:line="360" w:lineRule="auto" w:after="8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[4] [作者. 题名[文献类型标识]. 刊名/出版地: 出版者, 年, 卷(期): 页码. DOI或稳定链接.]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创业管理理论与前沿课程研讨作业  ·  </w:t>
    </w: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创业管理理论与前沿周度研讨作业空白模板</dc:title>
  <dc:subject>供课程同学填写的通用空白模板</dc:subject>
  <dc:creator>课程项目模板</dc:creator>
  <cp:keywords>创业管理理论与前沿; 周度研讨; 空白模板</cp:keywords>
  <dc:description>generated by python-docx</dc:description>
  <cp:lastModifiedBy>课程项目模板</cp:lastModifiedBy>
  <cp:revision>1</cp:revision>
  <dcterms:created xsi:type="dcterms:W3CDTF">2013-12-23T23:15:00Z</dcterms:created>
  <dcterms:modified xsi:type="dcterms:W3CDTF">2013-12-23T23:15:00Z</dcterms:modified>
  <cp:category/>
</cp:coreProperties>
</file>