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0B6" w:rsidRPr="00A714C6" w:rsidRDefault="009030B6" w:rsidP="00A714C6">
      <w:pPr>
        <w:spacing w:line="240" w:lineRule="atLeast"/>
        <w:ind w:firstLineChars="100" w:firstLine="240"/>
        <w:jc w:val="center"/>
        <w:rPr>
          <w:sz w:val="24"/>
          <w:szCs w:val="24"/>
        </w:rPr>
      </w:pPr>
      <w:r w:rsidRPr="00A714C6">
        <w:rPr>
          <w:rFonts w:hint="eastAsia"/>
          <w:sz w:val="24"/>
          <w:szCs w:val="24"/>
        </w:rPr>
        <w:t>可持续的中国城乡居民养老保险体系的数学模型研究</w:t>
      </w:r>
    </w:p>
    <w:p w:rsidR="009030B6" w:rsidRPr="00A714C6" w:rsidRDefault="009030B6" w:rsidP="00A714C6">
      <w:pPr>
        <w:pStyle w:val="a6"/>
        <w:numPr>
          <w:ilvl w:val="0"/>
          <w:numId w:val="1"/>
        </w:numPr>
        <w:spacing w:line="240" w:lineRule="atLeast"/>
        <w:ind w:firstLineChars="0"/>
        <w:rPr>
          <w:sz w:val="24"/>
          <w:szCs w:val="24"/>
        </w:rPr>
      </w:pPr>
      <w:r w:rsidRPr="00A714C6">
        <w:rPr>
          <w:rFonts w:hint="eastAsia"/>
          <w:sz w:val="24"/>
          <w:szCs w:val="24"/>
        </w:rPr>
        <w:t>问题的提出</w:t>
      </w:r>
    </w:p>
    <w:p w:rsidR="009030B6" w:rsidRPr="00A714C6" w:rsidRDefault="009030B6" w:rsidP="00A714C6">
      <w:pPr>
        <w:spacing w:line="240" w:lineRule="atLeast"/>
        <w:ind w:firstLineChars="200" w:firstLine="480"/>
        <w:rPr>
          <w:sz w:val="24"/>
          <w:szCs w:val="24"/>
        </w:rPr>
      </w:pPr>
      <w:r w:rsidRPr="00A714C6">
        <w:rPr>
          <w:rFonts w:hint="eastAsia"/>
          <w:sz w:val="24"/>
          <w:szCs w:val="24"/>
        </w:rPr>
        <w:t>中国共产党第十八次全国代表大会政治报告</w:t>
      </w:r>
      <w:r w:rsidRPr="00A714C6">
        <w:rPr>
          <w:rFonts w:hint="eastAsia"/>
          <w:color w:val="000000" w:themeColor="text1"/>
          <w:sz w:val="24"/>
          <w:szCs w:val="24"/>
        </w:rPr>
        <w:t>中</w:t>
      </w:r>
      <w:r w:rsidRPr="00A714C6">
        <w:rPr>
          <w:rFonts w:hint="eastAsia"/>
          <w:sz w:val="24"/>
          <w:szCs w:val="24"/>
        </w:rPr>
        <w:t>提出了“统筹推进城乡社会保障体系建设”的任务</w:t>
      </w:r>
      <w:r w:rsidRPr="00A714C6">
        <w:rPr>
          <w:rFonts w:hint="eastAsia"/>
          <w:color w:val="000000" w:themeColor="text1"/>
          <w:sz w:val="24"/>
          <w:szCs w:val="24"/>
        </w:rPr>
        <w:t>：</w:t>
      </w:r>
      <w:r w:rsidRPr="00A714C6">
        <w:rPr>
          <w:rFonts w:hint="eastAsia"/>
          <w:sz w:val="24"/>
          <w:szCs w:val="24"/>
        </w:rPr>
        <w:t>“社会保障是保障人民生活、调节社会分配的一项基本制度。要坚持全覆盖、保基本、多层次、可持续方针，以增强公平性、适应流动性、保证可持续性为重点，全面建成覆盖城乡居民的社会保障体系”。</w:t>
      </w:r>
    </w:p>
    <w:p w:rsidR="009030B6" w:rsidRPr="00A714C6" w:rsidRDefault="009030B6" w:rsidP="00A714C6">
      <w:pPr>
        <w:spacing w:line="240" w:lineRule="atLeast"/>
        <w:ind w:firstLine="600"/>
        <w:rPr>
          <w:color w:val="000000" w:themeColor="text1"/>
          <w:sz w:val="24"/>
          <w:szCs w:val="24"/>
        </w:rPr>
      </w:pPr>
      <w:r w:rsidRPr="00A714C6">
        <w:rPr>
          <w:rFonts w:hint="eastAsia"/>
          <w:color w:val="000000" w:themeColor="text1"/>
          <w:sz w:val="24"/>
          <w:szCs w:val="24"/>
        </w:rPr>
        <w:t>近年来，我国城镇职工养老保险金制度基本建立，参保覆盖面日益扩大，退休人员待遇逐年提高，养老保险基金规模不断上升，在制度层面上提前完成了城市和农村居民社会保障全覆盖，成为我们社会保障事业发展的重要里程碑。然而也面临巨大的挑战。我国的养老保险体系建设远远滞后于社会发展水平。一方面资金规模相对较少，保障能力有限，地区差距、城乡差距明显；另一方面资金管理分散，运营效率不高，保值增值的压力很大。进一步完善养老保险保障体系仍将是中国政府未来最重要的任务之一。</w:t>
      </w:r>
    </w:p>
    <w:p w:rsidR="009030B6" w:rsidRPr="00A714C6" w:rsidRDefault="009030B6" w:rsidP="00A714C6">
      <w:pPr>
        <w:spacing w:line="240" w:lineRule="atLeast"/>
        <w:ind w:firstLine="600"/>
        <w:rPr>
          <w:sz w:val="24"/>
          <w:szCs w:val="24"/>
        </w:rPr>
      </w:pPr>
      <w:r w:rsidRPr="00A714C6">
        <w:rPr>
          <w:rFonts w:hint="eastAsia"/>
          <w:sz w:val="24"/>
          <w:szCs w:val="24"/>
        </w:rPr>
        <w:t>全国人大常委会法工委信</w:t>
      </w:r>
      <w:proofErr w:type="gramStart"/>
      <w:r w:rsidRPr="00A714C6">
        <w:rPr>
          <w:rFonts w:hint="eastAsia"/>
          <w:sz w:val="24"/>
          <w:szCs w:val="24"/>
        </w:rPr>
        <w:t>春鹰副主任</w:t>
      </w:r>
      <w:proofErr w:type="gramEnd"/>
      <w:r w:rsidRPr="00A714C6">
        <w:rPr>
          <w:rFonts w:hint="eastAsia"/>
          <w:sz w:val="24"/>
          <w:szCs w:val="24"/>
        </w:rPr>
        <w:t>是《社会保险法》的制定者，她指出中国养老制度“最大的问题就是‘可持续’”，“我们看当下的欧洲，我们看现在出现财政危机的那些国家，他们的养老保险无一不遇到了极大的挑战和问题。和其他国家相比，中国有特殊的问题，像前面几位专家讲的，我们比人家穷，比人家人口多，‘未富先老’。从制度上来说，我们的制度本身就有很多的缺陷，本身就很青涩，它是对现实妥协的一个产物。但是同时，这个制度一经产生就遇到了人口结构快速变化，社会尚未准备好，这些大的问题都出现了，对我们这个制度是非常大的挑战。”</w:t>
      </w:r>
    </w:p>
    <w:p w:rsidR="009030B6" w:rsidRPr="00A714C6" w:rsidRDefault="009030B6" w:rsidP="00A714C6">
      <w:pPr>
        <w:spacing w:before="120" w:after="120" w:line="240" w:lineRule="atLeast"/>
        <w:ind w:firstLineChars="200" w:firstLine="480"/>
        <w:rPr>
          <w:sz w:val="24"/>
          <w:szCs w:val="24"/>
        </w:rPr>
      </w:pPr>
      <w:r w:rsidRPr="00A714C6">
        <w:rPr>
          <w:rFonts w:hint="eastAsia"/>
          <w:sz w:val="24"/>
          <w:szCs w:val="24"/>
        </w:rPr>
        <w:t>由于中国养老保险缴纳与支付同时开始，中国保监会副主席陈文辉在陆家嘴论坛上承认“中国养老金缺口确实非常大”。社会科学院世界社保研究中心主任郑秉文给出的数字是</w:t>
      </w:r>
      <w:r w:rsidRPr="00A714C6">
        <w:rPr>
          <w:sz w:val="24"/>
          <w:szCs w:val="24"/>
        </w:rPr>
        <w:t>2011</w:t>
      </w:r>
      <w:r w:rsidRPr="00A714C6">
        <w:rPr>
          <w:rFonts w:hint="eastAsia"/>
          <w:sz w:val="24"/>
          <w:szCs w:val="24"/>
        </w:rPr>
        <w:t>年城镇基本养老保险个人账户“空账”已经超过</w:t>
      </w:r>
      <w:r w:rsidRPr="00A714C6">
        <w:rPr>
          <w:sz w:val="24"/>
          <w:szCs w:val="24"/>
        </w:rPr>
        <w:t>2.2</w:t>
      </w:r>
      <w:proofErr w:type="gramStart"/>
      <w:r w:rsidRPr="00A714C6">
        <w:rPr>
          <w:rFonts w:hint="eastAsia"/>
          <w:sz w:val="24"/>
          <w:szCs w:val="24"/>
        </w:rPr>
        <w:t>万亿</w:t>
      </w:r>
      <w:proofErr w:type="gramEnd"/>
      <w:r w:rsidRPr="00A714C6">
        <w:rPr>
          <w:rFonts w:hint="eastAsia"/>
          <w:sz w:val="24"/>
          <w:szCs w:val="24"/>
        </w:rPr>
        <w:t>，较</w:t>
      </w:r>
      <w:r w:rsidRPr="00A714C6">
        <w:rPr>
          <w:sz w:val="24"/>
          <w:szCs w:val="24"/>
        </w:rPr>
        <w:t>2010</w:t>
      </w:r>
      <w:r w:rsidRPr="00A714C6">
        <w:rPr>
          <w:rFonts w:hint="eastAsia"/>
          <w:sz w:val="24"/>
          <w:szCs w:val="24"/>
        </w:rPr>
        <w:t>年增加约</w:t>
      </w:r>
      <w:r w:rsidRPr="00A714C6">
        <w:rPr>
          <w:sz w:val="24"/>
          <w:szCs w:val="24"/>
        </w:rPr>
        <w:t>5000</w:t>
      </w:r>
      <w:r w:rsidRPr="00A714C6">
        <w:rPr>
          <w:rFonts w:hint="eastAsia"/>
          <w:sz w:val="24"/>
          <w:szCs w:val="24"/>
        </w:rPr>
        <w:t>亿。世界银行的研究机构在研究我国的养老金问题研究报告中，认为到</w:t>
      </w:r>
      <w:r w:rsidRPr="00A714C6">
        <w:rPr>
          <w:sz w:val="24"/>
          <w:szCs w:val="24"/>
        </w:rPr>
        <w:t>2013</w:t>
      </w:r>
      <w:r w:rsidRPr="00A714C6">
        <w:rPr>
          <w:rFonts w:hint="eastAsia"/>
          <w:sz w:val="24"/>
          <w:szCs w:val="24"/>
        </w:rPr>
        <w:t>年，中国养老基金缺口达到</w:t>
      </w:r>
      <w:r w:rsidRPr="00A714C6">
        <w:rPr>
          <w:sz w:val="24"/>
          <w:szCs w:val="24"/>
        </w:rPr>
        <w:t>18.3</w:t>
      </w:r>
      <w:proofErr w:type="gramStart"/>
      <w:r w:rsidRPr="00A714C6">
        <w:rPr>
          <w:rFonts w:hint="eastAsia"/>
          <w:sz w:val="24"/>
          <w:szCs w:val="24"/>
        </w:rPr>
        <w:t>万亿</w:t>
      </w:r>
      <w:proofErr w:type="gramEnd"/>
      <w:r w:rsidRPr="00A714C6">
        <w:rPr>
          <w:rFonts w:hint="eastAsia"/>
          <w:sz w:val="24"/>
          <w:szCs w:val="24"/>
        </w:rPr>
        <w:t>元。在当前养老制度不变情况下，以后的年份缺口逐年放大。假设</w:t>
      </w:r>
      <w:r w:rsidRPr="00A714C6">
        <w:rPr>
          <w:sz w:val="24"/>
          <w:szCs w:val="24"/>
        </w:rPr>
        <w:t>2013</w:t>
      </w:r>
      <w:r w:rsidRPr="00A714C6">
        <w:rPr>
          <w:rFonts w:hint="eastAsia"/>
          <w:sz w:val="24"/>
          <w:szCs w:val="24"/>
        </w:rPr>
        <w:t>年后中国</w:t>
      </w:r>
      <w:r w:rsidRPr="00A714C6">
        <w:rPr>
          <w:sz w:val="24"/>
          <w:szCs w:val="24"/>
        </w:rPr>
        <w:t>GDP</w:t>
      </w:r>
      <w:r w:rsidRPr="00A714C6">
        <w:rPr>
          <w:rFonts w:hint="eastAsia"/>
          <w:sz w:val="24"/>
          <w:szCs w:val="24"/>
        </w:rPr>
        <w:t>的年增长率为</w:t>
      </w:r>
      <w:r w:rsidRPr="00A714C6">
        <w:rPr>
          <w:sz w:val="24"/>
          <w:szCs w:val="24"/>
        </w:rPr>
        <w:t>6%</w:t>
      </w:r>
      <w:r w:rsidRPr="00A714C6">
        <w:rPr>
          <w:rFonts w:hint="eastAsia"/>
          <w:sz w:val="24"/>
          <w:szCs w:val="24"/>
        </w:rPr>
        <w:t>，到</w:t>
      </w:r>
      <w:r w:rsidRPr="00A714C6">
        <w:rPr>
          <w:sz w:val="24"/>
          <w:szCs w:val="24"/>
        </w:rPr>
        <w:t>2033</w:t>
      </w:r>
      <w:r w:rsidRPr="00A714C6">
        <w:rPr>
          <w:rFonts w:hint="eastAsia"/>
          <w:sz w:val="24"/>
          <w:szCs w:val="24"/>
        </w:rPr>
        <w:t>年时养老金缺口将为惊人的</w:t>
      </w:r>
      <w:r w:rsidRPr="00A714C6">
        <w:rPr>
          <w:sz w:val="24"/>
          <w:szCs w:val="24"/>
        </w:rPr>
        <w:t>68.2</w:t>
      </w:r>
      <w:proofErr w:type="gramStart"/>
      <w:r w:rsidRPr="00A714C6">
        <w:rPr>
          <w:rFonts w:hint="eastAsia"/>
          <w:sz w:val="24"/>
          <w:szCs w:val="24"/>
        </w:rPr>
        <w:t>万亿</w:t>
      </w:r>
      <w:proofErr w:type="gramEnd"/>
      <w:r w:rsidRPr="00A714C6">
        <w:rPr>
          <w:rFonts w:hint="eastAsia"/>
          <w:sz w:val="24"/>
          <w:szCs w:val="24"/>
        </w:rPr>
        <w:t>元，占当年</w:t>
      </w:r>
      <w:r w:rsidRPr="00A714C6">
        <w:rPr>
          <w:sz w:val="24"/>
          <w:szCs w:val="24"/>
        </w:rPr>
        <w:t>GDP</w:t>
      </w:r>
      <w:r w:rsidRPr="00A714C6">
        <w:rPr>
          <w:rFonts w:hint="eastAsia"/>
          <w:sz w:val="24"/>
          <w:szCs w:val="24"/>
        </w:rPr>
        <w:t>的</w:t>
      </w:r>
      <w:r w:rsidRPr="00A714C6">
        <w:rPr>
          <w:sz w:val="24"/>
          <w:szCs w:val="24"/>
        </w:rPr>
        <w:t>38.7%</w:t>
      </w:r>
      <w:r w:rsidRPr="00A714C6">
        <w:rPr>
          <w:rFonts w:hint="eastAsia"/>
          <w:sz w:val="24"/>
          <w:szCs w:val="24"/>
        </w:rPr>
        <w:t>（见附件</w:t>
      </w:r>
      <w:r w:rsidRPr="00A714C6">
        <w:rPr>
          <w:sz w:val="24"/>
          <w:szCs w:val="24"/>
        </w:rPr>
        <w:t>3</w:t>
      </w:r>
      <w:r w:rsidRPr="00A714C6">
        <w:rPr>
          <w:rFonts w:hint="eastAsia"/>
          <w:sz w:val="24"/>
          <w:szCs w:val="24"/>
        </w:rPr>
        <w:t>、</w:t>
      </w:r>
      <w:r w:rsidRPr="00A714C6">
        <w:rPr>
          <w:sz w:val="24"/>
          <w:szCs w:val="24"/>
        </w:rPr>
        <w:t>4</w:t>
      </w:r>
      <w:r w:rsidRPr="00A714C6">
        <w:rPr>
          <w:rFonts w:hint="eastAsia"/>
          <w:sz w:val="24"/>
          <w:szCs w:val="24"/>
        </w:rPr>
        <w:t>，由于这是根据国家资产负债表估算，显然比较粗糙）。</w:t>
      </w:r>
    </w:p>
    <w:p w:rsidR="009030B6" w:rsidRPr="00A714C6" w:rsidRDefault="009030B6" w:rsidP="00A714C6">
      <w:pPr>
        <w:spacing w:before="120" w:after="120" w:line="240" w:lineRule="atLeast"/>
        <w:ind w:firstLineChars="200" w:firstLine="480"/>
        <w:rPr>
          <w:sz w:val="24"/>
          <w:szCs w:val="24"/>
        </w:rPr>
      </w:pPr>
      <w:r w:rsidRPr="00A714C6">
        <w:rPr>
          <w:rFonts w:hint="eastAsia"/>
          <w:sz w:val="24"/>
          <w:szCs w:val="24"/>
        </w:rPr>
        <w:t>另据中国社科院财贸所学者高培勇和汪德华最近的一项研究指出，在现有社保制度框架下，要确保</w:t>
      </w:r>
      <w:r w:rsidRPr="00A714C6">
        <w:rPr>
          <w:sz w:val="24"/>
          <w:szCs w:val="24"/>
        </w:rPr>
        <w:t>2020</w:t>
      </w:r>
      <w:r w:rsidRPr="00A714C6">
        <w:rPr>
          <w:rFonts w:hint="eastAsia"/>
          <w:sz w:val="24"/>
          <w:szCs w:val="24"/>
        </w:rPr>
        <w:t>年中国每个退休者都能领取养老金，以替代率</w:t>
      </w:r>
      <w:r w:rsidRPr="00A714C6">
        <w:rPr>
          <w:sz w:val="24"/>
          <w:szCs w:val="24"/>
        </w:rPr>
        <w:t>52.4%</w:t>
      </w:r>
      <w:r w:rsidRPr="00A714C6">
        <w:rPr>
          <w:rFonts w:hint="eastAsia"/>
          <w:sz w:val="24"/>
          <w:szCs w:val="24"/>
        </w:rPr>
        <w:t>计算，养老金支付缺口都会持续增加。最早在</w:t>
      </w:r>
      <w:r w:rsidRPr="00A714C6">
        <w:rPr>
          <w:sz w:val="24"/>
          <w:szCs w:val="24"/>
        </w:rPr>
        <w:t>2015</w:t>
      </w:r>
      <w:r w:rsidRPr="00A714C6">
        <w:rPr>
          <w:rFonts w:hint="eastAsia"/>
          <w:sz w:val="24"/>
          <w:szCs w:val="24"/>
        </w:rPr>
        <w:t>年，中国城镇职工养老保险就会出现支付缺口。两位学者预计，如果现在不能未雨绸缪，及时调整政策，到</w:t>
      </w:r>
      <w:r w:rsidRPr="00A714C6">
        <w:rPr>
          <w:sz w:val="24"/>
          <w:szCs w:val="24"/>
        </w:rPr>
        <w:t>2050</w:t>
      </w:r>
      <w:r w:rsidRPr="00A714C6">
        <w:rPr>
          <w:rFonts w:hint="eastAsia"/>
          <w:sz w:val="24"/>
          <w:szCs w:val="24"/>
        </w:rPr>
        <w:t>年，养老金缺口累积将达到该年</w:t>
      </w:r>
      <w:r w:rsidRPr="00A714C6">
        <w:rPr>
          <w:sz w:val="24"/>
          <w:szCs w:val="24"/>
        </w:rPr>
        <w:t>GDP</w:t>
      </w:r>
      <w:r w:rsidRPr="00A714C6">
        <w:rPr>
          <w:rFonts w:hint="eastAsia"/>
          <w:sz w:val="24"/>
          <w:szCs w:val="24"/>
        </w:rPr>
        <w:t>的</w:t>
      </w:r>
      <w:r w:rsidRPr="00A714C6">
        <w:rPr>
          <w:sz w:val="24"/>
          <w:szCs w:val="24"/>
        </w:rPr>
        <w:t>95%</w:t>
      </w:r>
      <w:r w:rsidRPr="00A714C6">
        <w:rPr>
          <w:rFonts w:hint="eastAsia"/>
          <w:sz w:val="24"/>
          <w:szCs w:val="24"/>
        </w:rPr>
        <w:t>。这样巨大的资金缺口，必将使国家财政不堪重负。</w:t>
      </w:r>
    </w:p>
    <w:p w:rsidR="009030B6" w:rsidRPr="00A714C6" w:rsidRDefault="009030B6" w:rsidP="00A714C6">
      <w:pPr>
        <w:spacing w:before="120" w:after="120" w:line="240" w:lineRule="atLeast"/>
        <w:ind w:firstLineChars="200" w:firstLine="480"/>
        <w:rPr>
          <w:sz w:val="24"/>
          <w:szCs w:val="24"/>
        </w:rPr>
      </w:pPr>
      <w:r w:rsidRPr="00A714C6">
        <w:rPr>
          <w:rFonts w:hint="eastAsia"/>
          <w:sz w:val="24"/>
          <w:szCs w:val="24"/>
        </w:rPr>
        <w:t>而现有官方公布的数据却</w:t>
      </w:r>
      <w:r w:rsidR="00A90F55">
        <w:rPr>
          <w:rFonts w:hint="eastAsia"/>
          <w:sz w:val="24"/>
          <w:szCs w:val="24"/>
        </w:rPr>
        <w:t>有明显差别</w:t>
      </w:r>
      <w:r w:rsidRPr="00A714C6">
        <w:rPr>
          <w:rFonts w:hint="eastAsia"/>
          <w:sz w:val="24"/>
          <w:szCs w:val="24"/>
        </w:rPr>
        <w:t>。</w:t>
      </w:r>
      <w:r w:rsidRPr="00A714C6">
        <w:rPr>
          <w:sz w:val="24"/>
          <w:szCs w:val="24"/>
        </w:rPr>
        <w:t>2012</w:t>
      </w:r>
      <w:r w:rsidRPr="00A714C6">
        <w:rPr>
          <w:rFonts w:hint="eastAsia"/>
          <w:sz w:val="24"/>
          <w:szCs w:val="24"/>
        </w:rPr>
        <w:t>年</w:t>
      </w:r>
      <w:r w:rsidRPr="00A714C6">
        <w:rPr>
          <w:sz w:val="24"/>
          <w:szCs w:val="24"/>
        </w:rPr>
        <w:t>6</w:t>
      </w:r>
      <w:r w:rsidRPr="00A714C6">
        <w:rPr>
          <w:rFonts w:hint="eastAsia"/>
          <w:sz w:val="24"/>
          <w:szCs w:val="24"/>
        </w:rPr>
        <w:t>月</w:t>
      </w:r>
      <w:r w:rsidRPr="00A714C6">
        <w:rPr>
          <w:sz w:val="24"/>
          <w:szCs w:val="24"/>
        </w:rPr>
        <w:t>4</w:t>
      </w:r>
      <w:r w:rsidRPr="00A714C6">
        <w:rPr>
          <w:rFonts w:hint="eastAsia"/>
          <w:sz w:val="24"/>
          <w:szCs w:val="24"/>
        </w:rPr>
        <w:t>日，中国人力资源与社会保障部向社会公布了</w:t>
      </w:r>
      <w:r w:rsidRPr="00A714C6">
        <w:rPr>
          <w:sz w:val="24"/>
          <w:szCs w:val="24"/>
        </w:rPr>
        <w:t>2011</w:t>
      </w:r>
      <w:r w:rsidRPr="00A714C6">
        <w:rPr>
          <w:rFonts w:hint="eastAsia"/>
          <w:sz w:val="24"/>
          <w:szCs w:val="24"/>
        </w:rPr>
        <w:t>年度人力资源和社会保障事业发展统计公报。此公报是透视中国人力资源与社会保障工作成绩的重要窗口，也是解析社会保险</w:t>
      </w:r>
      <w:proofErr w:type="gramStart"/>
      <w:r w:rsidRPr="00A714C6">
        <w:rPr>
          <w:rFonts w:hint="eastAsia"/>
          <w:sz w:val="24"/>
          <w:szCs w:val="24"/>
        </w:rPr>
        <w:t>最</w:t>
      </w:r>
      <w:proofErr w:type="gramEnd"/>
      <w:r w:rsidRPr="00A714C6">
        <w:rPr>
          <w:rFonts w:hint="eastAsia"/>
          <w:sz w:val="24"/>
          <w:szCs w:val="24"/>
        </w:rPr>
        <w:t>权威的数据来源。统计公报显示，截至</w:t>
      </w:r>
      <w:r w:rsidRPr="00A714C6">
        <w:rPr>
          <w:sz w:val="24"/>
          <w:szCs w:val="24"/>
        </w:rPr>
        <w:t>2011</w:t>
      </w:r>
      <w:r w:rsidRPr="00A714C6">
        <w:rPr>
          <w:rFonts w:hint="eastAsia"/>
          <w:sz w:val="24"/>
          <w:szCs w:val="24"/>
        </w:rPr>
        <w:t>年末，全国基本养老保险基金累计结余</w:t>
      </w:r>
      <w:r w:rsidRPr="00A714C6">
        <w:rPr>
          <w:sz w:val="24"/>
          <w:szCs w:val="24"/>
        </w:rPr>
        <w:t>1.9497</w:t>
      </w:r>
      <w:proofErr w:type="gramStart"/>
      <w:r w:rsidRPr="00A714C6">
        <w:rPr>
          <w:rFonts w:hint="eastAsia"/>
          <w:sz w:val="24"/>
          <w:szCs w:val="24"/>
        </w:rPr>
        <w:t>万亿</w:t>
      </w:r>
      <w:proofErr w:type="gramEnd"/>
      <w:r w:rsidRPr="00A714C6">
        <w:rPr>
          <w:rFonts w:hint="eastAsia"/>
          <w:sz w:val="24"/>
          <w:szCs w:val="24"/>
        </w:rPr>
        <w:t>元，全年城镇基本养老保险基金总收入</w:t>
      </w:r>
      <w:r w:rsidRPr="00A714C6">
        <w:rPr>
          <w:sz w:val="24"/>
          <w:szCs w:val="24"/>
        </w:rPr>
        <w:t>1.6895</w:t>
      </w:r>
      <w:proofErr w:type="gramStart"/>
      <w:r w:rsidRPr="00A714C6">
        <w:rPr>
          <w:rFonts w:hint="eastAsia"/>
          <w:sz w:val="24"/>
          <w:szCs w:val="24"/>
        </w:rPr>
        <w:t>万亿</w:t>
      </w:r>
      <w:proofErr w:type="gramEnd"/>
      <w:r w:rsidRPr="00A714C6">
        <w:rPr>
          <w:rFonts w:hint="eastAsia"/>
          <w:sz w:val="24"/>
          <w:szCs w:val="24"/>
        </w:rPr>
        <w:t>元，比上年增长</w:t>
      </w:r>
      <w:r w:rsidRPr="00A714C6">
        <w:rPr>
          <w:sz w:val="24"/>
          <w:szCs w:val="24"/>
        </w:rPr>
        <w:t>25.9</w:t>
      </w:r>
      <w:r w:rsidRPr="00A714C6">
        <w:rPr>
          <w:rFonts w:hint="eastAsia"/>
          <w:sz w:val="24"/>
          <w:szCs w:val="24"/>
        </w:rPr>
        <w:t>％，全年基金总支出</w:t>
      </w:r>
      <w:r w:rsidRPr="00A714C6">
        <w:rPr>
          <w:sz w:val="24"/>
          <w:szCs w:val="24"/>
        </w:rPr>
        <w:t>1.2765</w:t>
      </w:r>
      <w:proofErr w:type="gramStart"/>
      <w:r w:rsidRPr="00A714C6">
        <w:rPr>
          <w:rFonts w:hint="eastAsia"/>
          <w:sz w:val="24"/>
          <w:szCs w:val="24"/>
        </w:rPr>
        <w:t>万亿</w:t>
      </w:r>
      <w:proofErr w:type="gramEnd"/>
      <w:r w:rsidRPr="00A714C6">
        <w:rPr>
          <w:rFonts w:hint="eastAsia"/>
          <w:sz w:val="24"/>
          <w:szCs w:val="24"/>
        </w:rPr>
        <w:t>元，比上年增长</w:t>
      </w:r>
      <w:r w:rsidRPr="00A714C6">
        <w:rPr>
          <w:sz w:val="24"/>
          <w:szCs w:val="24"/>
        </w:rPr>
        <w:t>20.9</w:t>
      </w:r>
      <w:r w:rsidRPr="00A714C6">
        <w:rPr>
          <w:rFonts w:hint="eastAsia"/>
          <w:sz w:val="24"/>
          <w:szCs w:val="24"/>
        </w:rPr>
        <w:t>％。和</w:t>
      </w:r>
      <w:r w:rsidRPr="00A714C6">
        <w:rPr>
          <w:sz w:val="24"/>
          <w:szCs w:val="24"/>
        </w:rPr>
        <w:t>2009</w:t>
      </w:r>
      <w:r w:rsidRPr="00A714C6">
        <w:rPr>
          <w:rFonts w:hint="eastAsia"/>
          <w:sz w:val="24"/>
          <w:szCs w:val="24"/>
        </w:rPr>
        <w:t>年、</w:t>
      </w:r>
      <w:r w:rsidRPr="00A714C6">
        <w:rPr>
          <w:sz w:val="24"/>
          <w:szCs w:val="24"/>
        </w:rPr>
        <w:t>2010</w:t>
      </w:r>
      <w:r w:rsidRPr="00A714C6">
        <w:rPr>
          <w:rFonts w:hint="eastAsia"/>
          <w:sz w:val="24"/>
          <w:szCs w:val="24"/>
        </w:rPr>
        <w:t>年相比，城镇职工基本养老保险基金当期结余资金规模进一步扩大，已由</w:t>
      </w:r>
      <w:r w:rsidRPr="00A714C6">
        <w:rPr>
          <w:sz w:val="24"/>
          <w:szCs w:val="24"/>
        </w:rPr>
        <w:t>2010</w:t>
      </w:r>
      <w:r w:rsidRPr="00A714C6">
        <w:rPr>
          <w:rFonts w:hint="eastAsia"/>
          <w:sz w:val="24"/>
          <w:szCs w:val="24"/>
        </w:rPr>
        <w:t>年当期结余的</w:t>
      </w:r>
      <w:r w:rsidRPr="00A714C6">
        <w:rPr>
          <w:sz w:val="24"/>
          <w:szCs w:val="24"/>
        </w:rPr>
        <w:t>2865</w:t>
      </w:r>
      <w:r w:rsidRPr="00A714C6">
        <w:rPr>
          <w:rFonts w:hint="eastAsia"/>
          <w:sz w:val="24"/>
          <w:szCs w:val="24"/>
        </w:rPr>
        <w:t>亿元增加到</w:t>
      </w:r>
      <w:r w:rsidRPr="00A714C6">
        <w:rPr>
          <w:sz w:val="24"/>
          <w:szCs w:val="24"/>
        </w:rPr>
        <w:t>4130</w:t>
      </w:r>
      <w:r w:rsidRPr="00A714C6">
        <w:rPr>
          <w:rFonts w:hint="eastAsia"/>
          <w:sz w:val="24"/>
          <w:szCs w:val="24"/>
        </w:rPr>
        <w:t>亿元，增幅较大，这有利于缓解部分</w:t>
      </w:r>
      <w:r w:rsidRPr="00A714C6">
        <w:rPr>
          <w:rFonts w:hint="eastAsia"/>
          <w:sz w:val="24"/>
          <w:szCs w:val="24"/>
        </w:rPr>
        <w:lastRenderedPageBreak/>
        <w:t>省市养老金支付压力。</w:t>
      </w:r>
      <w:r w:rsidR="00A90F55">
        <w:rPr>
          <w:rFonts w:hint="eastAsia"/>
          <w:sz w:val="24"/>
          <w:szCs w:val="24"/>
        </w:rPr>
        <w:t>但</w:t>
      </w:r>
      <w:r w:rsidR="00DA6B64" w:rsidRPr="00A714C6">
        <w:rPr>
          <w:rFonts w:hint="eastAsia"/>
          <w:sz w:val="24"/>
          <w:szCs w:val="24"/>
        </w:rPr>
        <w:t>有</w:t>
      </w:r>
      <w:r w:rsidRPr="00A714C6">
        <w:rPr>
          <w:rFonts w:hint="eastAsia"/>
          <w:sz w:val="24"/>
          <w:szCs w:val="24"/>
        </w:rPr>
        <w:t>分析</w:t>
      </w:r>
      <w:r w:rsidRPr="00A714C6">
        <w:rPr>
          <w:rFonts w:hint="eastAsia"/>
          <w:color w:val="000000" w:themeColor="text1"/>
          <w:sz w:val="24"/>
          <w:szCs w:val="24"/>
        </w:rPr>
        <w:t>认为：</w:t>
      </w:r>
      <w:r w:rsidRPr="00A714C6">
        <w:rPr>
          <w:rFonts w:hint="eastAsia"/>
          <w:sz w:val="24"/>
          <w:szCs w:val="24"/>
        </w:rPr>
        <w:t>基金征缴收入增长较快是其中一个重要原因。上述观点分别反映中国养老金现状的不同侧面和未来趋势的不确定性。</w:t>
      </w:r>
    </w:p>
    <w:p w:rsidR="009030B6" w:rsidRPr="00A714C6" w:rsidRDefault="009030B6" w:rsidP="00A714C6">
      <w:pPr>
        <w:spacing w:before="120" w:after="120" w:line="240" w:lineRule="atLeast"/>
        <w:ind w:firstLineChars="200" w:firstLine="480"/>
        <w:rPr>
          <w:sz w:val="24"/>
          <w:szCs w:val="24"/>
        </w:rPr>
      </w:pPr>
      <w:r w:rsidRPr="00A714C6">
        <w:rPr>
          <w:rFonts w:hint="eastAsia"/>
          <w:sz w:val="24"/>
          <w:szCs w:val="24"/>
        </w:rPr>
        <w:t>二、现实的情况</w:t>
      </w:r>
    </w:p>
    <w:p w:rsidR="009030B6" w:rsidRPr="00A714C6" w:rsidRDefault="009030B6" w:rsidP="00A714C6">
      <w:pPr>
        <w:spacing w:before="120" w:after="120" w:line="240" w:lineRule="atLeast"/>
        <w:rPr>
          <w:color w:val="333333"/>
          <w:sz w:val="24"/>
          <w:szCs w:val="24"/>
        </w:rPr>
      </w:pPr>
      <w:r w:rsidRPr="00A714C6">
        <w:rPr>
          <w:rFonts w:hint="eastAsia"/>
          <w:color w:val="333333"/>
          <w:sz w:val="24"/>
          <w:szCs w:val="24"/>
        </w:rPr>
        <w:t xml:space="preserve">　　中国在</w:t>
      </w:r>
      <w:r w:rsidRPr="00A714C6">
        <w:rPr>
          <w:color w:val="333333"/>
          <w:sz w:val="24"/>
          <w:szCs w:val="24"/>
        </w:rPr>
        <w:t>20</w:t>
      </w:r>
      <w:r w:rsidRPr="00A714C6">
        <w:rPr>
          <w:rFonts w:hint="eastAsia"/>
          <w:color w:val="333333"/>
          <w:sz w:val="24"/>
          <w:szCs w:val="24"/>
        </w:rPr>
        <w:t>世纪</w:t>
      </w:r>
      <w:r w:rsidRPr="00A714C6">
        <w:rPr>
          <w:color w:val="333333"/>
          <w:sz w:val="24"/>
          <w:szCs w:val="24"/>
        </w:rPr>
        <w:t>90</w:t>
      </w:r>
      <w:r w:rsidRPr="00A714C6">
        <w:rPr>
          <w:rFonts w:hint="eastAsia"/>
          <w:color w:val="333333"/>
          <w:sz w:val="24"/>
          <w:szCs w:val="24"/>
        </w:rPr>
        <w:t>年代确立了城镇职工基本养老保险“统账结合”制度，基本养老保险是由社会统筹和个人账户两部分组成。社会统筹部分由单位负担缴费，为单位职工工资总额的</w:t>
      </w:r>
      <w:r w:rsidRPr="00A714C6">
        <w:rPr>
          <w:color w:val="333333"/>
          <w:sz w:val="24"/>
          <w:szCs w:val="24"/>
        </w:rPr>
        <w:t>20%</w:t>
      </w:r>
      <w:r w:rsidRPr="00A714C6">
        <w:rPr>
          <w:rFonts w:hint="eastAsia"/>
          <w:color w:val="333333"/>
          <w:sz w:val="24"/>
          <w:szCs w:val="24"/>
        </w:rPr>
        <w:t>，个人账户则由职工个人缴费，为个人工资的</w:t>
      </w:r>
      <w:r w:rsidRPr="00A714C6">
        <w:rPr>
          <w:color w:val="333333"/>
          <w:sz w:val="24"/>
          <w:szCs w:val="24"/>
        </w:rPr>
        <w:t>8%</w:t>
      </w:r>
      <w:r w:rsidRPr="00A714C6">
        <w:rPr>
          <w:rFonts w:hint="eastAsia"/>
          <w:color w:val="333333"/>
          <w:sz w:val="24"/>
          <w:szCs w:val="24"/>
        </w:rPr>
        <w:t>。前者“现收现付”，用于支付已退休人员的养老金，后者实行长期封闭积累，产权个人所有的“完全积累”制，原则上不能调剂借用的方式。</w:t>
      </w:r>
    </w:p>
    <w:p w:rsidR="009030B6" w:rsidRPr="00A714C6" w:rsidRDefault="009030B6" w:rsidP="00A714C6">
      <w:pPr>
        <w:spacing w:before="120" w:after="120" w:line="240" w:lineRule="atLeast"/>
        <w:ind w:firstLine="570"/>
        <w:rPr>
          <w:color w:val="333333"/>
          <w:sz w:val="24"/>
          <w:szCs w:val="24"/>
        </w:rPr>
      </w:pPr>
      <w:r w:rsidRPr="00A714C6">
        <w:rPr>
          <w:rFonts w:hint="eastAsia"/>
          <w:color w:val="333333"/>
          <w:sz w:val="24"/>
          <w:szCs w:val="24"/>
        </w:rPr>
        <w:t>由于在现行养老保险制度确立之前，企业员工基本无需缴纳养老保险费用，所以现有的养老保险基金中没有这部分职工的个人账户部分。在养老保险制度设立之后，这部分职工退休后却要从养老保险基金中领取养老金，这是我国社会保险制度必须承担的转轨成本的一部分。仅靠统筹账户不足以应对当期发放，加之各地财政实力不同，多数地区不得不在实际上采用了“现收现付制”的方法，即挪用个人账户的资金，</w:t>
      </w:r>
      <w:r w:rsidRPr="00A714C6">
        <w:rPr>
          <w:rFonts w:hint="eastAsia"/>
          <w:color w:val="000000" w:themeColor="text1"/>
          <w:sz w:val="24"/>
          <w:szCs w:val="24"/>
        </w:rPr>
        <w:t>用</w:t>
      </w:r>
      <w:r w:rsidRPr="00A714C6">
        <w:rPr>
          <w:rFonts w:hint="eastAsia"/>
          <w:sz w:val="24"/>
          <w:szCs w:val="24"/>
        </w:rPr>
        <w:t>正在工作人</w:t>
      </w:r>
      <w:r w:rsidRPr="00A714C6">
        <w:rPr>
          <w:rFonts w:hint="eastAsia"/>
          <w:color w:val="333333"/>
          <w:sz w:val="24"/>
          <w:szCs w:val="24"/>
        </w:rPr>
        <w:t>合计缴纳的</w:t>
      </w:r>
      <w:r w:rsidRPr="00A714C6">
        <w:rPr>
          <w:color w:val="333333"/>
          <w:sz w:val="24"/>
          <w:szCs w:val="24"/>
        </w:rPr>
        <w:t>28%</w:t>
      </w:r>
      <w:r w:rsidRPr="00A714C6">
        <w:rPr>
          <w:rFonts w:hint="eastAsia"/>
          <w:color w:val="333333"/>
          <w:sz w:val="24"/>
          <w:szCs w:val="24"/>
        </w:rPr>
        <w:t>的月工资来支付现有退休人员的退休金，现在工作人账户仅仅用来记账，上述</w:t>
      </w:r>
      <w:r w:rsidRPr="00A714C6">
        <w:rPr>
          <w:color w:val="333333"/>
          <w:sz w:val="24"/>
          <w:szCs w:val="24"/>
        </w:rPr>
        <w:t>2.5</w:t>
      </w:r>
      <w:proofErr w:type="gramStart"/>
      <w:r w:rsidRPr="00A714C6">
        <w:rPr>
          <w:rFonts w:hint="eastAsia"/>
          <w:color w:val="333333"/>
          <w:sz w:val="24"/>
          <w:szCs w:val="24"/>
        </w:rPr>
        <w:t>万亿</w:t>
      </w:r>
      <w:proofErr w:type="gramEnd"/>
      <w:r w:rsidRPr="00A714C6">
        <w:rPr>
          <w:rFonts w:hint="eastAsia"/>
          <w:color w:val="333333"/>
          <w:sz w:val="24"/>
          <w:szCs w:val="24"/>
        </w:rPr>
        <w:t>的记账额由此形成。为解决这一问题，中国从</w:t>
      </w:r>
      <w:r w:rsidRPr="00A714C6">
        <w:rPr>
          <w:color w:val="333333"/>
          <w:sz w:val="24"/>
          <w:szCs w:val="24"/>
        </w:rPr>
        <w:t>2000</w:t>
      </w:r>
      <w:r w:rsidRPr="00A714C6">
        <w:rPr>
          <w:rFonts w:hint="eastAsia"/>
          <w:color w:val="333333"/>
          <w:sz w:val="24"/>
          <w:szCs w:val="24"/>
        </w:rPr>
        <w:t>年开始了“做实”个人账户试点。截至到</w:t>
      </w:r>
      <w:r w:rsidRPr="00A714C6">
        <w:rPr>
          <w:color w:val="333333"/>
          <w:sz w:val="24"/>
          <w:szCs w:val="24"/>
        </w:rPr>
        <w:t>2011</w:t>
      </w:r>
      <w:r w:rsidRPr="00A714C6">
        <w:rPr>
          <w:rFonts w:hint="eastAsia"/>
          <w:color w:val="333333"/>
          <w:sz w:val="24"/>
          <w:szCs w:val="24"/>
        </w:rPr>
        <w:t>年底，参与试点的辽宁、江苏和山东等</w:t>
      </w:r>
      <w:r w:rsidRPr="00A714C6">
        <w:rPr>
          <w:color w:val="333333"/>
          <w:sz w:val="24"/>
          <w:szCs w:val="24"/>
        </w:rPr>
        <w:t>13</w:t>
      </w:r>
      <w:r w:rsidRPr="00A714C6">
        <w:rPr>
          <w:rFonts w:hint="eastAsia"/>
          <w:color w:val="333333"/>
          <w:sz w:val="24"/>
          <w:szCs w:val="24"/>
        </w:rPr>
        <w:t>个省份共积累个人账户基金达到</w:t>
      </w:r>
      <w:r w:rsidRPr="00A714C6">
        <w:rPr>
          <w:color w:val="333333"/>
          <w:sz w:val="24"/>
          <w:szCs w:val="24"/>
        </w:rPr>
        <w:t>2703</w:t>
      </w:r>
      <w:r w:rsidRPr="00A714C6">
        <w:rPr>
          <w:rFonts w:hint="eastAsia"/>
          <w:color w:val="333333"/>
          <w:sz w:val="24"/>
          <w:szCs w:val="24"/>
        </w:rPr>
        <w:t>亿元，但其与记账额之间的差额，仍达到</w:t>
      </w:r>
      <w:r w:rsidRPr="00A714C6">
        <w:rPr>
          <w:color w:val="333333"/>
          <w:sz w:val="24"/>
          <w:szCs w:val="24"/>
        </w:rPr>
        <w:t>2.23</w:t>
      </w:r>
      <w:proofErr w:type="gramStart"/>
      <w:r w:rsidRPr="00A714C6">
        <w:rPr>
          <w:rFonts w:hint="eastAsia"/>
          <w:color w:val="333333"/>
          <w:sz w:val="24"/>
          <w:szCs w:val="24"/>
        </w:rPr>
        <w:t>万亿</w:t>
      </w:r>
      <w:proofErr w:type="gramEnd"/>
      <w:r w:rsidRPr="00A714C6">
        <w:rPr>
          <w:rFonts w:hint="eastAsia"/>
          <w:color w:val="333333"/>
          <w:sz w:val="24"/>
          <w:szCs w:val="24"/>
        </w:rPr>
        <w:t>元，此“空账”被舆论定义成了养老保险“缺口”概念而广为传播。</w:t>
      </w:r>
    </w:p>
    <w:p w:rsidR="009030B6" w:rsidRPr="00A714C6" w:rsidRDefault="009030B6" w:rsidP="00A714C6">
      <w:pPr>
        <w:spacing w:before="120" w:after="120" w:line="240" w:lineRule="atLeast"/>
        <w:ind w:firstLine="570"/>
        <w:rPr>
          <w:color w:val="333333"/>
          <w:sz w:val="24"/>
          <w:szCs w:val="24"/>
        </w:rPr>
      </w:pPr>
      <w:r w:rsidRPr="00A714C6">
        <w:rPr>
          <w:rFonts w:hint="eastAsia"/>
          <w:color w:val="333333"/>
          <w:sz w:val="24"/>
          <w:szCs w:val="24"/>
        </w:rPr>
        <w:t>三、需要解决的问题</w:t>
      </w:r>
    </w:p>
    <w:p w:rsidR="009030B6" w:rsidRPr="00A714C6" w:rsidRDefault="009030B6" w:rsidP="00A714C6">
      <w:pPr>
        <w:spacing w:before="120" w:after="120" w:line="240" w:lineRule="atLeast"/>
        <w:ind w:firstLineChars="200" w:firstLine="480"/>
        <w:rPr>
          <w:sz w:val="24"/>
          <w:szCs w:val="24"/>
        </w:rPr>
      </w:pPr>
      <w:r w:rsidRPr="00A714C6">
        <w:rPr>
          <w:rFonts w:hint="eastAsia"/>
          <w:color w:val="000000" w:themeColor="text1"/>
          <w:sz w:val="24"/>
          <w:szCs w:val="24"/>
        </w:rPr>
        <w:t>面临人口老龄化以及经济结构性减速、财政收入增长速度下降，社会保障体系可持续问题亟待解决</w:t>
      </w:r>
      <w:r w:rsidR="000A15D6">
        <w:rPr>
          <w:rFonts w:hint="eastAsia"/>
          <w:color w:val="000000" w:themeColor="text1"/>
          <w:sz w:val="24"/>
          <w:szCs w:val="24"/>
        </w:rPr>
        <w:t>，</w:t>
      </w:r>
      <w:r w:rsidRPr="00A714C6">
        <w:rPr>
          <w:rFonts w:hint="eastAsia"/>
          <w:color w:val="000000" w:themeColor="text1"/>
          <w:sz w:val="24"/>
          <w:szCs w:val="24"/>
        </w:rPr>
        <w:t>必须进行前瞻性研究，否则将形成社会问题。我们应该承认历史、立足现实、尊重规律、借鉴国外、留有余地，既量力而行，又尽力而为地完善我国的养老保险体系。本题要求运用数学模型方法研究、解决该问题。</w:t>
      </w:r>
      <w:r w:rsidRPr="00A714C6">
        <w:rPr>
          <w:rFonts w:hint="eastAsia"/>
          <w:sz w:val="24"/>
          <w:szCs w:val="24"/>
        </w:rPr>
        <w:t>为此，请你们团队做好以下几项工作。（请研究生注意：</w:t>
      </w:r>
      <w:r w:rsidRPr="00A714C6">
        <w:rPr>
          <w:rFonts w:hint="eastAsia"/>
          <w:color w:val="000000" w:themeColor="text1"/>
          <w:sz w:val="24"/>
          <w:szCs w:val="24"/>
        </w:rPr>
        <w:t>可以</w:t>
      </w:r>
      <w:r w:rsidRPr="00A714C6">
        <w:rPr>
          <w:rFonts w:hint="eastAsia"/>
          <w:sz w:val="24"/>
          <w:szCs w:val="24"/>
        </w:rPr>
        <w:t>引用有关参考文献的结论和数学模型，更鼓励创新，独立提出新模型</w:t>
      </w:r>
      <w:r w:rsidRPr="00A714C6">
        <w:rPr>
          <w:rFonts w:hint="eastAsia"/>
          <w:color w:val="000000" w:themeColor="text1"/>
          <w:sz w:val="24"/>
          <w:szCs w:val="24"/>
        </w:rPr>
        <w:t>。若引</w:t>
      </w:r>
      <w:r w:rsidRPr="00A714C6">
        <w:rPr>
          <w:rFonts w:hint="eastAsia"/>
          <w:sz w:val="24"/>
          <w:szCs w:val="24"/>
        </w:rPr>
        <w:t>用他人的模型与结论，必须注明出处，否则视情节轻重，直至作为抄袭处理）</w:t>
      </w:r>
    </w:p>
    <w:p w:rsidR="009030B6" w:rsidRPr="00A714C6" w:rsidRDefault="009030B6" w:rsidP="00A714C6">
      <w:pPr>
        <w:spacing w:before="120" w:after="120" w:line="240" w:lineRule="atLeast"/>
        <w:ind w:firstLineChars="200" w:firstLine="480"/>
        <w:rPr>
          <w:sz w:val="24"/>
          <w:szCs w:val="24"/>
        </w:rPr>
      </w:pPr>
      <w:r w:rsidRPr="00A714C6">
        <w:rPr>
          <w:sz w:val="24"/>
          <w:szCs w:val="24"/>
        </w:rPr>
        <w:t>1</w:t>
      </w:r>
      <w:r w:rsidRPr="00A714C6">
        <w:rPr>
          <w:rFonts w:hint="eastAsia"/>
          <w:sz w:val="24"/>
          <w:szCs w:val="24"/>
        </w:rPr>
        <w:t>，分别建立合乎国情、适应国力的中国城乡居民（含新农保）养老金收入、支出的宏观数学模型，至少包括替代率（基本养老保险人均养老金占城镇单位在岗职工平均工资比率）、缴费率（基本养老保险人均</w:t>
      </w:r>
      <w:proofErr w:type="gramStart"/>
      <w:r w:rsidRPr="00A714C6">
        <w:rPr>
          <w:rFonts w:hint="eastAsia"/>
          <w:sz w:val="24"/>
          <w:szCs w:val="24"/>
        </w:rPr>
        <w:t>缴费占</w:t>
      </w:r>
      <w:proofErr w:type="gramEnd"/>
      <w:r w:rsidRPr="00A714C6">
        <w:rPr>
          <w:rFonts w:hint="eastAsia"/>
          <w:sz w:val="24"/>
          <w:szCs w:val="24"/>
        </w:rPr>
        <w:t>城镇单位在岗职工平均工资比率）、人口结构、分年龄段死亡率、经济增速、财政补贴、工资水平或物价指数、投资效益等主要因素，要做到模型结合现实，分多个层次（含企业基金等），体现“多缴多得，长缴多得”（不考虑分省、分地区模型）</w:t>
      </w:r>
      <w:r w:rsidRPr="00A714C6">
        <w:rPr>
          <w:rFonts w:hint="eastAsia"/>
          <w:color w:val="0000FF"/>
          <w:sz w:val="24"/>
          <w:szCs w:val="24"/>
        </w:rPr>
        <w:t>。</w:t>
      </w:r>
      <w:r w:rsidRPr="00A714C6">
        <w:rPr>
          <w:rFonts w:hint="eastAsia"/>
          <w:sz w:val="24"/>
          <w:szCs w:val="24"/>
        </w:rPr>
        <w:t>如果使用</w:t>
      </w:r>
      <w:r w:rsidRPr="00A714C6">
        <w:rPr>
          <w:rFonts w:hint="eastAsia"/>
          <w:color w:val="000000" w:themeColor="text1"/>
          <w:sz w:val="24"/>
          <w:szCs w:val="24"/>
        </w:rPr>
        <w:t>国家</w:t>
      </w:r>
      <w:r w:rsidRPr="00A714C6">
        <w:rPr>
          <w:rFonts w:hint="eastAsia"/>
          <w:sz w:val="24"/>
          <w:szCs w:val="24"/>
        </w:rPr>
        <w:t>统计局公布和题目提供数据以外的</w:t>
      </w:r>
      <w:r w:rsidR="00DA6B64" w:rsidRPr="00A714C6">
        <w:rPr>
          <w:rFonts w:hint="eastAsia"/>
          <w:color w:val="000000" w:themeColor="text1"/>
          <w:sz w:val="24"/>
          <w:szCs w:val="24"/>
        </w:rPr>
        <w:t>数据</w:t>
      </w:r>
      <w:r w:rsidRPr="00A714C6">
        <w:rPr>
          <w:rFonts w:hint="eastAsia"/>
          <w:sz w:val="24"/>
          <w:szCs w:val="24"/>
        </w:rPr>
        <w:t>，必须指明出处并</w:t>
      </w:r>
      <w:r w:rsidR="000A15D6">
        <w:rPr>
          <w:rFonts w:hint="eastAsia"/>
          <w:sz w:val="24"/>
          <w:szCs w:val="24"/>
        </w:rPr>
        <w:t>向</w:t>
      </w:r>
      <w:r w:rsidRPr="00A714C6">
        <w:rPr>
          <w:rFonts w:hint="eastAsia"/>
          <w:sz w:val="24"/>
          <w:szCs w:val="24"/>
        </w:rPr>
        <w:t>竞赛网站</w:t>
      </w:r>
      <w:r w:rsidR="000A15D6">
        <w:rPr>
          <w:rFonts w:hint="eastAsia"/>
          <w:sz w:val="24"/>
          <w:szCs w:val="24"/>
        </w:rPr>
        <w:t>申请张贴于“资料下载”</w:t>
      </w:r>
      <w:r w:rsidR="00A90F55">
        <w:rPr>
          <w:rFonts w:hint="eastAsia"/>
          <w:sz w:val="24"/>
          <w:szCs w:val="24"/>
        </w:rPr>
        <w:t>处</w:t>
      </w:r>
      <w:r w:rsidRPr="00A714C6">
        <w:rPr>
          <w:rFonts w:hint="eastAsia"/>
          <w:sz w:val="24"/>
          <w:szCs w:val="24"/>
        </w:rPr>
        <w:t>，首先公布者可适当加分。</w:t>
      </w:r>
    </w:p>
    <w:p w:rsidR="009030B6" w:rsidRPr="00A714C6" w:rsidRDefault="009030B6" w:rsidP="00A714C6">
      <w:pPr>
        <w:spacing w:before="120" w:after="120" w:line="240" w:lineRule="atLeast"/>
        <w:ind w:firstLineChars="200" w:firstLine="480"/>
        <w:rPr>
          <w:sz w:val="24"/>
          <w:szCs w:val="24"/>
        </w:rPr>
      </w:pPr>
      <w:r w:rsidRPr="00A714C6">
        <w:rPr>
          <w:sz w:val="24"/>
          <w:szCs w:val="24"/>
        </w:rPr>
        <w:t>2</w:t>
      </w:r>
      <w:r w:rsidRPr="00A714C6">
        <w:rPr>
          <w:rFonts w:hint="eastAsia"/>
          <w:sz w:val="24"/>
          <w:szCs w:val="24"/>
        </w:rPr>
        <w:t>，根据你们的数学模型、对养老金缺口的理解和对未来有关情况的合理估计</w:t>
      </w:r>
      <w:r w:rsidRPr="00A714C6">
        <w:rPr>
          <w:rFonts w:hint="eastAsia"/>
          <w:color w:val="FF0000"/>
          <w:sz w:val="24"/>
          <w:szCs w:val="24"/>
        </w:rPr>
        <w:t>，</w:t>
      </w:r>
      <w:r w:rsidRPr="00A714C6">
        <w:rPr>
          <w:rFonts w:hint="eastAsia"/>
          <w:sz w:val="24"/>
          <w:szCs w:val="24"/>
        </w:rPr>
        <w:t>估计从今年至</w:t>
      </w:r>
      <w:r w:rsidRPr="00A714C6">
        <w:rPr>
          <w:sz w:val="24"/>
          <w:szCs w:val="24"/>
        </w:rPr>
        <w:t>2035</w:t>
      </w:r>
      <w:r w:rsidRPr="00A714C6">
        <w:rPr>
          <w:rFonts w:hint="eastAsia"/>
          <w:sz w:val="24"/>
          <w:szCs w:val="24"/>
        </w:rPr>
        <w:t>年我国养老金缺口，并说明你们对养老金缺口分析的合理性。如果全部情况维持不变，按照你们的数学模型我国城乡居民养老保险收支矛盾最尖锐的情况发生在什么时间，严重程度如何？考虑到党的十八大提出的收入倍增计划，你们的数学模型</w:t>
      </w:r>
      <w:r w:rsidR="000A15D6">
        <w:rPr>
          <w:rFonts w:hint="eastAsia"/>
          <w:sz w:val="24"/>
          <w:szCs w:val="24"/>
        </w:rPr>
        <w:t>哪些部分</w:t>
      </w:r>
      <w:r w:rsidRPr="00A714C6">
        <w:rPr>
          <w:rFonts w:hint="eastAsia"/>
          <w:sz w:val="24"/>
          <w:szCs w:val="24"/>
        </w:rPr>
        <w:t>需要调整？</w:t>
      </w:r>
    </w:p>
    <w:p w:rsidR="009030B6" w:rsidRPr="00A714C6" w:rsidRDefault="009030B6" w:rsidP="00A714C6">
      <w:pPr>
        <w:spacing w:before="120" w:after="120" w:line="240" w:lineRule="atLeast"/>
        <w:ind w:firstLineChars="200" w:firstLine="480"/>
        <w:rPr>
          <w:sz w:val="24"/>
          <w:szCs w:val="24"/>
        </w:rPr>
      </w:pPr>
      <w:r w:rsidRPr="00A714C6">
        <w:rPr>
          <w:sz w:val="24"/>
          <w:szCs w:val="24"/>
        </w:rPr>
        <w:t>3</w:t>
      </w:r>
      <w:r w:rsidRPr="00A714C6">
        <w:rPr>
          <w:rFonts w:hint="eastAsia"/>
          <w:sz w:val="24"/>
          <w:szCs w:val="24"/>
        </w:rPr>
        <w:t>，养老保险制度也是调节社会分配，请你们分析各国养老保险的不同模式，</w:t>
      </w:r>
      <w:r w:rsidRPr="00A714C6">
        <w:rPr>
          <w:rFonts w:hint="eastAsia"/>
          <w:sz w:val="24"/>
          <w:szCs w:val="24"/>
        </w:rPr>
        <w:lastRenderedPageBreak/>
        <w:t>取其精华，去其糟粕，根据你们建立的数学模型和中国的实际情况，利用仿真手段寻找替代率和缴费率的合理区间以保证我国养老保险体系的可持续性（因为人口结构、分年龄段死亡率、经济增速、投资效益等主要因素几乎无法人为较大幅度改动）；在步入良性循环之前，在矛盾最尖锐到来前的过渡期内应该采取哪些政策措施实现平稳过渡并仿真预测相关政策的效果。</w:t>
      </w:r>
    </w:p>
    <w:p w:rsidR="009030B6" w:rsidRPr="00A714C6" w:rsidRDefault="009030B6" w:rsidP="00A714C6">
      <w:pPr>
        <w:spacing w:before="120" w:after="120" w:line="240" w:lineRule="atLeast"/>
        <w:ind w:firstLineChars="200" w:firstLine="480"/>
        <w:rPr>
          <w:sz w:val="24"/>
          <w:szCs w:val="24"/>
        </w:rPr>
      </w:pPr>
      <w:r w:rsidRPr="00A714C6">
        <w:rPr>
          <w:rFonts w:hint="eastAsia"/>
          <w:sz w:val="24"/>
          <w:szCs w:val="24"/>
        </w:rPr>
        <w:t>四．尝试建立第三</w:t>
      </w:r>
      <w:proofErr w:type="gramStart"/>
      <w:r w:rsidRPr="00A714C6">
        <w:rPr>
          <w:rFonts w:hint="eastAsia"/>
          <w:sz w:val="24"/>
          <w:szCs w:val="24"/>
        </w:rPr>
        <w:t>问</w:t>
      </w:r>
      <w:r w:rsidR="00A90F55">
        <w:rPr>
          <w:rFonts w:hint="eastAsia"/>
          <w:sz w:val="24"/>
          <w:szCs w:val="24"/>
        </w:rPr>
        <w:t>增加</w:t>
      </w:r>
      <w:proofErr w:type="gramEnd"/>
      <w:r w:rsidR="00A90F55">
        <w:rPr>
          <w:rFonts w:hint="eastAsia"/>
          <w:sz w:val="24"/>
          <w:szCs w:val="24"/>
        </w:rPr>
        <w:t>可调节变量</w:t>
      </w:r>
      <w:r w:rsidRPr="00A714C6">
        <w:rPr>
          <w:rFonts w:hint="eastAsia"/>
          <w:sz w:val="24"/>
          <w:szCs w:val="24"/>
        </w:rPr>
        <w:t>的数学模型。</w:t>
      </w:r>
    </w:p>
    <w:p w:rsidR="009030B6" w:rsidRPr="00A714C6" w:rsidRDefault="009030B6" w:rsidP="00A714C6">
      <w:pPr>
        <w:spacing w:before="120" w:after="120" w:line="240" w:lineRule="atLeast"/>
        <w:ind w:firstLineChars="900" w:firstLine="2168"/>
        <w:rPr>
          <w:b/>
          <w:sz w:val="24"/>
          <w:szCs w:val="24"/>
        </w:rPr>
      </w:pPr>
      <w:r w:rsidRPr="00A714C6">
        <w:rPr>
          <w:rFonts w:hint="eastAsia"/>
          <w:b/>
          <w:sz w:val="24"/>
          <w:szCs w:val="24"/>
        </w:rPr>
        <w:t>参考文献</w:t>
      </w:r>
    </w:p>
    <w:p w:rsidR="009030B6" w:rsidRPr="00A714C6" w:rsidRDefault="009030B6" w:rsidP="00A714C6">
      <w:pPr>
        <w:spacing w:before="120" w:after="120" w:line="240" w:lineRule="atLeast"/>
        <w:rPr>
          <w:sz w:val="24"/>
          <w:szCs w:val="24"/>
        </w:rPr>
      </w:pPr>
      <w:r w:rsidRPr="00A714C6">
        <w:rPr>
          <w:sz w:val="24"/>
          <w:szCs w:val="24"/>
        </w:rPr>
        <w:t>1.</w:t>
      </w:r>
      <w:r w:rsidRPr="00A714C6">
        <w:rPr>
          <w:rFonts w:hint="eastAsia"/>
          <w:sz w:val="24"/>
          <w:szCs w:val="24"/>
        </w:rPr>
        <w:t>《中国养老金发展报告</w:t>
      </w:r>
      <w:r w:rsidRPr="00A714C6">
        <w:rPr>
          <w:sz w:val="24"/>
          <w:szCs w:val="24"/>
        </w:rPr>
        <w:t>2012</w:t>
      </w:r>
      <w:r w:rsidRPr="00A714C6">
        <w:rPr>
          <w:rFonts w:hint="eastAsia"/>
          <w:sz w:val="24"/>
          <w:szCs w:val="24"/>
        </w:rPr>
        <w:t>》中国社会科学院世界社保研究中心</w:t>
      </w:r>
      <w:r w:rsidRPr="00A714C6">
        <w:rPr>
          <w:sz w:val="24"/>
          <w:szCs w:val="24"/>
        </w:rPr>
        <w:t>(</w:t>
      </w:r>
      <w:r w:rsidRPr="00A714C6">
        <w:rPr>
          <w:rFonts w:hint="eastAsia"/>
          <w:sz w:val="24"/>
          <w:szCs w:val="24"/>
        </w:rPr>
        <w:t>其中部分全国性数据扫描在附件中</w:t>
      </w:r>
      <w:r w:rsidR="000A15D6">
        <w:rPr>
          <w:rFonts w:hint="eastAsia"/>
          <w:sz w:val="24"/>
          <w:szCs w:val="24"/>
        </w:rPr>
        <w:t>，并提供</w:t>
      </w:r>
      <w:r w:rsidR="000A15D6">
        <w:rPr>
          <w:rFonts w:hint="eastAsia"/>
          <w:sz w:val="24"/>
          <w:szCs w:val="24"/>
        </w:rPr>
        <w:t>word</w:t>
      </w:r>
      <w:r w:rsidR="000A15D6">
        <w:rPr>
          <w:rFonts w:hint="eastAsia"/>
          <w:sz w:val="24"/>
          <w:szCs w:val="24"/>
        </w:rPr>
        <w:t>等版本</w:t>
      </w:r>
      <w:r w:rsidR="00A90F55">
        <w:rPr>
          <w:rFonts w:hint="eastAsia"/>
          <w:sz w:val="24"/>
          <w:szCs w:val="24"/>
        </w:rPr>
        <w:t>省去</w:t>
      </w:r>
      <w:r w:rsidR="000A15D6">
        <w:rPr>
          <w:rFonts w:hint="eastAsia"/>
          <w:sz w:val="24"/>
          <w:szCs w:val="24"/>
        </w:rPr>
        <w:t>输入</w:t>
      </w:r>
      <w:r w:rsidRPr="00A714C6">
        <w:rPr>
          <w:sz w:val="24"/>
          <w:szCs w:val="24"/>
        </w:rPr>
        <w:t>)</w:t>
      </w:r>
    </w:p>
    <w:p w:rsidR="009030B6" w:rsidRPr="00A714C6" w:rsidRDefault="009030B6" w:rsidP="00A714C6">
      <w:pPr>
        <w:spacing w:before="120" w:after="120" w:line="240" w:lineRule="atLeast"/>
        <w:rPr>
          <w:sz w:val="24"/>
          <w:szCs w:val="24"/>
        </w:rPr>
      </w:pPr>
      <w:r w:rsidRPr="00A714C6">
        <w:rPr>
          <w:sz w:val="24"/>
          <w:szCs w:val="24"/>
        </w:rPr>
        <w:t>2.</w:t>
      </w:r>
      <w:r w:rsidRPr="00A714C6">
        <w:rPr>
          <w:rFonts w:hint="eastAsia"/>
          <w:sz w:val="24"/>
          <w:szCs w:val="24"/>
        </w:rPr>
        <w:t>中国新闻网</w:t>
      </w:r>
      <w:r w:rsidRPr="00A714C6">
        <w:rPr>
          <w:sz w:val="24"/>
          <w:szCs w:val="24"/>
        </w:rPr>
        <w:t xml:space="preserve">  </w:t>
      </w:r>
      <w:r w:rsidRPr="00A714C6">
        <w:rPr>
          <w:rFonts w:hint="eastAsia"/>
          <w:sz w:val="24"/>
          <w:szCs w:val="24"/>
        </w:rPr>
        <w:t>《中国养老金发展报告</w:t>
      </w:r>
      <w:r w:rsidRPr="00A714C6">
        <w:rPr>
          <w:sz w:val="24"/>
          <w:szCs w:val="24"/>
        </w:rPr>
        <w:t>2012</w:t>
      </w:r>
      <w:r w:rsidRPr="00A714C6">
        <w:rPr>
          <w:rFonts w:hint="eastAsia"/>
          <w:sz w:val="24"/>
          <w:szCs w:val="24"/>
        </w:rPr>
        <w:t>》在京发布式</w:t>
      </w:r>
    </w:p>
    <w:p w:rsidR="009030B6" w:rsidRPr="00A714C6" w:rsidRDefault="009030B6" w:rsidP="00A714C6">
      <w:pPr>
        <w:spacing w:before="120" w:after="120" w:line="240" w:lineRule="atLeast"/>
        <w:rPr>
          <w:sz w:val="24"/>
          <w:szCs w:val="24"/>
        </w:rPr>
      </w:pPr>
      <w:r w:rsidRPr="00A714C6">
        <w:rPr>
          <w:sz w:val="24"/>
          <w:szCs w:val="24"/>
        </w:rPr>
        <w:t>3.</w:t>
      </w:r>
      <w:r w:rsidR="000A15D6" w:rsidRPr="000A15D6">
        <w:rPr>
          <w:rFonts w:hint="eastAsia"/>
          <w:sz w:val="24"/>
          <w:szCs w:val="24"/>
        </w:rPr>
        <w:t xml:space="preserve"> </w:t>
      </w:r>
      <w:r w:rsidR="000A15D6" w:rsidRPr="00A714C6">
        <w:rPr>
          <w:rFonts w:hint="eastAsia"/>
          <w:sz w:val="24"/>
          <w:szCs w:val="24"/>
        </w:rPr>
        <w:t>马骏等</w:t>
      </w:r>
      <w:r w:rsidRPr="00A714C6">
        <w:rPr>
          <w:rFonts w:hint="eastAsia"/>
          <w:sz w:val="24"/>
          <w:szCs w:val="24"/>
        </w:rPr>
        <w:t>《化解国家资产负债中长期风险》</w:t>
      </w:r>
      <w:r w:rsidRPr="00A714C6">
        <w:rPr>
          <w:sz w:val="24"/>
          <w:szCs w:val="24"/>
        </w:rPr>
        <w:t xml:space="preserve"> </w:t>
      </w:r>
    </w:p>
    <w:p w:rsidR="009030B6" w:rsidRPr="00A714C6" w:rsidRDefault="009030B6" w:rsidP="00A714C6">
      <w:pPr>
        <w:spacing w:before="120" w:after="120" w:line="240" w:lineRule="atLeast"/>
        <w:rPr>
          <w:sz w:val="24"/>
          <w:szCs w:val="24"/>
        </w:rPr>
      </w:pPr>
      <w:r w:rsidRPr="00A714C6">
        <w:rPr>
          <w:sz w:val="24"/>
          <w:szCs w:val="24"/>
        </w:rPr>
        <w:t>4.</w:t>
      </w:r>
      <w:r w:rsidR="000A15D6" w:rsidRPr="000A15D6">
        <w:rPr>
          <w:rFonts w:hint="eastAsia"/>
          <w:sz w:val="24"/>
          <w:szCs w:val="24"/>
        </w:rPr>
        <w:t xml:space="preserve"> </w:t>
      </w:r>
      <w:r w:rsidR="000A15D6" w:rsidRPr="00A714C6">
        <w:rPr>
          <w:rFonts w:hint="eastAsia"/>
          <w:sz w:val="24"/>
          <w:szCs w:val="24"/>
        </w:rPr>
        <w:t>曹远征</w:t>
      </w:r>
      <w:r w:rsidRPr="00A714C6">
        <w:rPr>
          <w:rFonts w:hint="eastAsia"/>
          <w:sz w:val="24"/>
          <w:szCs w:val="24"/>
        </w:rPr>
        <w:t>《意见中国――网易经济学家访谈录》</w:t>
      </w:r>
      <w:r w:rsidRPr="00A714C6">
        <w:rPr>
          <w:sz w:val="24"/>
          <w:szCs w:val="24"/>
        </w:rPr>
        <w:t xml:space="preserve">  </w:t>
      </w:r>
    </w:p>
    <w:sectPr w:rsidR="009030B6" w:rsidRPr="00A714C6" w:rsidSect="0002062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DA1" w:rsidRDefault="008A6DA1" w:rsidP="00F61B80">
      <w:r>
        <w:separator/>
      </w:r>
    </w:p>
  </w:endnote>
  <w:endnote w:type="continuationSeparator" w:id="1">
    <w:p w:rsidR="008A6DA1" w:rsidRDefault="008A6DA1" w:rsidP="00F61B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DA1" w:rsidRDefault="008A6DA1" w:rsidP="00F61B80">
      <w:r>
        <w:separator/>
      </w:r>
    </w:p>
  </w:footnote>
  <w:footnote w:type="continuationSeparator" w:id="1">
    <w:p w:rsidR="008A6DA1" w:rsidRDefault="008A6DA1" w:rsidP="00F61B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0B6" w:rsidRDefault="009030B6" w:rsidP="00F435DE">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1C0D"/>
    <w:multiLevelType w:val="hybridMultilevel"/>
    <w:tmpl w:val="1FA4466A"/>
    <w:lvl w:ilvl="0" w:tplc="8822FE6C">
      <w:start w:val="1"/>
      <w:numFmt w:val="japaneseCounting"/>
      <w:lvlText w:val="%1、"/>
      <w:lvlJc w:val="left"/>
      <w:pPr>
        <w:ind w:left="1320" w:hanging="720"/>
      </w:pPr>
      <w:rPr>
        <w:rFonts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126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99D"/>
    <w:rsid w:val="000064C9"/>
    <w:rsid w:val="00020627"/>
    <w:rsid w:val="00051F51"/>
    <w:rsid w:val="00066EC8"/>
    <w:rsid w:val="00074168"/>
    <w:rsid w:val="000A15D6"/>
    <w:rsid w:val="000A52A8"/>
    <w:rsid w:val="00161740"/>
    <w:rsid w:val="001626C9"/>
    <w:rsid w:val="001B0CB1"/>
    <w:rsid w:val="001B3237"/>
    <w:rsid w:val="001B5303"/>
    <w:rsid w:val="001C5493"/>
    <w:rsid w:val="001F0150"/>
    <w:rsid w:val="001F2F11"/>
    <w:rsid w:val="002012FA"/>
    <w:rsid w:val="00202D1C"/>
    <w:rsid w:val="002442A2"/>
    <w:rsid w:val="00275540"/>
    <w:rsid w:val="00277ED1"/>
    <w:rsid w:val="002B6846"/>
    <w:rsid w:val="002F199D"/>
    <w:rsid w:val="002F334D"/>
    <w:rsid w:val="00323EDA"/>
    <w:rsid w:val="00370D60"/>
    <w:rsid w:val="00377673"/>
    <w:rsid w:val="003875FB"/>
    <w:rsid w:val="003A5CDF"/>
    <w:rsid w:val="003E5FFD"/>
    <w:rsid w:val="00422A88"/>
    <w:rsid w:val="0043476A"/>
    <w:rsid w:val="004827FE"/>
    <w:rsid w:val="004B439B"/>
    <w:rsid w:val="00517791"/>
    <w:rsid w:val="005472EE"/>
    <w:rsid w:val="00556E0B"/>
    <w:rsid w:val="005A5B2B"/>
    <w:rsid w:val="005B7B57"/>
    <w:rsid w:val="005E3829"/>
    <w:rsid w:val="005E578D"/>
    <w:rsid w:val="00601186"/>
    <w:rsid w:val="00617550"/>
    <w:rsid w:val="0062122E"/>
    <w:rsid w:val="00635177"/>
    <w:rsid w:val="00650F9F"/>
    <w:rsid w:val="006A3488"/>
    <w:rsid w:val="006A554F"/>
    <w:rsid w:val="006C5EB7"/>
    <w:rsid w:val="006D2B46"/>
    <w:rsid w:val="007512F7"/>
    <w:rsid w:val="007A4ECB"/>
    <w:rsid w:val="007A793E"/>
    <w:rsid w:val="007A7CB5"/>
    <w:rsid w:val="007E4A40"/>
    <w:rsid w:val="00810A75"/>
    <w:rsid w:val="0087159F"/>
    <w:rsid w:val="00880C3E"/>
    <w:rsid w:val="008A16FF"/>
    <w:rsid w:val="008A6DA1"/>
    <w:rsid w:val="009030B6"/>
    <w:rsid w:val="00955C7F"/>
    <w:rsid w:val="00980FA1"/>
    <w:rsid w:val="009D60F5"/>
    <w:rsid w:val="00A62C28"/>
    <w:rsid w:val="00A714C6"/>
    <w:rsid w:val="00A80092"/>
    <w:rsid w:val="00A90F55"/>
    <w:rsid w:val="00AC0BD1"/>
    <w:rsid w:val="00AC538E"/>
    <w:rsid w:val="00AC7904"/>
    <w:rsid w:val="00AF234A"/>
    <w:rsid w:val="00B43D97"/>
    <w:rsid w:val="00B61B21"/>
    <w:rsid w:val="00B814B7"/>
    <w:rsid w:val="00B936AE"/>
    <w:rsid w:val="00BA7752"/>
    <w:rsid w:val="00BB0055"/>
    <w:rsid w:val="00BF4DE6"/>
    <w:rsid w:val="00C47251"/>
    <w:rsid w:val="00C52607"/>
    <w:rsid w:val="00CB67BF"/>
    <w:rsid w:val="00CE598F"/>
    <w:rsid w:val="00D16E4B"/>
    <w:rsid w:val="00D17E96"/>
    <w:rsid w:val="00D679A5"/>
    <w:rsid w:val="00DA6B64"/>
    <w:rsid w:val="00DC471B"/>
    <w:rsid w:val="00DD3C82"/>
    <w:rsid w:val="00DE58B6"/>
    <w:rsid w:val="00EA4417"/>
    <w:rsid w:val="00EC007B"/>
    <w:rsid w:val="00EC2275"/>
    <w:rsid w:val="00ED5A5F"/>
    <w:rsid w:val="00F06898"/>
    <w:rsid w:val="00F241F3"/>
    <w:rsid w:val="00F4282A"/>
    <w:rsid w:val="00F435DE"/>
    <w:rsid w:val="00F55E3B"/>
    <w:rsid w:val="00F61B80"/>
    <w:rsid w:val="00FA28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6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61B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F61B80"/>
    <w:rPr>
      <w:rFonts w:cs="Times New Roman"/>
      <w:sz w:val="18"/>
      <w:szCs w:val="18"/>
    </w:rPr>
  </w:style>
  <w:style w:type="paragraph" w:styleId="a4">
    <w:name w:val="footer"/>
    <w:basedOn w:val="a"/>
    <w:link w:val="Char0"/>
    <w:uiPriority w:val="99"/>
    <w:semiHidden/>
    <w:rsid w:val="00F61B80"/>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F61B80"/>
    <w:rPr>
      <w:rFonts w:cs="Times New Roman"/>
      <w:sz w:val="18"/>
      <w:szCs w:val="18"/>
    </w:rPr>
  </w:style>
  <w:style w:type="paragraph" w:styleId="a5">
    <w:name w:val="Normal (Web)"/>
    <w:basedOn w:val="a"/>
    <w:uiPriority w:val="99"/>
    <w:rsid w:val="00C47251"/>
    <w:pPr>
      <w:widowControl/>
      <w:spacing w:before="100" w:beforeAutospacing="1" w:after="100" w:afterAutospacing="1"/>
      <w:jc w:val="left"/>
    </w:pPr>
    <w:rPr>
      <w:rFonts w:ascii="宋体" w:hAnsi="宋体" w:cs="宋体"/>
      <w:kern w:val="0"/>
      <w:sz w:val="24"/>
      <w:szCs w:val="24"/>
    </w:rPr>
  </w:style>
  <w:style w:type="paragraph" w:styleId="a6">
    <w:name w:val="List Paragraph"/>
    <w:basedOn w:val="a"/>
    <w:uiPriority w:val="99"/>
    <w:qFormat/>
    <w:rsid w:val="00EA4417"/>
    <w:pPr>
      <w:ind w:firstLineChars="200" w:firstLine="420"/>
    </w:pPr>
  </w:style>
  <w:style w:type="character" w:styleId="a7">
    <w:name w:val="Hyperlink"/>
    <w:basedOn w:val="a0"/>
    <w:uiPriority w:val="99"/>
    <w:rsid w:val="001626C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5A2D-B1EB-46B5-A16D-339F727D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2927</Words>
  <Characters>164</Characters>
  <Application>Microsoft Office Word</Application>
  <DocSecurity>0</DocSecurity>
  <Lines>1</Lines>
  <Paragraphs>6</Paragraphs>
  <ScaleCrop>false</ScaleCrop>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Administrator</cp:lastModifiedBy>
  <cp:revision>2</cp:revision>
  <dcterms:created xsi:type="dcterms:W3CDTF">2013-09-18T09:12:00Z</dcterms:created>
  <dcterms:modified xsi:type="dcterms:W3CDTF">2013-09-18T09:12:00Z</dcterms:modified>
</cp:coreProperties>
</file>