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1200"/>
        <w:jc w:val="center"/>
      </w:pPr>
      <w:r>
        <w:rPr>
          <w:rFonts w:ascii="Arial" w:cs="Arial" w:eastAsia="Arial" w:hAnsi="Arial"/>
          <w:b/>
          <w:bCs/>
          <w:color w:val="8B0000"/>
          <w:sz w:val="56"/>
          <w:szCs w:val="56"/>
        </w:rPr>
        <w:t xml:space="preserve">NZIMANDE WHOLESALES</w:t>
      </w:r>
    </w:p>
    <w:p>
      <w:pPr>
        <w:spacing w:after="200" w:before="0"/>
        <w:jc w:val="center"/>
      </w:pPr>
      <w:r>
        <w:rPr>
          <w:rFonts w:ascii="Arial" w:cs="Arial" w:eastAsia="Arial" w:hAnsi="Arial"/>
          <w:color w:val="1A1A2E"/>
          <w:sz w:val="32"/>
          <w:szCs w:val="32"/>
        </w:rPr>
        <w:t xml:space="preserve">Enterprise Data Architecture &amp; Business Intelligence</w:t>
      </w:r>
    </w:p>
    <w:p>
      <w:pPr>
        <w:spacing w:after="800" w:before="0"/>
        <w:jc w:val="center"/>
      </w:pPr>
      <w:r>
        <w:rPr>
          <w:rFonts w:ascii="Arial" w:cs="Arial" w:eastAsia="Arial" w:hAnsi="Arial"/>
          <w:i/>
          <w:iCs/>
          <w:color w:val="4A4A4A"/>
          <w:sz w:val="24"/>
          <w:szCs w:val="24"/>
        </w:rPr>
        <w:t xml:space="preserve">Strategic Analysis Report — 2024</w:t>
      </w:r>
    </w:p>
    <w:p>
      <w:pPr>
        <w:spacing w:after="120" w:before="0"/>
        <w:jc w:val="center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Prepared by: Lindokuhle Nyoka</w:t>
      </w:r>
    </w:p>
    <w:p>
      <w:pPr>
        <w:spacing w:after="120" w:before="0"/>
        <w:jc w:val="center"/>
      </w:pPr>
      <w:r>
        <w:rPr>
          <w:rFonts w:ascii="Arial" w:cs="Arial" w:eastAsia="Arial" w:hAnsi="Arial"/>
          <w:color w:val="4A4A4A"/>
          <w:sz w:val="22"/>
          <w:szCs w:val="22"/>
        </w:rPr>
        <w:t xml:space="preserve">Role: Lead Data Analyst</w:t>
      </w:r>
    </w:p>
    <w:p>
      <w:pPr>
        <w:spacing w:after="120" w:before="0"/>
        <w:jc w:val="center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Tools: Python (Pandas) • SQLite • Tableau Public</w:t>
      </w:r>
    </w:p>
    <w:p>
      <w:pPr>
        <w:pBdr>
          <w:bottom w:val="single" w:color="8B0000" w:sz="4" w:space="1"/>
        </w:pBdr>
        <w:spacing w:after="200" w:before="200"/>
      </w:pP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8B0000"/>
          <w:sz w:val="36"/>
          <w:szCs w:val="36"/>
        </w:rPr>
        <w:t xml:space="preserve">Executive Summary</w:t>
      </w:r>
    </w:p>
    <w:p>
      <w:pPr>
        <w:spacing w:after="100" w:before="100"/>
      </w:pPr>
      <w:r>
        <w:rPr>
          <w:rFonts w:ascii="Arial" w:cs="Arial" w:eastAsia="Arial" w:hAnsi="Arial"/>
          <w:sz w:val="22"/>
          <w:szCs w:val="22"/>
        </w:rPr>
        <w:t xml:space="preserve">This report presents the findings of a full end-to-end business intelligence engagement for Nzimande Wholesales. Raw transactional data spanning 12,575 records was extracted, cleaned, validated, and modelled using an enterprise-grade open-source pipeline before being visualised in an interactive Tableau dashboard.</w:t>
      </w:r>
    </w:p>
    <w:p>
      <w:pPr>
        <w:spacing w:after="100" w:before="100"/>
      </w:pPr>
      <w:r>
        <w:rPr>
          <w:rFonts w:ascii="Arial" w:cs="Arial" w:eastAsia="Arial" w:hAnsi="Arial"/>
          <w:sz w:val="22"/>
          <w:szCs w:val="22"/>
        </w:rPr>
        <w:t xml:space="preserve">The analysis surfaces three strategic business dilemmas — margin leakage through discount policy, inventory inefficiency in low-velocity categories, and channel profitability — and delivers specific, data-backed operational recommendations for each.</w:t>
      </w:r>
    </w:p>
    <w:p>
      <w:pPr>
        <w:spacing w:after="200" w:before="200"/>
      </w:pP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1A1A2E"/>
          <w:sz w:val="28"/>
          <w:szCs w:val="28"/>
        </w:rPr>
        <w:t xml:space="preserve">Verified Executive KPIs</w:t>
      </w:r>
    </w:p>
    <w:p>
      <w:pPr>
        <w:spacing w:after="100" w:before="100"/>
      </w:pPr>
      <w:r>
        <w:rPr>
          <w:rFonts w:ascii="Arial" w:cs="Arial" w:eastAsia="Arial" w:hAnsi="Arial"/>
          <w:sz w:val="22"/>
          <w:szCs w:val="22"/>
        </w:rPr>
        <w:t xml:space="preserve">The following metrics represent mathematically validated figures. Every number passed a formula audit (Price Per Unit × Quantity = Total Spent) with zero violations across all 11,362 verified transactions.</w:t>
      </w:r>
    </w:p>
    <w:p>
      <w:pPr>
        <w:spacing w:after="160" w:before="1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KPI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2"/>
                <w:szCs w:val="22"/>
              </w:rPr>
              <w:t xml:space="preserve">Value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2"/>
                <w:szCs w:val="22"/>
              </w:rPr>
              <w:t xml:space="preserve">Business Meaning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Gross Revenue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2"/>
                <w:szCs w:val="22"/>
              </w:rPr>
              <w:t xml:space="preserve">R1,472,998.50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2"/>
                <w:szCs w:val="22"/>
              </w:rPr>
              <w:t xml:space="preserve">Total wholesale revenue across all verified transactions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Avg Order Value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2"/>
                <w:szCs w:val="22"/>
              </w:rPr>
              <w:t xml:space="preserve">R129.64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2"/>
                <w:szCs w:val="22"/>
              </w:rPr>
              <w:t xml:space="preserve">Average rand value per single wholesale transaction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Total Units Shipped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2"/>
                <w:szCs w:val="22"/>
              </w:rPr>
              <w:t xml:space="preserve">62,889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2"/>
                <w:szCs w:val="22"/>
              </w:rPr>
              <w:t xml:space="preserve">Physical units dispatched from warehouse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Discount Rate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2"/>
                <w:szCs w:val="22"/>
              </w:rPr>
              <w:t xml:space="preserve">33.45%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2"/>
                <w:szCs w:val="22"/>
              </w:rPr>
              <w:t xml:space="preserve">Proportion of orders processed with active markdowns</w:t>
            </w:r>
          </w:p>
        </w:tc>
      </w:tr>
    </w:tbl>
    <w:p>
      <w:pPr>
        <w:spacing w:after="200" w:before="200"/>
      </w:pPr>
    </w:p>
    <w:p>
      <w:pPr>
        <w:pBdr>
          <w:bottom w:val="single" w:color="8B0000" w:sz="4" w:space="1"/>
        </w:pBdr>
        <w:spacing w:after="200" w:before="200"/>
      </w:pP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8B0000"/>
          <w:sz w:val="36"/>
          <w:szCs w:val="36"/>
        </w:rPr>
        <w:t xml:space="preserve">Data Engineering Pipeline</w:t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1A1A2E"/>
          <w:sz w:val="28"/>
          <w:szCs w:val="28"/>
        </w:rPr>
        <w:t xml:space="preserve">Raw Data Profile</w:t>
      </w:r>
    </w:p>
    <w:p>
      <w:pPr>
        <w:spacing w:after="100" w:before="100"/>
      </w:pPr>
      <w:r>
        <w:rPr>
          <w:rFonts w:ascii="Arial" w:cs="Arial" w:eastAsia="Arial" w:hAnsi="Arial"/>
          <w:sz w:val="22"/>
          <w:szCs w:val="22"/>
        </w:rPr>
        <w:t xml:space="preserve">The source dataset presented the following integrity violations before any cleaning was applied: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12,575 total raw records ingested from CSV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1,213 missing Item descriptions — flagged as ‘Unknown Item’, rows retained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609 missing Price Per Unit values — rows retained where Total Spent and Quantity were valid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604 rows missing both Quantity and Total Spent simultaneously — mathematically unrecoverable, isolated to audit log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4,199 missing Discount Applied flags (33% of dataset) — treated as False under a documented business assumption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Zero duplicate rows confirmed</w:t>
      </w:r>
    </w:p>
    <w:p>
      <w:pPr>
        <w:spacing w:after="160" w:before="160"/>
      </w:pP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1A1A2E"/>
          <w:sz w:val="28"/>
          <w:szCs w:val="28"/>
        </w:rPr>
        <w:t xml:space="preserve">Cleaning Decisions &amp; Governance Rules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8B0000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Rule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8B0000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Action Taken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8B0000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Justification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Missing Item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Filled with ‘Unknown Item’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Preserves transaction count without false categorisation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Missing Discount Flag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Filled with False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Absence of discount record is operationally equivalent to no discount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Missing Quantity + Total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Isolated to error log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Cannot reconstruct without at least one numeric anchor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Missing Price Per Unit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Row removed post-audit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Formula verification impossible without this value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Date formatting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Converted to ISO datetime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Enables timeline analytics and seasonality detection</w:t>
            </w:r>
          </w:p>
        </w:tc>
      </w:tr>
    </w:tbl>
    <w:p>
      <w:pPr>
        <w:spacing w:after="100" w:before="200"/>
      </w:pP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1A1A2E"/>
          <w:sz w:val="28"/>
          <w:szCs w:val="28"/>
        </w:rPr>
        <w:t xml:space="preserve">Post-Pipeline Quality Results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Clean records ready for analysis: 11,362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Unrecoverable records logged separately: 604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Formula violations (Price × Qty ≠ Total): 0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Remaining nulls in analytical columns: 0</w:t>
      </w:r>
    </w:p>
    <w:p>
      <w:pPr>
        <w:spacing w:after="100" w:before="100"/>
      </w:pPr>
      <w:r>
        <w:rPr>
          <w:rFonts w:ascii="Arial" w:cs="Arial" w:eastAsia="Arial" w:hAnsi="Arial"/>
          <w:sz w:val="22"/>
          <w:szCs w:val="22"/>
        </w:rPr>
        <w:t xml:space="preserve">The clean dataset was ingested into a SQLite relational database as the ‘fact_sales_transactions’ table and verified against SQL aggregates before any visualisation was produced.</w:t>
      </w:r>
    </w:p>
    <w:p>
      <w:pPr>
        <w:pBdr>
          <w:bottom w:val="single" w:color="8B0000" w:sz="4" w:space="1"/>
        </w:pBdr>
        <w:spacing w:after="200" w:before="200"/>
      </w:pP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8B0000"/>
          <w:sz w:val="36"/>
          <w:szCs w:val="36"/>
        </w:rPr>
        <w:t xml:space="preserve">Strategic Business Analysis</w:t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1A1A2E"/>
          <w:sz w:val="28"/>
          <w:szCs w:val="28"/>
        </w:rPr>
        <w:t xml:space="preserve">Dilemma 1: Margin Leakage vs Volume Velocity</w:t>
      </w:r>
    </w:p>
    <w:p>
      <w:pPr>
        <w:spacing w:after="120" w:before="240"/>
      </w:pPr>
      <w:r>
        <w:rPr>
          <w:rFonts w:ascii="Arial" w:cs="Arial" w:eastAsia="Arial" w:hAnsi="Arial"/>
          <w:b/>
          <w:bCs/>
          <w:color w:val="4A4A4A"/>
          <w:sz w:val="24"/>
          <w:szCs w:val="24"/>
        </w:rPr>
        <w:t xml:space="preserve">Business Question</w:t>
      </w:r>
    </w:p>
    <w:p>
      <w:pPr>
        <w:spacing w:after="100" w:before="100"/>
      </w:pPr>
      <w:r>
        <w:rPr>
          <w:rFonts w:ascii="Arial" w:cs="Arial" w:eastAsia="Arial" w:hAnsi="Arial"/>
          <w:sz w:val="22"/>
          <w:szCs w:val="22"/>
        </w:rPr>
        <w:t xml:space="preserve">Are wholesale discounts driving meaningfully higher transaction volumes, or are we subsidising customers who would have purchased the same quantities regardless?</w:t>
      </w:r>
    </w:p>
    <w:p>
      <w:pPr>
        <w:spacing w:after="120" w:before="240"/>
      </w:pPr>
      <w:r>
        <w:rPr>
          <w:rFonts w:ascii="Arial" w:cs="Arial" w:eastAsia="Arial" w:hAnsi="Arial"/>
          <w:b/>
          <w:bCs/>
          <w:color w:val="4A4A4A"/>
          <w:sz w:val="24"/>
          <w:szCs w:val="24"/>
        </w:rPr>
        <w:t xml:space="preserve">SQL Finding</w:t>
      </w:r>
    </w:p>
    <w:p>
      <w:pPr>
        <w:spacing w:after="100" w:before="100"/>
      </w:pPr>
      <w:r>
        <w:rPr>
          <w:rFonts w:ascii="Arial" w:cs="Arial" w:eastAsia="Arial" w:hAnsi="Arial"/>
          <w:sz w:val="22"/>
          <w:szCs w:val="22"/>
        </w:rPr>
        <w:t xml:space="preserve">When Discount Applied = True, the data shows: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Order count is lower than full-price transactions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Average units per order is higher on discounted transactions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Average order value (AOV) is also higher on discounted transactions</w:t>
      </w:r>
    </w:p>
    <w:p>
      <w:pPr>
        <w:spacing w:after="120" w:before="240"/>
      </w:pPr>
      <w:r>
        <w:rPr>
          <w:rFonts w:ascii="Arial" w:cs="Arial" w:eastAsia="Arial" w:hAnsi="Arial"/>
          <w:b/>
          <w:bCs/>
          <w:color w:val="4A4A4A"/>
          <w:sz w:val="24"/>
          <w:szCs w:val="24"/>
        </w:rPr>
        <w:t xml:space="preserve">What This Means</w:t>
      </w:r>
    </w:p>
    <w:p>
      <w:pPr>
        <w:spacing w:after="100" w:before="100"/>
      </w:pPr>
      <w:r>
        <w:rPr>
          <w:rFonts w:ascii="Arial" w:cs="Arial" w:eastAsia="Arial" w:hAnsi="Arial"/>
          <w:sz w:val="22"/>
          <w:szCs w:val="22"/>
        </w:rPr>
        <w:t xml:space="preserve">This is the most financially significant finding in the entire dataset. Discounts are not converting hesitant buyers — they are being applied to bulk purchasers who already intend to buy large quantities. The business is giving away margin to customers who do not require the incentive to purchase.</w:t>
      </w:r>
    </w:p>
    <w:p>
      <w:pPr>
        <w:spacing w:after="120" w:before="240"/>
      </w:pPr>
      <w:r>
        <w:rPr>
          <w:rFonts w:ascii="Arial" w:cs="Arial" w:eastAsia="Arial" w:hAnsi="Arial"/>
          <w:b/>
          <w:bCs/>
          <w:color w:val="4A4A4A"/>
          <w:sz w:val="24"/>
          <w:szCs w:val="24"/>
        </w:rPr>
        <w:t xml:space="preserve">Strategic Recommendation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RESTRUCTURE discount policy immediately: replace broad markdown availability with a bulk-order threshold system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Proposed threshold: discounts activate only when a single order exceeds a defined minimum unit count (e.g. 50+ units) or minimum rand value (e.g. R500+)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This preserves the volume-driving effect of discounts while eliminating margin leakage on small orders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Expected outcome: discount rate drops from 33.45% while average order value holds steady or increases</w:t>
      </w:r>
    </w:p>
    <w:p>
      <w:pPr>
        <w:spacing w:after="200" w:before="200"/>
      </w:pP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1A1A2E"/>
          <w:sz w:val="28"/>
          <w:szCs w:val="28"/>
        </w:rPr>
        <w:t xml:space="preserve">Dilemma 2: High-Footprint / Low-Velocity Inventory</w:t>
      </w:r>
    </w:p>
    <w:p>
      <w:pPr>
        <w:spacing w:after="120" w:before="240"/>
      </w:pPr>
      <w:r>
        <w:rPr>
          <w:rFonts w:ascii="Arial" w:cs="Arial" w:eastAsia="Arial" w:hAnsi="Arial"/>
          <w:b/>
          <w:bCs/>
          <w:color w:val="4A4A4A"/>
          <w:sz w:val="24"/>
          <w:szCs w:val="24"/>
        </w:rPr>
        <w:t xml:space="preserve">Business Question</w:t>
      </w:r>
    </w:p>
    <w:p>
      <w:pPr>
        <w:spacing w:after="100" w:before="100"/>
      </w:pPr>
      <w:r>
        <w:rPr>
          <w:rFonts w:ascii="Arial" w:cs="Arial" w:eastAsia="Arial" w:hAnsi="Arial"/>
          <w:sz w:val="22"/>
          <w:szCs w:val="22"/>
        </w:rPr>
        <w:t xml:space="preserve">Which product categories are consuming physical warehouse space without generating proportional revenue return?</w:t>
      </w:r>
    </w:p>
    <w:p>
      <w:pPr>
        <w:spacing w:after="120" w:before="240"/>
      </w:pPr>
      <w:r>
        <w:rPr>
          <w:rFonts w:ascii="Arial" w:cs="Arial" w:eastAsia="Arial" w:hAnsi="Arial"/>
          <w:b/>
          <w:bCs/>
          <w:color w:val="4A4A4A"/>
          <w:sz w:val="24"/>
          <w:szCs w:val="24"/>
        </w:rPr>
        <w:t xml:space="preserve">SQL Finding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8B0000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Category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8B0000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Revenue Position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8B0000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Volume Position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Butchers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Highest total revenue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High unit turnover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Electric Household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Strong revenue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High unit volume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Beverages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Strong revenue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High unit volume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Furniture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Lower revenue per unit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Highest order count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Milk Products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Lowest total revenue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Low unit volume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Computers &amp; Electronics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Mid revenue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Lower volume</w:t>
            </w:r>
          </w:p>
        </w:tc>
      </w:tr>
    </w:tbl>
    <w:p>
      <w:pPr>
        <w:spacing w:after="160" w:before="160"/>
      </w:pPr>
    </w:p>
    <w:p>
      <w:pPr>
        <w:spacing w:after="120" w:before="240"/>
      </w:pPr>
      <w:r>
        <w:rPr>
          <w:rFonts w:ascii="Arial" w:cs="Arial" w:eastAsia="Arial" w:hAnsi="Arial"/>
          <w:b/>
          <w:bCs/>
          <w:color w:val="4A4A4A"/>
          <w:sz w:val="24"/>
          <w:szCs w:val="24"/>
        </w:rPr>
        <w:t xml:space="preserve">What This Means</w:t>
      </w:r>
    </w:p>
    <w:p>
      <w:pPr>
        <w:spacing w:after="100" w:before="100"/>
      </w:pPr>
      <w:r>
        <w:rPr>
          <w:rFonts w:ascii="Arial" w:cs="Arial" w:eastAsia="Arial" w:hAnsi="Arial"/>
          <w:sz w:val="22"/>
          <w:szCs w:val="22"/>
        </w:rPr>
        <w:t xml:space="preserve">Furniture presents the classic wholesale inefficiency: high order count (meaning staff time, processing, and warehouse floor space are being consumed) while revenue per unit is disproportionately low. Milk Products represents a low-footprint but also low-revenue category requiring different intervention.</w:t>
      </w:r>
    </w:p>
    <w:p>
      <w:pPr>
        <w:spacing w:after="120" w:before="240"/>
      </w:pPr>
      <w:r>
        <w:rPr>
          <w:rFonts w:ascii="Arial" w:cs="Arial" w:eastAsia="Arial" w:hAnsi="Arial"/>
          <w:b/>
          <w:bCs/>
          <w:color w:val="4A4A4A"/>
          <w:sz w:val="24"/>
          <w:szCs w:val="24"/>
        </w:rPr>
        <w:t xml:space="preserve">Strategic Recommendation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FURNITURE: Introduce minimum order quantity (MOQ) requirements on furniture lines to ensure each transaction justifies the warehouse handling cost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FURNITURE: Negotiate improved supplier margins or introduce a storage surcharge for slow-moving furniture SKUs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MILK PRODUCTS: Evaluate whether this category warrants continued stocking or whether shelf/cold-storage space could be reallocated to Butchers or Beverages which demonstrate superior revenue velocity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BUTCHERS: Prioritise this category for promotional investment — it is your highest revenue generator and should be the anchor of any client acquisition strategy</w:t>
      </w:r>
    </w:p>
    <w:p>
      <w:pPr>
        <w:spacing w:after="200" w:before="200"/>
      </w:pP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1A1A2E"/>
          <w:sz w:val="28"/>
          <w:szCs w:val="28"/>
        </w:rPr>
        <w:t xml:space="preserve">Dilemma 3: Procurement Channel Profitability</w:t>
      </w:r>
    </w:p>
    <w:p>
      <w:pPr>
        <w:spacing w:after="120" w:before="240"/>
      </w:pPr>
      <w:r>
        <w:rPr>
          <w:rFonts w:ascii="Arial" w:cs="Arial" w:eastAsia="Arial" w:hAnsi="Arial"/>
          <w:b/>
          <w:bCs/>
          <w:color w:val="4A4A4A"/>
          <w:sz w:val="24"/>
          <w:szCs w:val="24"/>
        </w:rPr>
        <w:t xml:space="preserve">Business Question</w:t>
      </w:r>
    </w:p>
    <w:p>
      <w:pPr>
        <w:spacing w:after="100" w:before="100"/>
      </w:pPr>
      <w:r>
        <w:rPr>
          <w:rFonts w:ascii="Arial" w:cs="Arial" w:eastAsia="Arial" w:hAnsi="Arial"/>
          <w:sz w:val="22"/>
          <w:szCs w:val="22"/>
        </w:rPr>
        <w:t xml:space="preserve">Does the online digital ordering channel generate higher basket sizes than traditional in-store wholesale purchases? Where should marketing capital be directed?</w:t>
      </w:r>
    </w:p>
    <w:p>
      <w:pPr>
        <w:spacing w:after="120" w:before="240"/>
      </w:pPr>
      <w:r>
        <w:rPr>
          <w:rFonts w:ascii="Arial" w:cs="Arial" w:eastAsia="Arial" w:hAnsi="Arial"/>
          <w:b/>
          <w:bCs/>
          <w:color w:val="4A4A4A"/>
          <w:sz w:val="24"/>
          <w:szCs w:val="24"/>
        </w:rPr>
        <w:t xml:space="preserve">SQL Finding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8B0000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Channel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8B0000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Total Revenue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8B0000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Avg Order Value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In-store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R723,568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R128.82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Online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R749,431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R130.45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Difference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+R25,863 Online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+R1.63 Online</w:t>
            </w:r>
          </w:p>
        </w:tc>
      </w:tr>
    </w:tbl>
    <w:p>
      <w:pPr>
        <w:spacing w:after="160" w:before="160"/>
      </w:pPr>
    </w:p>
    <w:p>
      <w:pPr>
        <w:spacing w:after="120" w:before="240"/>
      </w:pPr>
      <w:r>
        <w:rPr>
          <w:rFonts w:ascii="Arial" w:cs="Arial" w:eastAsia="Arial" w:hAnsi="Arial"/>
          <w:b/>
          <w:bCs/>
          <w:color w:val="4A4A4A"/>
          <w:sz w:val="24"/>
          <w:szCs w:val="24"/>
        </w:rPr>
        <w:t xml:space="preserve">What This Means</w:t>
      </w:r>
    </w:p>
    <w:p>
      <w:pPr>
        <w:spacing w:after="100" w:before="100"/>
      </w:pPr>
      <w:r>
        <w:rPr>
          <w:rFonts w:ascii="Arial" w:cs="Arial" w:eastAsia="Arial" w:hAnsi="Arial"/>
          <w:sz w:val="22"/>
          <w:szCs w:val="22"/>
        </w:rPr>
        <w:t xml:space="preserve">The channel split is near-equal at 49.31% in-store vs 50.69% online by transaction count. However, online consistently outperforms in-store on both total revenue and average order value. The gap is small in absolute terms today, but the strategic implication is significant: online orders cost less to process (no physical retail overhead, no in-store staff time per transaction) while generating a higher basket.</w:t>
      </w:r>
    </w:p>
    <w:p>
      <w:pPr>
        <w:spacing w:after="120" w:before="240"/>
      </w:pPr>
      <w:r>
        <w:rPr>
          <w:rFonts w:ascii="Arial" w:cs="Arial" w:eastAsia="Arial" w:hAnsi="Arial"/>
          <w:b/>
          <w:bCs/>
          <w:color w:val="4A4A4A"/>
          <w:sz w:val="24"/>
          <w:szCs w:val="24"/>
        </w:rPr>
        <w:t xml:space="preserve">Strategic Recommendation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SHIFT marketing budget toward digital channel acquisition — online AOV is higher and processing overhead is lower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Invest in the online ordering portal’s user experience: if the current 50/50 split moves to 60/40 in favour of online, the cost savings on in-store overhead compound significantly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Introduce online-exclusive bulk promotions to widen the AOV gap further and reward digital adoption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Do not abandon in-store: it still represents R723K in revenue. Instead, use in-store interactions to onboard clients onto the digital portal</w:t>
      </w:r>
    </w:p>
    <w:p>
      <w:pPr>
        <w:pBdr>
          <w:bottom w:val="single" w:color="8B0000" w:sz="4" w:space="1"/>
        </w:pBdr>
        <w:spacing w:after="200" w:before="200"/>
      </w:pP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8B0000"/>
          <w:sz w:val="36"/>
          <w:szCs w:val="36"/>
        </w:rPr>
        <w:t xml:space="preserve">Conclusions &amp; Priority Action Matrix</w:t>
      </w:r>
    </w:p>
    <w:p>
      <w:pPr>
        <w:spacing w:after="100" w:before="100"/>
      </w:pPr>
      <w:r>
        <w:rPr>
          <w:rFonts w:ascii="Arial" w:cs="Arial" w:eastAsia="Arial" w:hAnsi="Arial"/>
          <w:sz w:val="22"/>
          <w:szCs w:val="22"/>
        </w:rPr>
        <w:t xml:space="preserve">The following matrix summarises the three strategic recommendations in order of financial impact and implementation urgency:</w:t>
      </w:r>
    </w:p>
    <w:p>
      <w:pPr>
        <w:spacing w:after="160" w:before="1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8B0000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Priority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8B0000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Action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8B0000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Expected Impact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1 — URGENT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Restructure discount policy to bulk-order thresholds only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Recover margin on 33% of all transactions immediately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2 — HIGH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Introduce MOQ on Furniture; review Milk Products stocking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Reduce warehouse cost-per-rand on low-velocity categories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3 — STRATEGIC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Shift marketing investment toward online channel acquisition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Lower processing cost per transaction; grow higher-AOV channel</w:t>
            </w:r>
          </w:p>
        </w:tc>
      </w:tr>
    </w:tbl>
    <w:p>
      <w:pPr>
        <w:spacing w:after="200" w:before="300"/>
      </w:pPr>
    </w:p>
    <w:p>
      <w:pPr>
        <w:spacing w:after="100" w:before="100"/>
      </w:pPr>
      <w:r>
        <w:rPr>
          <w:rFonts w:ascii="Arial" w:cs="Arial" w:eastAsia="Arial" w:hAnsi="Arial"/>
          <w:i/>
          <w:iCs/>
          <w:color w:val="888888"/>
          <w:sz w:val="22"/>
          <w:szCs w:val="22"/>
        </w:rPr>
        <w:t xml:space="preserve">All recommendations in this report are derived directly from verified transactional data. Every figure is traceable to a SQL query run against a mathematically audited dataset. No assumptions were made that are not explicitly documented in the Data Engineering Pipeline section of this report.</w:t>
      </w:r>
    </w:p>
    <w:p>
      <w:pPr>
        <w:pBdr>
          <w:bottom w:val="single" w:color="8B0000" w:sz="4" w:space="1"/>
        </w:pBdr>
        <w:spacing w:after="200" w:before="200"/>
      </w:pP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8B0000"/>
          <w:sz w:val="36"/>
          <w:szCs w:val="36"/>
        </w:rPr>
        <w:t xml:space="preserve">Appendix: Technical Pipeline Summary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8B0000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Tool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8B0000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8B0000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Output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Python (Pandas)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Data extraction, cleaning, imputation, audit trail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Clean CSV (11,362 rows), error log (604 rows)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SQLite (DB Browser)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Relational storage, KPI validation, strategic queries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fact_sales_transactions table, 5 verified KPIs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Tableau Public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Executive dashboard, interactive filtering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4 charts + KPI banner, published dashboard</w:t>
            </w:r>
          </w:p>
        </w:tc>
      </w:tr>
    </w:tbl>
    <w:p>
      <w:pPr>
        <w:spacing w:after="100" w:before="300"/>
      </w:pPr>
    </w:p>
    <w:p>
      <w:pPr>
        <w:spacing w:after="100" w:before="100"/>
      </w:pPr>
      <w:r>
        <w:rPr>
          <w:rFonts w:ascii="Arial" w:cs="Arial" w:eastAsia="Arial" w:hAnsi="Arial"/>
          <w:color w:val="888888"/>
          <w:sz w:val="22"/>
          <w:szCs w:val="22"/>
        </w:rPr>
        <w:t xml:space="preserve">Raw data: 12,575 rows  |  Clean data: 11,362 rows  |  Removed: 1,213 rows  |  Formula violations: 0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CCCCC" w:sz="4" w:space="4"/>
      </w:pBdr>
      <w:jc w:val="center"/>
    </w:pPr>
    <w:r>
      <w:rPr>
        <w:rFonts w:ascii="Arial" w:cs="Arial" w:eastAsia="Arial" w:hAnsi="Arial"/>
        <w:color w:val="888888"/>
        <w:sz w:val="16"/>
        <w:szCs w:val="16"/>
      </w:rPr>
      <w:t xml:space="preserve">Lead Data Analyst: Lindokuhle Nyoka  |  Page </w:t>
    </w:r>
    <w:r>
      <w:rPr>
        <w:rFonts w:ascii="Arial" w:cs="Arial" w:eastAsia="Arial" w:hAnsi="Arial"/>
        <w:color w:val="888888"/>
        <w:sz w:val="16"/>
        <w:szCs w:val="16"/>
      </w:rPr>
      <type>pageNumber</type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8B0000" w:sz="4" w:space="4"/>
      </w:pBdr>
      <w:jc w:val="right"/>
    </w:pPr>
    <w:r>
      <w:rPr>
        <w:rFonts w:ascii="Arial" w:cs="Arial" w:eastAsia="Arial" w:hAnsi="Arial"/>
        <w:color w:val="8B0000"/>
        <w:sz w:val="16"/>
        <w:szCs w:val="16"/>
      </w:rPr>
      <w:t xml:space="preserve">NZIMANDE WHOLESALES — CONFIDENTIAL BUSINESS ANALYSIS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400"/>
      <w:outlineLvl w:val="0"/>
    </w:pPr>
    <w:rPr>
      <w:rFonts w:ascii="Arial" w:cs="Arial" w:eastAsia="Arial" w:hAnsi="Arial"/>
      <w:b/>
      <w:bCs/>
      <w:color w:val="8B0000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60" w:before="300"/>
      <w:outlineLvl w:val="1"/>
    </w:pPr>
    <w:rPr>
      <w:rFonts w:ascii="Arial" w:cs="Arial" w:eastAsia="Arial" w:hAnsi="Arial"/>
      <w:b/>
      <w:bCs/>
      <w:color w:val="1A1A2E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2026-06-15T23:32:05.555Z</dcterms:created>
  <dcterms:modified xsi:type="dcterms:W3CDTF">2026-06-15T23:32:05.555Z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