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 w:line="264" w:lineRule="auto"/>
      </w:pPr>
      <w:r>
        <w:rPr>
          <w:rFonts w:ascii="Calibri" w:hAnsi="Calibri"/>
          <w:b/>
          <w:i w:val="0"/>
          <w:color w:val="6B59DF"/>
          <w:sz w:val="18"/>
        </w:rPr>
        <w:t>PROJECT DOCUMENTATION</w:t>
      </w:r>
    </w:p>
    <w:p>
      <w:pPr>
        <w:spacing w:before="0" w:after="100" w:line="264" w:lineRule="auto"/>
      </w:pPr>
      <w:r>
        <w:rPr>
          <w:rFonts w:ascii="Calibri" w:hAnsi="Calibri"/>
          <w:b/>
          <w:i w:val="0"/>
          <w:color w:val="18233A"/>
          <w:sz w:val="52"/>
        </w:rPr>
        <w:t>Katalon TestOps Automation</w:t>
        <w:br/>
        <w:t>Management Dashboard</w:t>
      </w:r>
    </w:p>
    <w:p>
      <w:pPr>
        <w:spacing w:before="0" w:after="300" w:line="264" w:lineRule="auto"/>
      </w:pPr>
      <w:r>
        <w:rPr>
          <w:rFonts w:ascii="Calibri" w:hAnsi="Calibri"/>
          <w:b w:val="0"/>
          <w:i w:val="0"/>
          <w:color w:val="677385"/>
          <w:sz w:val="26"/>
        </w:rPr>
        <w:t>An executive view of automation growth, execution health, stability, and project performance.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8233A"/>
          <w:sz w:val="20"/>
        </w:rPr>
        <w:t xml:space="preserve">Prepared: </w:t>
      </w:r>
      <w:r>
        <w:rPr>
          <w:rFonts w:ascii="Calibri" w:hAnsi="Calibri"/>
          <w:b w:val="0"/>
          <w:i w:val="0"/>
          <w:color w:val="677385"/>
          <w:sz w:val="20"/>
        </w:rPr>
        <w:t>August 16, 2026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8233A"/>
          <w:sz w:val="20"/>
        </w:rPr>
        <w:t xml:space="preserve">Application: </w:t>
      </w:r>
      <w:r>
        <w:rPr>
          <w:rFonts w:ascii="Calibri" w:hAnsi="Calibri"/>
          <w:b w:val="0"/>
          <w:i w:val="0"/>
          <w:color w:val="677385"/>
          <w:sz w:val="20"/>
        </w:rPr>
        <w:t>Private hosted dashboard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8233A"/>
          <w:sz w:val="20"/>
        </w:rPr>
        <w:t xml:space="preserve">Primary source: </w:t>
      </w:r>
      <w:r>
        <w:rPr>
          <w:rFonts w:ascii="Calibri" w:hAnsi="Calibri"/>
          <w:b w:val="0"/>
          <w:i w:val="0"/>
          <w:color w:val="677385"/>
          <w:sz w:val="20"/>
        </w:rPr>
        <w:t>katalon_testops_sample_dataset.csv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8233A"/>
          <w:sz w:val="20"/>
        </w:rPr>
        <w:t xml:space="preserve">Technology: </w:t>
      </w:r>
      <w:r>
        <w:rPr>
          <w:rFonts w:ascii="Calibri" w:hAnsi="Calibri"/>
          <w:b w:val="0"/>
          <w:i w:val="0"/>
          <w:color w:val="677385"/>
          <w:sz w:val="20"/>
        </w:rPr>
        <w:t>React/Vinext, TypeScript, Python, SQLite/D1</w:t>
      </w:r>
    </w:p>
    <w:p>
      <w:pPr>
        <w:spacing w:before="30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6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Calibri" w:hAnsi="Calibri"/>
          <w:b w:val="0"/>
          <w:i/>
          <w:color w:val="677385"/>
          <w:sz w:val="16"/>
        </w:rPr>
        <w:t>Figure 1. Live executive dashboard using the supplied CSV dataset.</w:t>
      </w:r>
    </w:p>
    <w:p>
      <w:r>
        <w:br w:type="page"/>
      </w:r>
    </w:p>
    <w:p>
      <w:pPr>
        <w:pStyle w:val="Heading1"/>
        <w:keepNext/>
        <w:spacing w:before="320" w:after="16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8233A"/>
          <w:sz w:val="22"/>
        </w:rPr>
        <w:t>The dashboard centralizes Katalon TestOps automation reporting across WebOps, Salesforce, BSP Services, and MyKC. It replaces manual weekly reporting with a management-level view that can answer how much automation exists, whether coverage is growing, how often tests run, which projects are healthy, and where stability requires attention.</w:t>
      </w:r>
    </w:p>
    <w:p>
      <w:pPr>
        <w:pStyle w:val="Heading2"/>
        <w:keepNext/>
        <w:spacing w:before="240" w:after="120"/>
      </w:pP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One portfolio view for QE leadership instead of project-by-project spreadsheets.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Consistent definitions for pass rate, failure rate, growth, and flakiness.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Historical weekly and monthly trends that support period-over-period conversations.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Screenshot- and PDF-friendly presentation with low-level technical detail available through drill-down.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Extensible ingestion: Katalon API connectivity plus repeatable monthly CSV imports.</w:t>
      </w:r>
    </w:p>
    <w:p>
      <w:pPr>
        <w:pStyle w:val="Heading2"/>
        <w:keepNext/>
        <w:spacing w:before="240" w:after="1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8233A"/>
                <w:sz w:val="20"/>
              </w:rPr>
              <w:t>Area</w:t>
            </w:r>
          </w:p>
        </w:tc>
        <w:tc>
          <w:tcPr>
            <w:tcW w:type="dxa" w:w="727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8233A"/>
                <w:sz w:val="20"/>
              </w:rPr>
              <w:t>What was built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Executive summary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Portfolio health, automated tests, new tests, pass rate, runs, comparisons, and refresh state.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Growth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Weekly new-test bars, cumulative context, and project-level additions.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Execution health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Passed/failed/skipped distribution, weekly pass-rate trend, and execution volume.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Project performance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Per-project tests, execution outcomes, duration, status, and drill-down entry point.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Stability &amp; failures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Flaky-test counts, repeat failures, top failing tests, and extensible failure categories.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Data management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API-ready integration, normalized analytics schema, snapshots, and CSV import with validation.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Sharing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Print/PDF export, responsive layout, private hosted URL, and social preview asset.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320" w:after="160"/>
      </w:pPr>
    </w:p>
    <w:p>
      <w:pPr>
        <w:pStyle w:val="Heading2"/>
        <w:keepNext/>
        <w:spacing w:before="240" w:after="12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8233A"/>
          <w:sz w:val="22"/>
        </w:rPr>
        <w:t>The active source is katalon_testops_sample_dataset.csv, supplied for the project and copied into the repository under sources/. A SHA-256 comparison confirmed the repository copy matches the supplied file.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9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8233A"/>
                <w:sz w:val="20"/>
              </w:rPr>
              <w:t>Property</w:t>
            </w:r>
          </w:p>
        </w:tc>
        <w:tc>
          <w:tcPr>
            <w:tcW w:type="dxa" w:w="626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8233A"/>
                <w:sz w:val="20"/>
              </w:rPr>
              <w:t>Observed value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Rows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2,063 execution-result records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Projects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4: BSP Services, MyKC, Salesforce, WebOps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Distinct automated tests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144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Distinct runs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96 across the full file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Execution date range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May 26 through August 15, 2026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Latest 30-day window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1,117 results; 1,021 passed; 61 failed; 35 skipped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Latest-window pass rate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94.4% using Passed / (Passed + Failed)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Stability signals</w:t>
            </w:r>
          </w:p>
        </w:tc>
        <w:tc>
          <w:tcPr>
            <w:tcW w:type="dxa" w:w="62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27 flaky tests and 27 repeat-failure rows in the latest window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40" w:after="12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8233A"/>
          <w:sz w:val="22"/>
        </w:rPr>
        <w:t>The dataset contains execution and test identifiers, project and suite names, test creation timestamps, execution timestamps, environment, browser, status, duration, retry attempts, flakiness flags, repeat-failure indicators, failure category, agent name, and Katalon version. These fields support both executive aggregates and later drill-down.</w:t>
      </w:r>
    </w:p>
    <w:p>
      <w:pPr>
        <w:pStyle w:val="Heading2"/>
        <w:keepNext/>
        <w:spacing w:before="240" w:after="120"/>
      </w:pP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CSV files are validated before replacing the active source.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Required fields include execution_id, run_id, project_name, test_case_id, test_case_created_at, execution_started_at, status, and duration_seconds.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Optional flakiness and failure-category fields enrich the management view.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Successful imports retain the original CSV and a calculated summary; the latest successful import is loaded on future visits.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Invalid files never replace the current dataset.</w:t>
      </w:r>
    </w:p>
    <w:p>
      <w:r>
        <w:br w:type="page"/>
      </w:r>
    </w:p>
    <w:p>
      <w:pPr>
        <w:pStyle w:val="Heading1"/>
        <w:keepNext/>
        <w:spacing w:before="320" w:after="16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8233A"/>
          <w:sz w:val="22"/>
        </w:rPr>
        <w:t>The solution separates collection, storage, metric calculation, and presentation. The initial hosted application uses a React/Vinext interface and Cloudflare D1-compatible persistence, while the Python layer provides a reusable Katalon client and SQLite proof-of-concept path.</w:t>
      </w:r>
    </w:p>
    <w:p>
      <w:pPr>
        <w:pStyle w:val="ListNumber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Katalon TestOps API or monthly CSV export</w:t>
      </w:r>
    </w:p>
    <w:p>
      <w:pPr>
        <w:pStyle w:val="ListNumber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Defensive ingestion and validation layer</w:t>
      </w:r>
    </w:p>
    <w:p>
      <w:pPr>
        <w:pStyle w:val="ListNumber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Normalized local analytics database and daily snapshots</w:t>
      </w:r>
    </w:p>
    <w:p>
      <w:pPr>
        <w:pStyle w:val="ListNumber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Pure metric calculations with documented definitions</w:t>
      </w:r>
    </w:p>
    <w:p>
      <w:pPr>
        <w:pStyle w:val="ListNumber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Dashboard API and executive React interface</w:t>
      </w:r>
    </w:p>
    <w:p>
      <w:pPr>
        <w:pStyle w:val="Heading2"/>
        <w:keepNext/>
        <w:spacing w:before="240" w:after="1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8233A"/>
                <w:sz w:val="20"/>
              </w:rPr>
              <w:t>Component</w:t>
            </w:r>
          </w:p>
        </w:tc>
        <w:tc>
          <w:tcPr>
            <w:tcW w:type="dxa" w:w="381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8233A"/>
                <w:sz w:val="20"/>
              </w:rPr>
              <w:t>Responsibility</w:t>
            </w:r>
          </w:p>
        </w:tc>
        <w:tc>
          <w:tcPr>
            <w:tcW w:type="dxa" w:w="381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8233A"/>
                <w:sz w:val="20"/>
              </w:rPr>
              <w:t>Representative assets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Integration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Authentication from environment variables, pagination, retry/backoff, shape discovery.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backend/katalon/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Analytics storage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Projects, tests, executions, results, daily metrics, CSV imports.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backend/database/, db/, drizzle/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Metrics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Pass/failure rates, growth, health thresholds, flakiness.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backend/metrics/, lib/csv-metrics.ts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Application API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Stores and retrieves monthly CSV imports.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app/api/imports/route.ts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Management UI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KPIs, trends, project health, failures, summary, imports.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app/Dashboard.tsx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Configuration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Projects, thresholds, refresh behavior, secret names.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config/projects.yaml, .env.example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40" w:after="120"/>
      </w:pP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Pass rate excludes skipped and error statuses: Passed / (Passed + Failed).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Duplicate execution records are prevented through execution IDs and composite result keys.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Growth uses test creation timestamps; daily snapshots are the fallback when timestamps are unavailable.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Reporting windows are anchored to the maximum execution date in the active dataset, not the machine clock.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Failure category defaults to Unknown while retaining room for Product, Automation, and Environment classifications.</w:t>
      </w:r>
    </w:p>
    <w:p>
      <w:r>
        <w:br w:type="page"/>
      </w:r>
    </w:p>
    <w:p>
      <w:pPr>
        <w:pStyle w:val="Heading1"/>
        <w:keepNext/>
        <w:spacing w:before="320" w:after="16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8233A"/>
          <w:sz w:val="22"/>
        </w:rPr>
        <w:t>The build was driven through a sequence of natural-language prompts. The prompts below are concise records of the actual intent used during the workflow; the first prompt was substantially longer and supplied the complete metric, architecture, data-model, and UI specification.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8233A"/>
                <w:sz w:val="20"/>
              </w:rPr>
              <w:t>Stage</w:t>
            </w:r>
          </w:p>
        </w:tc>
        <w:tc>
          <w:tcPr>
            <w:tcW w:type="dxa" w:w="7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8233A"/>
                <w:sz w:val="20"/>
              </w:rPr>
              <w:t>Prompt / instruction used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Initial build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“Build a Katalon TestOps Automation Management Dashboard” followed by detailed requirements for executive KPIs, weekly growth, project metrics, execution trends, failures, flakiness, duration, thresholds, filters, comparisons, drill-down, SQLite/PostgreSQL-ready storage, snapshots, exports, architecture, and phased delivery.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Data-source change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“Ensure you use this as data source. Also, add a feature to import CSV as source for future months.”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Social preview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“Create a polished executive automation quality dashboard social card” matching the dashboard’s navy, violet, white, green, amber, and red visual system, with exact text “AUTOMATION HEALTH” and “95.5% PASS RATE.”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Documentation &amp; handoff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“Create project documentation explaining what you built,” including datasets, vibe-coding prompts, iterations, learnings, a short demo video, and a GitHub link.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40" w:after="120"/>
      </w:pP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Translated a broad management objective into a working application architecture and implementation plan.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Generated the UI, CSV parser, metric engine, API route, database schema, migrations, tests, documentation, and deployment package.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Inspected the supplied dataset to reconcile dashboard figures with source records.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Iterated from compilation and runtime feedback rather than treating generated code as final.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Captured and verified the live hosted interface for the demo and project handoff.</w:t>
      </w:r>
    </w:p>
    <w:p>
      <w:r>
        <w:br w:type="page"/>
      </w:r>
    </w:p>
    <w:p>
      <w:pPr>
        <w:pStyle w:val="Heading1"/>
        <w:keepNext/>
        <w:spacing w:before="320" w:after="16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8233A"/>
                <w:sz w:val="20"/>
              </w:rPr>
              <w:t>Iteration</w:t>
            </w:r>
          </w:p>
        </w:tc>
        <w:tc>
          <w:tcPr>
            <w:tcW w:type="dxa" w:w="381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8233A"/>
                <w:sz w:val="20"/>
              </w:rPr>
              <w:t>What changed</w:t>
            </w:r>
          </w:p>
        </w:tc>
        <w:tc>
          <w:tcPr>
            <w:tcW w:type="dxa" w:w="3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8233A"/>
                <w:sz w:val="20"/>
              </w:rPr>
              <w:t>Why it mattered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1. Executive visual prototype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Built the first management screen with representative KPIs, growth, distribution, trends, projects, stability, and summary.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Established information hierarchy and leadership-ready visual direction before live integration.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2. Integration foundation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Added environment-based credentials, paginated Katalon client, retries, normalized storage, snapshots, and tested metrics.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Separated API uncertainty from analytics logic and avoided hard-coded credentials or project IDs.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3. Source-backed dashboard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Replaced representative values with aggregates from the supplied 2,063-row CSV.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Made the management story traceable to an actual dataset.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4. Monthly import workflow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Added drag/drop CSV upload, required-column validation, 5 MB limit, recalculation, durable storage, and latest-import loading.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Made future reporting repeatable without changing application code.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5. Data reconciliation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Anchored the default 30-day window to the latest execution date, validated 144 tests and 94.4% pass rate, and added source labels.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Prevented misleading results when sample data dates differ from the current clock.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6. Production hardening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Added D1 migration, build/tests, responsive/print styling, private deployment, and documentation.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Converted a prototype into a shareable proof of concept.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40" w:after="120"/>
      </w:pP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The first dependency setup path was not available in the Windows shell, so the equivalent bundled runtime path was used.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A CSV summary helper initially referenced an undeclared prior-week variable; source-level verification caught and corrected it.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Generated Python cache files were removed from version control and permanently ignored.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The first dashboard used sample values; these were intentionally replaced once the real CSV was provided.</w:t>
      </w:r>
    </w:p>
    <w:p>
      <w:r>
        <w:br w:type="page"/>
      </w:r>
    </w:p>
    <w:p>
      <w:pPr>
        <w:pStyle w:val="Heading1"/>
        <w:keepNext/>
        <w:spacing w:before="320" w:after="160"/>
      </w:pPr>
    </w:p>
    <w:p>
      <w:pPr>
        <w:pStyle w:val="Heading2"/>
        <w:keepNext/>
        <w:spacing w:before="240" w:after="120"/>
      </w:pP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Management dashboards benefit from a strong first-screen hierarchy: four KPIs, two trend panels, project health, and a plain-language summary were easier to interpret than a dense execution table.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Metric definitions must be explicit. A pass rate that includes skipped tests would have told a different story from the documented Passed / (Passed + Failed) definition.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Growth is impossible to reconstruct reliably from only a current test count. Test creation dates or daily snapshots are essential.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A reporting window should be anchored to the dataset’s latest date for static or delayed exports; anchoring to today can create an empty dashboard.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CSV import is a practical bridge while TestOps endpoint shapes and tenant permissions are being validated. It also provides an auditable fallback for monthly leadership reporting.</w:t>
      </w:r>
    </w:p>
    <w:p>
      <w:pPr>
        <w:pStyle w:val="Heading2"/>
        <w:keepNext/>
        <w:spacing w:before="240" w:after="120"/>
      </w:pP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Large prompts are useful for establishing scope, but implementation quality improved when the work was divided into bounded slices: visual shell, integration, storage, metrics, live data, imports, and publishing.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AI-generated code still requires reconciliation against source data, builds, migrations, and targeted assertions. The most valuable verification was checking exact row counts and KPI totals.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A reusable parser and pure metric functions are safer than embedding calculations directly in UI components.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Clear file boundaries made later changes faster: swapping the data source did not require redesigning the dashboard.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The best vibe-coding workflow was conversational but evidence-driven: prompt, build, inspect, test, correct, and only then publish.</w:t>
      </w:r>
    </w:p>
    <w:p>
      <w:pPr>
        <w:pStyle w:val="Heading2"/>
        <w:keepNext/>
        <w:spacing w:before="240" w:after="120"/>
      </w:pP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Complete Phase 1 against the organization’s live Katalon TestOps tenant and confirm endpoint/field mappings.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Add scheduled incremental synchronization and operational alerting for failed imports or stale data.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Add role-based access for import actions and an import-history screen with rollback.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Expand technical drill-down routes for suites, executions, and individual test cases.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Add server-generated Excel and management-report exports after live database queries are fully wired.</w:t>
      </w:r>
    </w:p>
    <w:p>
      <w:r>
        <w:br w:type="page"/>
      </w:r>
    </w:p>
    <w:p>
      <w:pPr>
        <w:pStyle w:val="Heading1"/>
        <w:keepNext/>
        <w:spacing w:before="320" w:after="16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8233A"/>
          <w:sz w:val="22"/>
        </w:rPr>
        <w:t>The final application was validated through a production Vinext build, source-backed CSV assertions, UI content tests, metric checks, D1 migration generation, and a private deployment. The supplied CSV reconciled to 2,063 rows, 144 distinct tests, four projects, 1,117 results in the latest 30-day window, and a 94.4% pass rate.</w:t>
      </w:r>
    </w:p>
    <w:p>
      <w:pPr>
        <w:pStyle w:val="Heading2"/>
        <w:keepNext/>
        <w:spacing w:before="240" w:after="120"/>
      </w:pP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How many automated tests exist and how many were added this week?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Is execution volume increasing, and what is the overall pass rate?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Which project performs best and which needs attention?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Are failures, repeat failures, or flaky tests becoming a management concern?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How long do executions take, and which projects are slower?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What changed relative to the prior reporting period?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/>
          <w:b w:val="0"/>
          <w:i w:val="0"/>
          <w:color w:val="18233A"/>
          <w:sz w:val="22"/>
        </w:rPr>
        <w:t>Which source file is active, and can next month’s data be imported safely?</w:t>
      </w:r>
    </w:p>
    <w:p>
      <w:pPr>
        <w:pStyle w:val="Heading2"/>
        <w:keepNext/>
        <w:spacing w:before="240" w:after="1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8233A"/>
                <w:sz w:val="20"/>
              </w:rPr>
              <w:t>Deliverable</w:t>
            </w:r>
          </w:p>
        </w:tc>
        <w:tc>
          <w:tcPr>
            <w:tcW w:type="dxa" w:w="676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8233A"/>
                <w:sz w:val="20"/>
              </w:rPr>
              <w:t>Location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Live dashboard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https://katalon-automation-health.satyamlowhitha.chatgpt.site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Source dataset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sources/katalon_testops_sample_dataset.csv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Setup and technical guide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README.md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Project documentation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deliverables/Katalon_Automation_Dashboard_Project_Documentation.docx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Demo video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18233A"/>
                <w:sz w:val="19"/>
              </w:rPr>
              <w:t>deliverables/Katalon_Automation_Dashboard_Demo.mp4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77385"/>
        <w:sz w:val="16"/>
      </w:rPr>
      <w:t xml:space="preserve">Project documentation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/>
        <w:b/>
        <w:i w:val="0"/>
        <w:color w:val="677385"/>
        <w:sz w:val="16"/>
      </w:rPr>
      <w:t>KATALON TESTOPS AUTOMATION MANAGEMENT DASHBOARD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23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