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Default Extension="jpg" ContentType="image/jpeg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header2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docProps/core.xml" Id="rId1" /><Relationship Type="http://schemas.openxmlformats.org/officeDocument/2006/relationships/officeDocument" Target="word/document.xml" Id="rId2" /><Relationship Type="http://schemas.openxmlformats.org/officeDocument/2006/relationships/extended-properties" Target="docProps/app.xml" Id="Rc5fb2f6ac0444ecf" 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mc:Ignorable="wp14">
  <w:body>
    <w:p w:rsidR="098615D1" w:rsidP="098615D1" w:rsidRDefault="098615D1" w14:paraId="7E330E38" w14:textId="189723F5">
      <w:pPr>
        <w:pStyle w:val="Normal"/>
        <w:tabs>
          <w:tab w:val="left" w:leader="none" w:pos="1507"/>
        </w:tabs>
        <w:spacing w:after="0" w:line="240" w:lineRule="auto"/>
      </w:pPr>
      <w:r w:rsidR="3BD64B38">
        <w:drawing>
          <wp:anchor distT="0" distB="0" distL="114300" distR="114300" simplePos="0" relativeHeight="251658240" behindDoc="0" locked="0" layoutInCell="1" allowOverlap="1" wp14:anchorId="3FE50C40" wp14:editId="04727045">
            <wp:simplePos x="0" y="0"/>
            <wp:positionH relativeFrom="column">
              <wp:posOffset>-400050</wp:posOffset>
            </wp:positionH>
            <wp:positionV relativeFrom="paragraph">
              <wp:posOffset>-628650</wp:posOffset>
            </wp:positionV>
            <wp:extent cx="7627785" cy="1851201"/>
            <wp:effectExtent l="0" t="0" r="0" b="0"/>
            <wp:wrapNone/>
            <wp:docPr id="2067492396" name="draw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7492396" name="Picture 2067492396"/>
                    <pic:cNvPicPr/>
                  </pic:nvPicPr>
                  <pic:blipFill>
                    <a:blip r:embed="R6b2a76200c0f4a89">
                      <a:extLst>
                        <a:ext uri="{28A0092B-C50C-407E-A947-70E740481C1C}">
                          <a14:useLocalDpi/>
                        </a:ext>
                      </a:extLst>
                    </a:blip>
                    <a:srcRect l="0" t="7684" r="0" b="2756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7627785" cy="18512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98615D1" w:rsidP="098615D1" w:rsidRDefault="098615D1" w14:paraId="7936E2F5" w14:textId="206651EC">
      <w:pPr>
        <w:pStyle w:val="Normal"/>
        <w:tabs>
          <w:tab w:val="left" w:leader="none" w:pos="1507"/>
        </w:tabs>
        <w:spacing w:after="0" w:line="240" w:lineRule="auto"/>
      </w:pPr>
    </w:p>
    <w:p w:rsidR="3BD64B38" w:rsidP="3BD64B38" w:rsidRDefault="3BD64B38" w14:paraId="0EA6A41B" w14:textId="18BF6A54">
      <w:pPr>
        <w:pStyle w:val="Normal"/>
        <w:tabs>
          <w:tab w:val="left" w:leader="none" w:pos="1507"/>
        </w:tabs>
        <w:spacing w:after="0"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4"/>
          <w:szCs w:val="24"/>
          <w:lang w:val="en-US"/>
        </w:rPr>
      </w:pPr>
    </w:p>
    <w:p w:rsidR="3BD64B38" w:rsidP="3BD64B38" w:rsidRDefault="3BD64B38" w14:paraId="2CB91225" w14:textId="45EAE008">
      <w:pPr>
        <w:pStyle w:val="Normal"/>
        <w:tabs>
          <w:tab w:val="left" w:leader="none" w:pos="1507"/>
        </w:tabs>
        <w:spacing w:after="0"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4"/>
          <w:szCs w:val="24"/>
          <w:lang w:val="en-US"/>
        </w:rPr>
      </w:pPr>
    </w:p>
    <w:p w:rsidR="3BD64B38" w:rsidP="3BD64B38" w:rsidRDefault="3BD64B38" w14:paraId="7CAE9521" w14:textId="075AC771">
      <w:pPr>
        <w:pStyle w:val="Normal"/>
        <w:tabs>
          <w:tab w:val="left" w:leader="none" w:pos="1507"/>
        </w:tabs>
        <w:spacing w:after="0"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4"/>
          <w:szCs w:val="24"/>
          <w:lang w:val="en-US"/>
        </w:rPr>
      </w:pPr>
    </w:p>
    <w:p w:rsidR="3BD64B38" w:rsidP="3BD64B38" w:rsidRDefault="3BD64B38" w14:paraId="1AEFDA21" w14:textId="6FF221B5">
      <w:pPr>
        <w:pStyle w:val="Normal"/>
        <w:tabs>
          <w:tab w:val="left" w:leader="none" w:pos="1507"/>
        </w:tabs>
        <w:spacing w:after="0"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4"/>
          <w:szCs w:val="24"/>
          <w:lang w:val="en-US"/>
        </w:rPr>
      </w:pPr>
    </w:p>
    <w:p w:rsidR="4D100090" w:rsidP="4D100090" w:rsidRDefault="4D100090" w14:paraId="6BBE7897" w14:textId="22E3579B">
      <w:pPr>
        <w:pStyle w:val="Normal"/>
        <w:tabs>
          <w:tab w:val="left" w:leader="none" w:pos="1507"/>
        </w:tabs>
        <w:spacing w:after="0"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4"/>
          <w:szCs w:val="24"/>
          <w:lang w:val="en-US"/>
        </w:rPr>
      </w:pPr>
    </w:p>
    <w:p w:rsidR="237B83BB" w:rsidP="00C1CB70" w:rsidRDefault="237B83BB" w14:paraId="6F72AE3A" w14:textId="52A12535">
      <w:pPr>
        <w:pStyle w:val="Normal"/>
        <w:tabs>
          <w:tab w:val="left" w:leader="none" w:pos="1507"/>
        </w:tabs>
        <w:spacing w:after="0" w:line="240" w:lineRule="auto"/>
        <w:jc w:val="right"/>
      </w:pPr>
      <w:r w:rsidRPr="098615D1" w:rsidR="237B83BB"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4"/>
          <w:szCs w:val="24"/>
          <w:lang w:val="en-US"/>
        </w:rPr>
        <w:t>Eixo Temático: 3 - Inteligência Artificial, Transformação Digital e Tecnologias Emergentes</w:t>
      </w:r>
      <w:r w:rsidRPr="098615D1" w:rsidR="237B83BB"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4"/>
          <w:szCs w:val="24"/>
          <w:lang w:val="en-US"/>
        </w:rPr>
        <w:t xml:space="preserve"/>
      </w:r>
      <w:r w:rsidRPr="098615D1" w:rsidR="148F2071"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4"/>
          <w:szCs w:val="24"/>
          <w:lang w:val="en-US"/>
        </w:rPr>
        <w:t/>
      </w:r>
    </w:p>
    <w:p w:rsidR="237B83BB" w:rsidP="4D100090" w:rsidRDefault="237B83BB" w14:paraId="00F281EF" w14:textId="404CB37B">
      <w:pPr>
        <w:pStyle w:val="Normal"/>
        <w:suppressLineNumbers w:val="0"/>
        <w:tabs>
          <w:tab w:val="left" w:leader="none" w:pos="1507"/>
        </w:tabs>
        <w:bidi w:val="0"/>
        <w:spacing w:before="0" w:beforeAutospacing="off" w:after="0" w:afterAutospacing="off" w:line="240" w:lineRule="auto"/>
        <w:ind w:left="0" w:right="0"/>
        <w:jc w:val="right"/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4"/>
          <w:szCs w:val="24"/>
          <w:lang w:val="en-US"/>
        </w:rPr>
      </w:pPr>
      <w:r w:rsidRPr="4D100090" w:rsidR="148F2071"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4"/>
          <w:szCs w:val="24"/>
          <w:lang w:val="en-US"/>
        </w:rPr>
        <w:t>Linha Temática: II. Desenvolvimento de software e sistemas inteligentes</w:t>
      </w:r>
      <w:r w:rsidRPr="4D100090" w:rsidR="148F2071"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4"/>
          <w:szCs w:val="24"/>
          <w:lang w:val="en-US"/>
        </w:rPr>
        <w:t xml:space="preserve"/>
      </w:r>
      <w:r w:rsidRPr="4D100090" w:rsidR="6AC84855"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4"/>
          <w:szCs w:val="24"/>
          <w:lang w:val="en-US"/>
        </w:rPr>
        <w:t/>
      </w:r>
    </w:p>
    <w:p w:rsidR="00C1CB70" w:rsidP="4D100090" w:rsidRDefault="00C1CB70" w14:paraId="605510E9" w14:textId="27732260">
      <w:pPr>
        <w:tabs>
          <w:tab w:val="left" w:leader="none" w:pos="1507"/>
        </w:tabs>
        <w:spacing w:after="0" w:line="240" w:lineRule="auto"/>
        <w:rPr>
          <w:rFonts w:ascii="Times New Roman" w:hAnsi="Times New Roman" w:eastAsia="Times New Roman" w:cs="Times New Roman"/>
          <w:b w:val="1"/>
          <w:bCs w:val="1"/>
          <w:sz w:val="22"/>
          <w:szCs w:val="22"/>
          <w:lang w:val="en-US"/>
        </w:rPr>
      </w:pPr>
    </w:p>
    <w:p w:rsidP="0044AC81" w:rsidRDefault="00000000" w14:paraId="00000003" w14:textId="332063DF">
      <w:pPr>
        <w:tabs>
          <w:tab w:val="left" w:leader="none" w:pos="1507"/>
        </w:tabs>
        <w:spacing w:after="0" w:line="24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  <w:r w:rsidRPr="7B391952" w:rsidR="18A18DBB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 xml:space="preserve">Mediação inteligente na gestão docente: relato de experiência da integração de agente autônomo ao Canvas LMS via MCP e Telegram</w:t>
      </w:r>
      <w:r w:rsidRPr="7B391952" w:rsidR="47C130B8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/>
      </w:r>
      <w:r w:rsidRPr="7B391952" w:rsidR="248B0F50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/>
      </w:r>
      <w:r w:rsidRPr="7B391952" w:rsidR="4F2A140E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/>
      </w:r>
    </w:p>
    <w:p w:rsidRDefault="00000000" w14:paraId="00000004" w14:textId="77777777">
      <w:pPr>
        <w:tabs>
          <w:tab w:val="left" w:leader="none" w:pos="1507"/>
          <w:tab w:val="left" w:leader="none" w:pos="2049"/>
        </w:tabs>
        <w:spacing w:after="0" w:line="240" w:lineRule="auto"/>
        <w:rPr>
          <w:rFonts w:ascii="Times New Roman" w:hAnsi="Times New Roman" w:eastAsia="Times New Roman" w:cs="Times New Roman"/>
          <w:b w:val="1"/>
          <w:sz w:val="24"/>
          <w:szCs w:val="24"/>
        </w:rPr>
      </w:pPr>
      <w:r>
        <w:rPr>
          <w:rtl w:val="0"/>
        </w:rPr>
      </w:r>
    </w:p>
    <w:p w:rsidP="0044AC81" w:rsidRDefault="00000000" w14:paraId="00000005" w14:textId="77777777">
      <w:pPr>
        <w:tabs>
          <w:tab w:val="left" w:leader="none" w:pos="1507"/>
          <w:tab w:val="left" w:leader="none" w:pos="2049"/>
        </w:tabs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3BD64B38" w:rsidR="0044AC81">
        <w:rPr>
          <w:rFonts w:ascii="Times New Roman" w:hAnsi="Times New Roman" w:eastAsia="Times New Roman" w:cs="Times New Roman"/>
          <w:sz w:val="24"/>
          <w:szCs w:val="24"/>
          <w:lang w:val="en-US"/>
        </w:rPr>
        <w:t>Karan Luciano Silva1*</w:t>
      </w:r>
      <w:r w:rsidRPr="3BD64B38" w:rsidR="0044AC81">
        <w:rPr>
          <w:rFonts w:ascii="Times New Roman" w:hAnsi="Times New Roman" w:eastAsia="Times New Roman" w:cs="Times New Roman"/>
          <w:sz w:val="24"/>
          <w:szCs w:val="24"/>
          <w:vertAlign w:val="superscript"/>
          <w:lang w:val="en-US"/>
        </w:rPr>
        <w:t/>
      </w:r>
      <w:r w:rsidRPr="3BD64B38" w:rsidR="0044AC81">
        <w:rPr>
          <w:rFonts w:ascii="Times New Roman" w:hAnsi="Times New Roman" w:eastAsia="Times New Roman" w:cs="Times New Roman"/>
          <w:sz w:val="24"/>
          <w:szCs w:val="24"/>
          <w:lang w:val="en-US"/>
        </w:rPr>
        <w:t/>
      </w:r>
      <w:r w:rsidRPr="3BD64B38" w:rsidR="0044AC81">
        <w:rPr>
          <w:rFonts w:ascii="Times New Roman" w:hAnsi="Times New Roman" w:eastAsia="Times New Roman" w:cs="Times New Roman"/>
          <w:sz w:val="24"/>
          <w:szCs w:val="24"/>
          <w:vertAlign w:val="superscript"/>
          <w:lang w:val="en-US"/>
        </w:rPr>
        <w:t/>
      </w:r>
      <w:r w:rsidRPr="3BD64B38" w:rsidR="0044AC81">
        <w:rPr>
          <w:rFonts w:ascii="Times New Roman" w:hAnsi="Times New Roman" w:eastAsia="Times New Roman" w:cs="Times New Roman"/>
          <w:sz w:val="24"/>
          <w:szCs w:val="24"/>
          <w:lang w:val="en-US"/>
        </w:rPr>
        <w:t/>
      </w:r>
      <w:r w:rsidRPr="3BD64B38" w:rsidR="0044AC81">
        <w:rPr>
          <w:rFonts w:ascii="Times New Roman" w:hAnsi="Times New Roman" w:eastAsia="Times New Roman" w:cs="Times New Roman"/>
          <w:sz w:val="24"/>
          <w:szCs w:val="24"/>
          <w:vertAlign w:val="superscript"/>
          <w:lang w:val="en-US"/>
        </w:rPr>
        <w:t/>
      </w:r>
      <w:r w:rsidRPr="3BD64B38" w:rsidR="0044AC81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/>
      </w:r>
      <w:r w:rsidRPr="3BD64B38" w:rsidR="0044AC81">
        <w:rPr>
          <w:rFonts w:ascii="Times New Roman" w:hAnsi="Times New Roman" w:eastAsia="Times New Roman" w:cs="Times New Roman"/>
          <w:color w:val="EE0000"/>
          <w:sz w:val="24"/>
          <w:szCs w:val="24"/>
          <w:highlight w:val="yellow"/>
          <w:lang w:val="en-US"/>
        </w:rPr>
        <w:t/>
      </w:r>
      <w:r>
        <w:rPr>
          <w:rtl w:val="0"/>
        </w:rPr>
      </w:r>
    </w:p>
    <w:p w:rsidRDefault="00000000" w14:paraId="00000006" w14:textId="77777777">
      <w:pPr>
        <w:tabs>
          <w:tab w:val="left" w:leader="none" w:pos="1507"/>
          <w:tab w:val="left" w:leader="none" w:pos="2049"/>
        </w:tabs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vertAlign w:val="superscript"/>
        </w:rPr>
      </w:pPr>
      <w:r>
        <w:rPr>
          <w:rtl w:val="0"/>
        </w:rPr>
      </w:r>
    </w:p>
    <w:p w:rsidP="0044AC81" w:rsidRDefault="00000000" w14:paraId="00000007" w14:textId="77777777">
      <w:pPr>
        <w:tabs>
          <w:tab w:val="left" w:leader="none" w:pos="1507"/>
          <w:tab w:val="left" w:leader="none" w:pos="2049"/>
        </w:tabs>
        <w:spacing w:after="0" w:line="240" w:lineRule="auto"/>
        <w:rPr>
          <w:rFonts w:ascii="Times New Roman" w:hAnsi="Times New Roman" w:eastAsia="Times New Roman" w:cs="Times New Roman"/>
          <w:lang w:val="en-US"/>
        </w:rPr>
      </w:pPr>
      <w:r w:rsidRPr="0044AC81" w:rsidR="0044AC81">
        <w:rPr>
          <w:rFonts w:ascii="Times New Roman" w:hAnsi="Times New Roman" w:eastAsia="Times New Roman" w:cs="Times New Roman"/>
          <w:vertAlign w:val="superscript"/>
          <w:lang w:val="en-US"/>
        </w:rPr>
        <w:t>1Curso de Bacharelado em Ciência da Computação, Afya Centro Universitário de Ji-Paraná, Ji-Paraná, Rondônia, Brasil</w:t>
      </w:r>
      <w:r w:rsidRPr="0044AC81" w:rsidR="0044AC81">
        <w:rPr>
          <w:rFonts w:ascii="Times New Roman" w:hAnsi="Times New Roman" w:eastAsia="Times New Roman" w:cs="Times New Roman"/>
          <w:lang w:val="en-US"/>
        </w:rPr>
        <w:t/>
      </w:r>
    </w:p>
    <w:p w:rsidP="0044AC81" w:rsidRDefault="00000000" w14:paraId="00000008" w14:textId="77777777">
      <w:pPr>
        <w:tabs>
          <w:tab w:val="left" w:leader="none" w:pos="1507"/>
          <w:tab w:val="left" w:leader="none" w:pos="2049"/>
        </w:tabs>
        <w:spacing w:after="0" w:line="240" w:lineRule="auto"/>
        <w:rPr>
          <w:rFonts w:ascii="Times New Roman" w:hAnsi="Times New Roman" w:eastAsia="Times New Roman" w:cs="Times New Roman"/>
          <w:lang w:val="en-US"/>
        </w:rPr>
      </w:pPr>
      <w:r w:rsidRPr="0044AC81" w:rsidR="0044AC81">
        <w:rPr>
          <w:rFonts w:ascii="Times New Roman" w:hAnsi="Times New Roman" w:eastAsia="Times New Roman" w:cs="Times New Roman"/>
          <w:vertAlign w:val="superscript"/>
          <w:lang w:val="en-US"/>
        </w:rPr>
        <w:t/>
      </w:r>
      <w:r w:rsidRPr="0044AC81" w:rsidR="0044AC81">
        <w:rPr>
          <w:rFonts w:ascii="Times New Roman" w:hAnsi="Times New Roman" w:eastAsia="Times New Roman" w:cs="Times New Roman"/>
          <w:lang w:val="en-US"/>
        </w:rPr>
        <w:t xml:space="preserve"/>
      </w:r>
    </w:p>
    <w:p w:rsidP="0044AC81" w:rsidRDefault="00000000" w14:paraId="00000009" w14:textId="77777777">
      <w:pPr>
        <w:tabs>
          <w:tab w:val="left" w:leader="none" w:pos="1507"/>
          <w:tab w:val="left" w:leader="none" w:pos="2049"/>
        </w:tabs>
        <w:spacing w:after="0" w:line="240" w:lineRule="auto"/>
        <w:rPr>
          <w:rFonts w:ascii="Times New Roman" w:hAnsi="Times New Roman" w:eastAsia="Times New Roman" w:cs="Times New Roman"/>
          <w:lang w:val="en-US"/>
        </w:rPr>
      </w:pPr>
      <w:r w:rsidRPr="0044AC81" w:rsidR="0044AC81">
        <w:rPr>
          <w:rFonts w:ascii="Times New Roman" w:hAnsi="Times New Roman" w:eastAsia="Times New Roman" w:cs="Times New Roman"/>
          <w:vertAlign w:val="superscript"/>
          <w:lang w:val="en-US"/>
        </w:rPr>
        <w:t/>
      </w:r>
      <w:r w:rsidRPr="0044AC81" w:rsidR="0044AC81">
        <w:rPr>
          <w:rFonts w:ascii="Times New Roman" w:hAnsi="Times New Roman" w:eastAsia="Times New Roman" w:cs="Times New Roman"/>
          <w:lang w:val="en-US"/>
        </w:rPr>
        <w:t xml:space="preserve"/>
      </w:r>
    </w:p>
    <w:p w:rsidP="0044AC81" w:rsidRDefault="00000000" w14:paraId="0000000A" w14:textId="77777777">
      <w:pPr>
        <w:tabs>
          <w:tab w:val="left" w:leader="none" w:pos="1507"/>
          <w:tab w:val="left" w:leader="none" w:pos="2049"/>
        </w:tabs>
        <w:spacing w:after="0" w:line="240" w:lineRule="auto"/>
        <w:rPr>
          <w:rFonts w:ascii="Times New Roman" w:hAnsi="Times New Roman" w:eastAsia="Times New Roman" w:cs="Times New Roman"/>
          <w:lang w:val="en-US"/>
        </w:rPr>
      </w:pPr>
      <w:r w:rsidRPr="0044AC81" w:rsidR="0044AC81">
        <w:rPr>
          <w:rFonts w:ascii="Times New Roman" w:hAnsi="Times New Roman" w:eastAsia="Times New Roman" w:cs="Times New Roman"/>
          <w:lang w:val="en-US"/>
        </w:rPr>
        <w:t>*Professor e autor correspondente: Endereço profissional: Av. Universitária, s/n, Aurélio Bernardi, Ji-Paraná - RO, CEP: 76907-438. E-mail: karan.luciano@afya.com.br</w:t>
      </w:r>
    </w:p>
    <w:p w:rsidRDefault="00000000" w14:paraId="0000000B" w14:textId="77777777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single" w:color="000000" w:sz="12" w:space="1"/>
          <w:right w:val="nil" w:sz="0" w:space="0"/>
          <w:between w:val="nil" w:sz="0" w:space="0"/>
        </w:pBdr>
        <w:shd w:val="clear" w:fill="auto"/>
        <w:tabs>
          <w:tab w:val="left" w:leader="none" w:pos="2918"/>
          <w:tab w:val="left" w:leader="none" w:pos="3804"/>
        </w:tabs>
        <w:spacing w:before="0" w:after="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i w:val="0"/>
          <w:smallCaps w:val="0"/>
          <w:strike w:val="0"/>
          <w:color w:val="000000"/>
          <w:sz w:val="16"/>
          <w:szCs w:val="16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1"/>
          <w:i w:val="0"/>
          <w:smallCaps w:val="0"/>
          <w:strike w:val="0"/>
          <w:color w:val="000000"/>
          <w:sz w:val="16"/>
          <w:szCs w:val="16"/>
          <w:u w:val="none"/>
          <w:shd w:val="clear" w:fill="auto"/>
          <w:vertAlign w:val="baseline"/>
          <w:rtl w:val="0"/>
        </w:rPr>
        <w:tab/>
      </w:r>
      <w:r>
        <w:rPr>
          <w:rFonts w:ascii="Times New Roman" w:hAnsi="Times New Roman" w:eastAsia="Times New Roman" w:cs="Times New Roman"/>
          <w:b w:val="1"/>
          <w:i w:val="0"/>
          <w:smallCaps w:val="0"/>
          <w:strike w:val="0"/>
          <w:color w:val="000000"/>
          <w:sz w:val="16"/>
          <w:szCs w:val="16"/>
          <w:u w:val="none"/>
          <w:shd w:val="clear" w:fill="auto"/>
          <w:vertAlign w:val="baseline"/>
          <w:rtl w:val="0"/>
        </w:rPr>
        <w:tab/>
      </w:r>
    </w:p>
    <w:p w:rsidRDefault="00000000" w14:paraId="0000000C" w14:textId="77777777">
      <w:pPr>
        <w:tabs>
          <w:tab w:val="left" w:leader="none" w:pos="6643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  <w:sectPr>
          <w:footerReference w:type="default" r:id="rId8"/>
          <w:pgSz w:w="11906" w:h="16838" w:orient="portrait"/>
          <w:pgMar w:top="567" w:right="567" w:bottom="567" w:left="624" w:header="709" w:footer="709"/>
          <w:pgNumType w:start="1"/>
          <w:cols w:num="1"/>
          <w:headerReference w:type="default" r:id="R114d12b748a84f00"/>
        </w:sectPr>
      </w:pPr>
      <w:r>
        <w:rPr>
          <w:rtl w:val="0"/>
        </w:rPr>
      </w:r>
    </w:p>
    <w:p>
      <w:pPr>
        <w:spacing w:line="240" w:lineRule="auto" w:before="200" w:after="60"/>
        <w:ind w:right="-74"/>
        <w:jc w:val="left"/>
        <w:rPr>
          <w:rFonts w:ascii="Times New Roman" w:hAnsi="Times New Roman"/>
          <w:b w:val="1"/>
          <w:u w:val="single"/>
          <w:sz w:val="24"/>
        </w:rPr>
      </w:pPr>
      <w:r>
        <w:rPr>
          <w:rFonts w:ascii="Times New Roman" w:hAnsi="Times New Roman"/>
          <w:b w:val="1"/>
          <w:u w:val="single"/>
        </w:rPr>
        <w:t xml:space="preserve">1. Introdução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A consolidação do Canvas LMS (Learning Management System) transformou a gestão acadêmica universitária,
        mas impôs uma expressiva sobrecarga operacional ao trabalho docente: rotinas repetitivas de triagem de dezenas
        de repositórios digitais, controle cronológico de prazos e conferência sintática de códigos competem diretamente
        com o planejamento pedagógico e a orientação individualizada aos discentes (Garrison; Anderson; Archer, 2000;
        Gil, 2019; Severino, 2016). Embora a Inteligência Artificial Generativa apresente elevado potencial analítico
        para o contexto educacional (Luckin et al., 2016; Russell; Norvig, 2021; Unesco, 2023), a literatura ainda
        carece de relatos aplicados sobre a integração direta e segura entre modelos de linguagem e os ambientes
        virtuais de aprendizagem institucionais.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Com efeito, a utilização de agentes convencionais baseados em interfaces de chat ou scripts ad-hoc
        esbarra em limitações estruturais: (a) ausência de integração com os dados do Canvas LMS, atuando de forma
        desconectada do livro de notas institucional; (b) suscetibilidade a inconsistências avaliativas decorrentes da
        falta de parametrização formal de rubricas; e (c) sobrecarga de transferência manual de códigos e notas entre
        abas do navegador. Para responder a essa lacuna, a presente intervenção adota o Model Context Protocol
        (MCP) como estrutura arquitetural central. Ao contrário de agentes isolados, o MCP padroniza um barramento
        semântico seguro que concede ao modelo acesso determinístico a recursos institucionais e a ferramentas de
        compilação sob o princípio do menor privilégio, articulado ao Telegram como interface móvel de governança e
        validação docente (Figura 1).</w:t>
      </w:r>
    </w:p>
    <w:p>
      <w:pPr>
        <w:spacing w:line="240" w:lineRule="auto" w:before="100" w:after="20"/>
        <w:ind w:right="-74"/>
        <w:jc w:val="left"/>
        <w:rPr>
          <w:rFonts w:ascii="Times New Roman" w:hAnsi="Times New Roman"/>
          <w:b w:val="1"/>
          <w:sz w:val="19"/>
        </w:rPr>
      </w:pPr>
      <w:r>
        <w:rPr>
          <w:rFonts w:ascii="Times New Roman" w:hAnsi="Times New Roman"/>
          <w:b w:val="1"/>
        </w:rPr>
        <w:t xml:space="preserve">Figura 1 – Arquitetura da Mediação: Telegram como porta de
          entrada amigável ao MCP e Canvas LMS</w:t>
      </w:r>
    </w:p>
    <w:p>
      <w:pPr>
        <w:spacing w:line="240" w:lineRule="auto" w:before="20" w:after="100"/>
        <w:ind w:right="-74"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</w:rPr>
        <w:t xml:space="preserve">Fonte: Elaborado pelo autor (2026).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Nesse contexto, alinhado ao Eixo 3 do 12º Fórum Rondoniense de Pesquisa, objetivou-se relatar a experiência de
        concepção, implementação e aplicação prática de uma arquitetura de mediação inteligente integrada ao Canvas LMS
        via MCP e Telegram. Busca-se evidenciar os impactos na produtividade da rotina docente, a tempestividade das
        devolutivas formativas e a salvaguarda da governança ética institucional no ensino superior (Lakatos; Marconi,
        2021).</w:t>
      </w:r>
    </w:p>
    <w:p>
      <w:pPr>
        <w:spacing w:line="240" w:lineRule="auto" w:before="200" w:after="60"/>
        <w:ind w:right="-74"/>
        <w:jc w:val="left"/>
        <w:rPr>
          <w:rFonts w:ascii="Times New Roman" w:hAnsi="Times New Roman"/>
          <w:b w:val="1"/>
          <w:u w:val="single"/>
          <w:sz w:val="24"/>
        </w:rPr>
      </w:pPr>
      <w:r>
        <w:rPr>
          <w:rFonts w:ascii="Times New Roman" w:hAnsi="Times New Roman"/>
          <w:b w:val="1"/>
          <w:u w:val="single"/>
        </w:rPr>
        <w:t xml:space="preserve">2. Metodologia</w:t>
      </w:r>
    </w:p>
    <w:p>
      <w:pPr>
        <w:spacing w:line="240" w:lineRule="auto" w:before="140" w:after="40"/>
        <w:ind w:right="-74"/>
        <w:jc w:val="both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</w:rPr>
        <w:t xml:space="preserve">2.1 Tipo de estudo e autonomia docente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Trata-se de um relato de experiência, de natureza aplicada e abordagem mista (Köche, 2015; Prodanov; Freitas,
        2013). Articulou-se a observação participante do docente titular à mensuração quantitativa de tempos de ciclo e
        taxas de auditoria no Canvas LMS. Registra-se que a intervenção constitui iniciativa autônoma de pesquisa
        didática conduzida pelo autor em suas turmas, sem configurar diretriz institucional ou produto de tecnologia
        corporativa da mantenedora.</w:t>
      </w:r>
    </w:p>
    <w:p>
      <w:pPr>
        <w:spacing w:line="240" w:lineRule="auto" w:before="140" w:after="40"/>
        <w:ind w:right="-74"/>
        <w:jc w:val="both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</w:rPr>
        <w:t xml:space="preserve">2.2 Contexto empírico e caracterização da amostra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A intervenção ocorreu no Afya Centro Universitário de Ji-Paraná (UniSL), em Rondônia (período 2026.2),
        caracterizando-se como iniciativa precursora no emprego de agentes autônomos sob MCP no ensino superior da
        Amazônia Ocidental. A amostragem envolveu a disciplina de Estrutura de Dados em Ciência da Computação em três
        frentes: (a) 2º período com 80 matriculados (60 submissões ativas em 26 repositórios no GitHub); (b) 4º período
        com 31 discentes em 9 equipes de versionamento Git e programação modular em C; e (c) avaliação presencial N1 com
        76 cadernos físicos de prova escrita (226 páginas manuscritas digitalizadas a 300 DPI), cobrindo 10 questões
        objetivas e discursivas de análise e implementação de código em C (Questão 11).</w:t>
      </w:r>
    </w:p>
    <w:p>
      <w:pPr>
        <w:spacing w:line="240" w:lineRule="auto" w:before="140" w:after="40"/>
        <w:ind w:right="-74"/>
        <w:jc w:val="both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</w:rPr>
        <w:t xml:space="preserve">2.3 Arquitetura tecnológica: protocolo MCP e interface móvel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A mediação assenta-se no Model Context Protocol (MCP), padrão aberto de interoperabilidade semântica
        cliente-servidor concebido para desacoplar a cognição do modelo dos barramentos de infraestrutura e dados.
        Implementado como servidor nativo compilado em Go, o middleware opera via comunicação serial
        padronizada (stdio), garantindo que as credenciais do Canvas LMS (tokens administrativos Bearer) e
        chaves criptográficas permaneçam estritamente isoladas no servidor local, inacessíveis ao modelo de linguagem.
        Essa segregação arquitetural estabelece três primitivas determinísticas: (a) Recursos (Resources):
        vetores de dados estruturados em modo somente-leitura (rubricas de avaliação, matrizes de competência do PPC,
        enunciados de tarefas e prazos do Canvas LMS); (b) Prompts Contratuais: diretrizes parametrizadas que
        uniformizam o padrão analítico e blindam o raciocínio contra desvios interpretativos; e (c) Ferramentas
        (Tools): funções invocáveis para clonagem concorrente de repositórios Git, compilação de código C via
        GCC nativo e postagem em lote de notas e pareceres na API REST do Canvas LMS.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Para mitigar riscos de injeção de prompt indireta (indirect prompt injection) —
        vulnerabilidade crítica na qual comentários ou códigos submetidos por discentes poderiam conter instruções em
        linguagem natural para manipular o agente —, todo o conteúdo entregue pelos estudantes é encapsulado em tags de
        quarentena de isolamento semântico (&lt;untrusted_student_input role="data_only"&gt;). Na ponta
        docente, a interface do Telegram opera como ponto de controle móvel e amigável: o bot traduz comandos textuais
        em linguagem natural em chamadas parametrizadas do MCP e devolve fichas analíticas formatadas, viabilizando a
        homologação docente com um toque via botões interativos sob supervisão humana contínua.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Embora o presente relato priorize a interação via Telegram — adotada por sua ampla difusão, gratuidade e
        facilidade de acesso móvel para a grande maioria dos educadores —, registra-se de forma complementar que a
        arquitetura MCP é agnóstica quanto ao cliente consumidor. No cotidiano profissional do autor, o mesmo servidor é
        acionado de maneira integrada a Ambientes de Desenvolvimento Integrado (IDEs) voltados à engenharia de software
        assistida por agentes, como o Antigravity (ambiente de desenvolvimento projetado com suporte nativo a
        múltiplos agentes autônomos e barramento MCP) e o Visual Studio Code com a extensão Cline
        (agente autônomo de código aberto capaz de executar comandos no terminal, navegar em arquivos e orquestrar
        ferramentas MCP diretamente no editor de código). Essa versatilidade evidencia que o protocolo atende com igual
        eficácia tanto à checagem rápida no smartphone quanto a fluxos de trabalho aprofundados na IDE.</w:t>
      </w:r>
    </w:p>
    <w:p>
      <w:pPr>
        <w:spacing w:line="240" w:lineRule="auto" w:before="140" w:after="40"/>
        <w:ind w:right="-74"/>
        <w:jc w:val="both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</w:rPr>
        <w:t xml:space="preserve">2.4 Corpus pedagógico e contextualização normativa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Diferente de agentes genéricos que operam desprovidos de contexto acadêmico, o servidor MCP atuou como guardião
        contextual ao indexar dinamicamente como recursos ativos: (a) o Calendário Acadêmico Institucional 2026 (marcos
        de N1/N2, janelas de segunda chamada e prazos regulamentares de fechamento de diários); (b) o Guia do Docente no
        Canvas LMS (política de postagem oculta e rubricas); (c) o PPC de Ciência da Computação; e (d) matrizes de
        competência do ENADE/MEC. Esse acoplamento garante que pareceres e notas reflitam fidedignamente o regulamento
        institucional do campus UniSL sem divergências de regras acadêmicas.</w:t>
      </w:r>
    </w:p>
    <w:p>
      <w:pPr>
        <w:spacing w:line="240" w:lineRule="auto" w:before="140" w:after="40"/>
        <w:ind w:right="-74"/>
        <w:jc w:val="both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</w:rPr>
        <w:t xml:space="preserve">2.5 Procedimentos de coleta e fluxo algorítmico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A intervenção desdobrou-se em quatro fases estruturadas: (a) mapeamento e cronometragem do fluxo manual
        tradicional no SpeedGrader; (b) parametrização semântica das rubricas no servidor MCP com distribuição
        percentual formal: Compilação e Linkagem GCC (35 pontos), Fluxo de Branches e Pull Requests Git (25 pontos),
        Modularização e Manipulação de Structs em C (25 pontos) e Regras de Negócio e Cálculos (15 pontos); (c) triagem
        analítica com supervisão humana (human-in-the-loop) mediada por bot no Telegram; e (d) sincronização em
        lote das notas homologadas diretamente na API REST do Canvas LMS (Figura 2).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Para a dimensão presencial individual (Etapa N1), concebeu-se um pipeline algorítmico multimodal em
        três estágios: (1) Digitalização e Reconhecimento Óptico (OCR): digitalização dos 76 cadernos a 300 DPI
        e transcrição via Apple Vision Framework com normalização sintática de código C manuscrito (remoção de ruídos de
        grafite, correção de quebras de linha e alinhamento de chaves e operadores); (2) Vetorização e Extração de
          k-shingles: decomposição textual em n-gramas deslizantes (janelas de 3 a 5 tokens) com cômputo matricial
        dos coeficientes de similaridade de Jaccard e Sorensen-Dice, mitigando trocas de identificadores ou reordenações
        de blocos lógicos; e (3) Modelagem em Grafos de Similaridade: construção de matrizes de adjacência
        agrupando submissões em clusters de homologia estrutural correlacionados à malha geográfica de carteiras da sala
        de aula.</w:t>
      </w:r>
    </w:p>
    <w:p>
      <w:pPr>
        <w:spacing w:line="240" w:lineRule="auto" w:before="100" w:after="20"/>
        <w:ind w:right="-74"/>
        <w:jc w:val="left"/>
        <w:rPr>
          <w:rFonts w:ascii="Times New Roman" w:hAnsi="Times New Roman"/>
          <w:b w:val="1"/>
          <w:sz w:val="19"/>
        </w:rPr>
      </w:pPr>
      <w:r>
        <w:rPr>
          <w:rFonts w:ascii="Times New Roman" w:hAnsi="Times New Roman"/>
          <w:b w:val="1"/>
        </w:rPr>
        <w:t xml:space="preserve">Figura 2 – Fluxograma do ciclo avaliativo automatizado sob
          supervisão humana (Human-in-the-Loop)</w:t>
      </w:r>
    </w:p>
    <w:p>
      <w:pPr>
        <w:spacing w:line="240" w:lineRule="auto" w:before="20" w:after="100"/>
        <w:ind w:right="-74"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</w:rPr>
        <w:t xml:space="preserve">Fonte: Elaborado pelo autor (2026).</w:t>
      </w:r>
    </w:p>
    <w:p>
      <w:pPr>
        <w:spacing w:line="240" w:lineRule="auto" w:before="140" w:after="40"/>
        <w:ind w:right="-74"/>
        <w:jc w:val="both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</w:rPr>
        <w:t xml:space="preserve">2.6 Tratamento e análise dos dados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Os dados operacionais foram tratados por estatística descritiva e análise temática de conteúdo dos pareceres. O
        coeficiente de similaridade de Sorensen-Dice (SDice) entre pares de cadernos digitalizados
        A e B foi computado pela Equação (1):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onde S(A) e S(B) representam os conjuntos de k-shingles (n-gramas) canônicos
        extraídos das respostas discursivas. Adicionalmente, o ganho de eficiência operacional docente
        (ηeficiência) foi mensurado pela Equação (2):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sendo Tmanual o tempo consumido na auditoria manual individual no SpeedGrader e
        Tmediado o tempo de deliberação docente via interface Telegram.</w:t>
      </w:r>
    </w:p>
    <w:p>
      <w:pPr>
        <w:spacing w:line="240" w:lineRule="auto" w:before="140" w:after="40"/>
        <w:ind w:right="-74"/>
        <w:jc w:val="both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</w:rPr>
        <w:t xml:space="preserve">2.7 Aspectos éticos e conformidade com a LGPD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A pesquisa atendeu rigorosamente às diretrizes da Resolução CNS nº 466/2012 e da Resolução CNS nº 510/2016,
        registrando-se a dispensa de apreciação pelo sistema CEP/CONEP com fulcro no Art. 1º, parágrafo único, inciso
        VII da Resolução CNS nº 510/2016, por constituir investigação voltada ao aprofundamento e reflexão de situações
        emergentes da prática profissional docente, sem revelação de dados capazes de identificar os participantes.
        Adicionalmente, cumpriu-se a Lei Geral de Proteção de Dados Pessoais (LGPD - Lei nº 13.709/2018) sob a
        arquitetura de privacy by design e security by default: credenciais administrativas restritas
        ao servidor local sob menor privilégio, e integração à API do modelo de linguagem operando sob contrato
        corporativo estrito de retenção nula de dados (zero-data retention), vedando expressamente qualquer
        persistência temporária ou utilização de produções discentes para retreino ou aprimoramento de modelos públicos.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Na auditoria dos 76 cadernos de prova presencial, aplicou-se rotina de pseudonimização irreversível na origem
        (atribuição de códigos sequenciais opacos CAD-01 a CAD-76), mantendo matrizes de
        similaridade e grafos de adjacência completamente despersonalizados durante a triagem algorítmica. A
        identificação nominal foi restrita ao professor regente para fins de orientação acadêmica individualizada. Sob o
        prisma ético-pedagógico, a inteligência artificial limitou-se ao papel de suporte instrumental e analítico
        objetivo, preservando integralmente o protagonismo humano, a autonomia moral e a responsabilidade decisória
        final do educador (NAPED/Afya).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Declaração de Uso de Inteligência Artificial: O autor declara que utilizou as ferramentas
        Google Gemini (versão 3.8 Flash) e Claude (versão 5.5 Sonnet) para auxílio na estruturação textual,
        revisão gramatical e padronização das referências bibliográficas segundo as normas da ABNT. Todo o conteúdo
        produzido ou apoiado
        pelas ferramentas foi revisado, validado e, quando necessário, corrigido pelo autor, que assume integral
        responsabilidade pela versão final do trabalho.</w:t>
      </w:r>
    </w:p>
    <w:p>
      <w:pPr>
        <w:spacing w:line="240" w:lineRule="auto" w:before="200" w:after="60"/>
        <w:ind w:right="-74"/>
        <w:jc w:val="left"/>
        <w:rPr>
          <w:rFonts w:ascii="Times New Roman" w:hAnsi="Times New Roman"/>
          <w:b w:val="1"/>
          <w:u w:val="single"/>
          <w:sz w:val="24"/>
        </w:rPr>
      </w:pPr>
      <w:r>
        <w:rPr>
          <w:rFonts w:ascii="Times New Roman" w:hAnsi="Times New Roman"/>
          <w:b w:val="1"/>
          <w:u w:val="single"/>
        </w:rPr>
        <w:t xml:space="preserve">3. Resultados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A mediação via MCP e Telegram reduziu expressivamente a sobrecarga operacional da avaliação docente em turmas
        numerosas. Para dimensionar essa rotina, a auditoria manual dos 26 repositórios GitHub do 2º período exigiria:
        clonagem individual, inspeção de 5 branches de features, conferência do histórico de commits, compilação via
        compilador nativo GCC (GNU Compiler Collection) no terminal, depuração sintática e redação de pareceres
        no SpeedGrader para 60 alunos, totalizando cerca de 5,9 horas ininterruptas (353 minutos) de trabalho mecânico.
        Sob mediação MCP, a clonagem e auditoria concorrente consumiram apenas 23,32 segundos e o lançamento em lote
        levou 0,55 segundo na API do Canvas LMS, alcançando aceleração mecânica de 141,5x (ηeficiência =
        99,3%). A Tabela 1 discrimina as parcelas operacionais da atividade de Git (60 submissões ativas), enquanto a
        Figura 3 sintetiza a jornada do ciclo avaliativo global em turmas de 70 a 80 matriculados (450 min vs. 50 min),
        englobando da triagem inicial de prazos à validação final do docente no Telegram.</w:t>
      </w:r>
    </w:p>
    <w:p>
      <w:pPr>
        <w:spacing w:line="240" w:lineRule="auto" w:before="100" w:after="20"/>
        <w:ind w:right="-74"/>
        <w:jc w:val="left"/>
        <w:rPr>
          <w:rFonts w:ascii="Times New Roman" w:hAnsi="Times New Roman"/>
          <w:b w:val="1"/>
          <w:sz w:val="19"/>
        </w:rPr>
      </w:pPr>
      <w:r>
        <w:rPr>
          <w:rFonts w:ascii="Times New Roman" w:hAnsi="Times New Roman"/>
          <w:b w:val="1"/>
        </w:rPr>
        <w:t xml:space="preserve">Tabela 1 – Comparativo operacional: Fluxo Manual vs. Agente
          Isolado (sem MCP) vs. Mediação MCP</w:t>
      </w:r>
    </w:p>
    <w:p>
      <w:pPr>
        <w:spacing w:line="240" w:lineRule="auto" w:before="20" w:after="100"/>
        <w:ind w:right="-74"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</w:rPr>
        <w:t xml:space="preserve">Fonte: Dados empíricos registrados pelo autor no Canvas LMS
          (2026).
          *Nota: Parcela referente à redação de pareceres e conferência estimada a partir do saldo operacional do ciclo
          avaliativo (~2,8 min por aluno no fluxo manual e conferência da minuta docente no fluxo mediado).</w:t>
      </w:r>
    </w:p>
    <w:p>
      <w:pPr>
        <w:spacing w:line="240" w:lineRule="auto" w:before="100" w:after="20"/>
        <w:ind w:right="-74"/>
        <w:jc w:val="left"/>
        <w:rPr>
          <w:rFonts w:ascii="Times New Roman" w:hAnsi="Times New Roman"/>
          <w:b w:val="1"/>
          <w:sz w:val="19"/>
        </w:rPr>
      </w:pPr>
      <w:r>
        <w:rPr>
          <w:rFonts w:ascii="Times New Roman" w:hAnsi="Times New Roman"/>
          <w:b w:val="1"/>
        </w:rPr>
        <w:t xml:space="preserve">Figura 3 – Impacto no tempo operacional docente por turma
          (Manual vs. Mediação MCP)</w:t>
      </w:r>
    </w:p>
    <w:p>
      <w:pPr>
        <w:spacing w:line="240" w:lineRule="auto" w:before="20" w:after="100"/>
        <w:ind w:right="-74"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</w:rPr>
        <w:t xml:space="preserve">Fonte: Dados empíricos registrados pelo autor (2026).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Para além dos ganhos quantitativos de celeridade operacional, os impactos pedagógicos mais expressivos
        manifestaram-se na dimensão qualitativa do processo de ensino-aprendizagem, operando uma transição fundamental
        entre paradigmas avaliativos (Bloom; Hastings; Madaus, 1971; Scriven, 1967). No modelo tradicional, a sobrecarga
        de correção no SpeedGrader induzia compulsoriamente a uma prática meramente somativa: a nota numérica funcionava
        como um "veredito de fim de linha", tardio e sem fundamentação diagnóstica (ex.: "Código com falhas de
          compilação; nota 6,0"), divulgado semanas após a atividade quando a turma já havia avançado de conteúdo
        curricular, inviabilizando qualquer recuperação de aprendizagem.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Em contrapartida, a mediação inteligente via MCP viabilizou a concretização da avaliação formativa processual
        (Black; Wiliam, 1998; Perrenoud, 1999). Enquanto o modelo tradicional limitava-se à mensagem punitiva genérica,
        o agente cognitivo gerou para essa exata mesma ocorrência um parecer técnico formativo e individualizado:
        "Estrutura de branches no Git bem organizada. Contudo, o código não compilou via GCC devido a um detalhe de
          integração: no arquivo main.c (linha 34), a função listar_produtos tentou acessar o membro 'codigo_barrras'
          (com três r's), enquanto a struct Produto em estoque.h declara 'codigo_barras'. O GCC interrompeu o build
          acusando membro inexistente. Desconto de 35 pontos da rubrica de compilação; nota final: 6,5. Corrija o
          identificador para gerar o executável com sucesso.".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Ao automatizar a triagem operacional e fornecer ao docente esse diagnóstico minucioso em questão de segundos, o
        sistema permitiu a devolução de pareceres analíticos enquanto o raciocínio discente ainda estava ativo na
        tarefa. Esse retorno tempestivo transformou o erro em instrumento pedagógico de autorregulação, permitindo
        intervenções docentes e oficinas de nivelamento conceitual antes da aplicação das avaliações formais
        presenciais.</w:t>
      </w:r>
    </w:p>
    <w:p>
      <w:pPr>
        <w:spacing w:line="240" w:lineRule="auto" w:before="140" w:after="40"/>
        <w:ind w:right="-74"/>
        <w:jc w:val="both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</w:rPr>
        <w:t xml:space="preserve">3.1 Análise qualitativa das devolutivas e identificação de falhas sintáticas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Com a orquestração via servidor MCP e a integração do compilador nativo (GCC) ao fluxo do agente cognitivo, a
        capacidade de inspeção estática profunda permitiu ao docente homologar e devolver pareceres formativos altamente
        específicos e individualizados no diário digital do Canvas LMS. Uma das maiores contribuições pedagógicas
        observadas na atividade prática de Git do 2º período foi a identificação precisa de falhas silenciosas que, em
        uma leitura visual rápida no SpeedGrader ou na interface web do GitHub, seriam dificilmente perceptíveis sob a
        restrição de tempo inerente a turmas de 60 discentes.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Dentre as inconsistências de código identificadas na auditoria concorrente dos 26 repositórios da turma de 2º
        período, destacaram-se cinco categorias críticas que o compilador GCC expôs com precisão:
        (a) Erros tipográficos em identificadores de structs: discentes declararam o membro
        codigo_barras no cabeçalho (estoque.h), mas utilizaram codigo_barrras
        (com três letras 'r') em chamadas de printf na main.c. O erro quebra o build por
        incompatibilidade de membros (no member named 'codigo_barrras' in 'Produto');
        (b) Artefatos de formatação externa: blocos de código copiados de assistentes externos foram
        inseridos mantendo delimitadores de formatação (ex.: ```c) na linha 1 do código-fonte, gerando erro
        de sintaxe;
        (c) Símbolos duplicados por definição em cabeçalho: equipes implementaram corpos inteiros de
        funções dentro do arquivo de cabeçalho (.h) incluído em múltiplos arquivos .c,
        quebrando a linkagem final por colisão de símbolos (duplicate symbol) e expondo a confusão entre
        declaração de protótipos e definição de funções em C;
        (d) Desbalanceamento de pré-processador: inserção de diretivas soltas (como um
        #endif terminal sem o respectivo #ifndef de proteção de inclusão dupla), invalidando o
        processamento da unidade de compilação; e
        (e) Hiperlinks inacessíveis de repositórios: hiperlinks entregues formalmente com padrão
        sintático do GitHub, cuja inacessibilidade (privada ou inexistente) só é comprovada ao tentar a clonagem
        automatizada via linha de comando ou API.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Essa triagem exaustiva permitiu ao professor mapear com exatidão as dificuldades de abstração dos discentes na
        transição de paradigmas de programação imperativa em C. A identificação tempestiva desses padrões instruiu o
        planejamento de intervenções direcionadas em sala de aula, demonstrando na prática como a linkagem de múltiplos
        arquivos objeto opera no GCC e esclarecendo o papel das diretivas de pré-processador, o que elevou sensivelmente
        a maturidade técnica dos projetos subsequentes.</w:t>
      </w:r>
    </w:p>
    <w:p>
      <w:pPr>
        <w:spacing w:line="240" w:lineRule="auto" w:before="140" w:after="40"/>
        <w:ind w:right="-74"/>
        <w:jc w:val="both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</w:rPr>
        <w:t xml:space="preserve">3.2 Integridade acadêmica em avaliações presenciais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Como extensão das ferramentas orquestradas pelo servidor MCP, este tópico compreende a auditoria de integridade
        acadêmica em avaliações presenciais escritas: o agente aciona rotinas de visão computacional (OCR) e mineração
        textual para identificar padrões de similaridade entre provas físicas. A aplicação desse pipeline sobre
        76 cadernos físicos de prova presencial N1 (226 páginas manuscritas digitalizadas a 300 DPI) atestou 60 cadernos
        sem indícios de similaridade atípica (78,9%) e identificou 16 cadernos (21,1%) com homologia estrutural
        relevante, consolidados em 5 clusters de similaridade (Tabela 2).</w:t>
      </w:r>
    </w:p>
    <w:p>
      <w:pPr>
        <w:spacing w:line="240" w:lineRule="auto" w:before="100" w:after="20"/>
        <w:ind w:right="-74"/>
        <w:jc w:val="left"/>
        <w:rPr>
          <w:rFonts w:ascii="Times New Roman" w:hAnsi="Times New Roman"/>
          <w:b w:val="1"/>
          <w:sz w:val="19"/>
        </w:rPr>
      </w:pPr>
      <w:r>
        <w:rPr>
          <w:rFonts w:ascii="Times New Roman" w:hAnsi="Times New Roman"/>
          <w:b w:val="1"/>
        </w:rPr>
        <w:t xml:space="preserve">Tabela 2 – Tipologia de clusters de similaridade detectados na
          Prova Presencial N1 (76 cadernos físicos)</w:t>
      </w:r>
    </w:p>
    <w:p>
      <w:pPr>
        <w:spacing w:line="240" w:lineRule="auto" w:before="20" w:after="100"/>
        <w:ind w:right="-74"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</w:rPr>
        <w:t xml:space="preserve">Fonte: Auditoria por visão computacional e grafos de similaridade em
          dados empíricos anonimizados (2026).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Cabe destacar que essa auditoria em provas manuscritas é uma frente experimental integrada ao ecossistema MCP e
        Telegram, concebida para atuar como apoio investigativo ao docente sem qualquer poder punitivo automatizado,
        dependendo estritamente da avaliação humana do professor (supervisão humana). A integração mostrou-se altamente
        promissora ao notificar no Telegram nuances que passariam despercebidas na correção manual devido ao desgaste
        cognitivo da leitura sequencial de dezenas de cadernos físicos. O caso empírico mais expressivo ocorreu na
        Questão 11(b) (discursiva sobre passagem de parâmetros por referência, ponteiros e escopo de memória em C): o
        agente identificou que cadernos fisicamente distantes na pilha de correção compartilhavam a mesma estrutura
        argumentativa, camuflada por trocas pontuais de sinônimos (como "assim consegue alterar o valor real"
        vs. "criando apenas cópias na função" vs. "seria apenas cópias e os dados originais não
          mudam").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Mais além, o algoritmo de grafos rastreou a propagação de um erro terminológico atípico: a substituição do termo
        "na memória" pela expressão "na chamada" em três cadernos distintos pertencentes ao Cluster 2.
        Ao receber essa ficha analítica consolidada diretamente no celular via bot de Telegram — correlacionando o
        percentual de sobreposição textual às coordenadas das carteiras —, o docente obteve evidências objetivas e
        materiais. Isso possibilitou afastar impressões subjetivas, subsidiar atendimentos pedagógicos individualizados
        no laboratório para sanar as lacunas sobre ponteiros e garantir um diálogo formativo acolhedor, resguardando a
        integridade acadêmica e o respeito aos estudantes sem instaurar processos punitivos arbitrários.</w:t>
      </w:r>
    </w:p>
    <w:p>
      <w:pPr>
        <w:spacing w:line="240" w:lineRule="auto" w:before="140" w:after="40"/>
        <w:ind w:right="-74"/>
        <w:jc w:val="both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</w:rPr>
        <w:t xml:space="preserve">3.3 Itens avaliativos e produção de material didático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A indexação do corpus normativo e das matrizes do ENADE ao servidor MCP ampliou o suporte pedagógico à concepção
        de instrumentos avaliativos e conteúdos instrucionais. Apoiado pelo agente no Telegram, o docente gerou com
        agilidade minutas de questões no formato ENADE — com situações-problema contextualizadas e asserções-razão sobre
        controle de versão (grafos acíclicos dirigidos - DAGs e arquiteturas distribuídas versus centralizadas de
        controle de versão - DVCS/CVCS) — acompanhadas de gabaritos comentados e alinhamento cronológico ao Calendário
        Acadêmico Institucional 2026.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Paralelamente, a desoneração de rotinas burocráticas permitiu redirecionar o tempo docente para a produção de
        materiais didáticos multimídia de alto engajamento no Canvas LMS: (a) o projeto "Café com Código",
        transpondo complexidade algorítmica para estudos de caso da indústria de jogos; (b) guias visuais de Git/GitHub;
        e (c) simuladores interativos em HTML5/CSS3 para exploração de ponteiros e memória operacional (RAM) em tempo de
        execução, elevando a retenção conceitual dos discentes.</w:t>
      </w:r>
    </w:p>
    <w:p>
      <w:pPr>
        <w:spacing w:line="240" w:lineRule="auto" w:before="140" w:after="40"/>
        <w:ind w:right="-74"/>
        <w:jc w:val="both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</w:rPr>
        <w:t xml:space="preserve">3.4 Percepção discente e tempestividade avaliativa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A tempestividade da devolutiva disponibilizada no mesmo dia da entrega transformou a avaliação formativa (Black;
        Wiliam, 1998; Hattie; Timperley, 2007; Shute, 2008). A orquestração MCP evidenciou escalabilidade: no 4º período
        (31 alunos / 9 equipes), a auditoria durou 1,2s e a publicação 28s; no 2º período (60 discentes / 26
        repositórios), a compilação concorrente consumiu 23,32s e a sincronização em lote na API do Canvas deu-se em
        0,55s após homologação no Telegram. Na turma de 2º período, 53,8% (14 repositórios) atingiram compilação plena e
        46,2% apresentaram falhas de integração ou repositórios privados (média da turma: 72,1 pontos), permitindo
        intervenção pedagógica presencial imediata nas lacunas conceituais.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Com o apontamento objetivo da linha e do identificador divergente logo após a submissão discente, os estudantes
        puderam sanar dúvidas conceituais antes das provas presenciais, fomentando a autorregulação. Na jornada global
        docente (incluindo a deliberação no Telegram), a economia de ~89% de tempo permitiu redirecionar a carga horária
        para oficinas práticas. Sobretudo, a supervisão humana contínua assegurou a responsabilidade moral e pedagógica
        exclusiva do educador sobre cada parecer (Floridi, 2019; Holmes et al., 2019; Unesco, 2023), em total
        consonância com as diretrizes do NAPED/Afya Ji-Paraná. Esse resultado converge com os postulados de Hattie e
        Timperley (2007) e Shute (2008), que indicam que o feedback formativo ganha eficácia pedagógica quando
        entregue com tempestividade e focado no diagnóstico da tarefa, diferindo do caráter puramente classificatório da
        avaliação somativa tradicional (Bloom; Hastings; Madaus, 1971).</w:t>
      </w:r>
    </w:p>
    <w:p>
      <w:pPr>
        <w:spacing w:line="240" w:lineRule="auto" w:before="140" w:after="40"/>
        <w:ind w:right="-74"/>
        <w:jc w:val="both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</w:rPr>
        <w:t xml:space="preserve">3.5 Sustentabilidade econômica e viabilidade regional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A sustentabilidade da mediação ancorou-se no modelo Gemini 3.8 Flash, selecionado pela janela nativa de 1,0
        milhão de tokens, permitindo a ingestão simultânea dos 26 repositórios de código e das rubricas do Canvas em uma
        única chamada analítica. Na atividade do 2º período (60 alunos), o consumo aproximou-se de 180 mil tokens de
        entrada e 45 mil de saída, totalizando um custo operacional residual de US$ 0,30 (menos de R$ 1,80 por turma).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Para avaliar a viabilidade de replicação em cenários educacionais de orçamentos restritos — realidade frequente
        em faculdades e centros universitários da Amazônia Ocidental —, a análise comparativa indicou viabilidade
        financeira favorável:
        (a) Modelos eficientes como o Gemini 3.5 Flash Lite (US$ 0,16 / ~R$ 0,95 por turma) e o GLM 5.3 Flash (US$ 0,014
        / ~R$ 0,08 por turma) apresentam parâmetros teóricos e janelas de contexto plenamente compatíveis com o volume
        de código avaliado a custos residuais; e
        (b) Modelos abertos de comunidade via inferência local ou endpoints sem custo direto (como NVIDIA Nemotron 3
        Ultra e Cohere North Mini) viabilizam custo de API zero (US$ 0,00).
        Esse panorama indica que a modernização da gestão docente não depende de vultosos investimentos em licenças de
        software corporativo, configurando uma alternativa pedagógica viável e replicável (Tabela 3).</w:t>
      </w:r>
    </w:p>
    <w:p>
      <w:pPr>
        <w:spacing w:line="240" w:lineRule="auto" w:before="100" w:after="20"/>
        <w:ind w:right="-74"/>
        <w:jc w:val="left"/>
        <w:rPr>
          <w:rFonts w:ascii="Times New Roman" w:hAnsi="Times New Roman"/>
          <w:b w:val="1"/>
          <w:sz w:val="19"/>
        </w:rPr>
      </w:pPr>
      <w:r>
        <w:rPr>
          <w:rFonts w:ascii="Times New Roman" w:hAnsi="Times New Roman"/>
          <w:b w:val="1"/>
        </w:rPr>
        <w:t xml:space="preserve">Tabela 3 – Comparativo de sustentabilidade financeira de modelos
          cognitivos por turma (60 alunos)</w:t>
      </w:r>
    </w:p>
    <w:p>
      <w:pPr>
        <w:spacing w:line="240" w:lineRule="auto" w:before="20" w:after="100"/>
        <w:ind w:right="-74"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</w:rPr>
        <w:t xml:space="preserve">Fonte: Tarifação de referência dos provedores e consolidação pelo
          autor (2026).</w:t>
      </w:r>
    </w:p>
    <w:p>
      <w:pPr>
        <w:spacing w:line="240" w:lineRule="auto" w:before="140" w:after="40"/>
        <w:ind w:right="-74"/>
        <w:jc w:val="both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</w:rPr>
        <w:t xml:space="preserve">3.6 Limitações do estudo e lições aprendidas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Apesar dos resultados operacionais favoráveis, a experiência evidenciou limitações práticas relevantes:
        (a) a dependência da disponibilidade contínua e limites de taxa de requisição da API do Canvas LMS;
        (b) a necessidade de rubricas pedagógicas claras previamente cadastradas no ambiente virtual;
        (c) a sensibilidade do OCR em cadernos físicos a caligrafias atípicas, exigindo conferência humana constante;
        (d) a ocorrência de falsos positivos em matrizes de similaridade decorrentes de termos técnicos padrão da
        disciplina; e
        (e) a restrição amostral ao curso de Ciência da Computação, recomendando-se replicações em outras áreas do
        conhecimento.</w:t>
      </w:r>
    </w:p>
    <w:p>
      <w:pPr>
        <w:spacing w:line="240" w:lineRule="auto" w:before="140" w:after="40"/>
        <w:ind w:right="-74"/>
        <w:jc w:val="both"/>
        <w:rPr>
          <w:rFonts w:ascii="Times New Roman" w:hAnsi="Times New Roman"/>
          <w:b w:val="1"/>
          <w:sz w:val="24"/>
        </w:rPr>
      </w:pPr>
      <w:r>
        <w:rPr>
          <w:rFonts w:ascii="Times New Roman" w:hAnsi="Times New Roman"/>
          <w:b w:val="1"/>
        </w:rPr>
        <w:t xml:space="preserve">3.7 Recomendações para a prática docente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A partir da vivência prática no Afya Centro Universitário de Ji-Paraná, estruturaram-se quatro diretrizes para
        a incorporação segura de agentes inteligentes à rotina docente: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(a) Centralidade docente e supervisão humana mandatória: Sistemas de inteligência artificial
        devem atuar unicamente na triagem técnica e elaboração de minutas diagnósticas, mantendo-se a atribuição e
        homologação final de notas sob responsabilidade indelegável do professor titular;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(b) Isolamento criptográfico e conformidade com a LGPD: A mediação via MCP assegura isolamento
        estrito entre credenciais administrativas institucionais e modelos de linguagem, operando sob contratos de
        retenção nula de dados (zero-data retention) para proteger a privacidade discente;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(c) Transparência pedagógica de critérios: As rubricas e parâmetros de correção devem ser
        previamente compartilhados com os estudantes, promovendo previsibilidade avaliativa e alinhamento de
        expectativas; e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(d) Sustentabilidade e modelos eficientes: O emprego de modelos compactos de baixo custo ou de
        código aberto viabiliza a replicação da solução em instituições com restrições orçamentárias de infraestrutura
        de TI.</w:t>
      </w:r>
    </w:p>
    <w:p>
      <w:pPr>
        <w:spacing w:line="240" w:lineRule="auto" w:before="200" w:after="60"/>
        <w:ind w:right="-74"/>
        <w:jc w:val="left"/>
        <w:rPr>
          <w:rFonts w:ascii="Times New Roman" w:hAnsi="Times New Roman"/>
          <w:b w:val="1"/>
          <w:u w:val="single"/>
          <w:sz w:val="24"/>
        </w:rPr>
      </w:pPr>
      <w:r>
        <w:rPr>
          <w:rFonts w:ascii="Times New Roman" w:hAnsi="Times New Roman"/>
          <w:b w:val="1"/>
          <w:u w:val="single"/>
        </w:rPr>
        <w:t xml:space="preserve">4. Conclusão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A experiência vivenciada indicou que a mediação inteligente entre agentes autônomos e o Canvas LMS,
        viabilizada pelo protocolo MCP e operada via Telegram, representa uma alternativa metodológica consistente para
        o
        ensino superior regional. Como contribuição prática para a Amazônia Ocidental, o estudo ilustra como
        instituições
        de ensino no interior do estado podem introduzir modernizações acadêmicas com sustentabilidade financeira e
        rigor
        ético. A solução reduziu a sobrecarga operacional docente ao abreviar em aproximadamente 89% o tempo do ciclo
        avaliativo global (de 7h30 para 50 min), devolvendo tempo útil para orientação direta e oficinas pedagógicas.</w:t>
      </w:r>
    </w:p>
    <w:p>
      <w:pPr>
        <w:spacing w:line="240" w:lineRule="auto" w:after="80"/>
        <w:ind w:right="-74" w:firstLine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Mais do que automatizar tarefas repetitivas, a arquitetura funcionou como suporte instrumental à atividade
        docente: assumiu etapas mecânicas de compilação e conferência sintática, permitindo que a atenção do educador se
        concentrasse na mediação formativa e no acompanhamento pedagógico. O estudo sugere que o emprego responsável de
        inteligência artificial na educação universitária alcança maior efetividade quando estruturado em sistemas
        abertos,
        auditáveis e seguros, preservando o protagonismo ético e decisório do professor no processo avaliativo.</w:t>
      </w:r>
    </w:p>
    <w:p>
      <w:pPr>
        <w:spacing w:line="240" w:lineRule="auto" w:before="200" w:after="60"/>
        <w:ind w:right="-74"/>
        <w:jc w:val="left"/>
        <w:rPr>
          <w:rFonts w:ascii="Times New Roman" w:hAnsi="Times New Roman"/>
          <w:b w:val="1"/>
          <w:u w:val="single"/>
          <w:sz w:val="24"/>
        </w:rPr>
      </w:pPr>
      <w:r>
        <w:rPr>
          <w:rFonts w:ascii="Times New Roman" w:hAnsi="Times New Roman"/>
          <w:b w:val="1"/>
          <w:u w:val="single"/>
        </w:rPr>
        <w:t xml:space="preserve">5. Referências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Black, P.; Wiliam, D. Assessment and classroom learning. Assessment in Education: Principles, Policy &amp; Practice,
        v. 5, n. 1, p. 7-74, 1998. DOI: https://doi.org/10.1080/0969595980050102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Bloom, B. S.; Hastings, J. T.; Madaus, G. F. Handbook on formative and summative evaluation of student learning.
        New York: McGraw-Hill, 1971.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Brasil. Lei Geral de Proteção de Dados Pessoais (LGPD). Lei nº 13.709, de 14 de agosto de 2018. Diário Oficial
        da União: Brasília, DF, 15 ago. 2018.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Floridi, L. Establishing the rules for building trustworthy AI. Nature Machine Intelligence, v. 1, n. 6, p.
        261-262, 2019. DOI: https://doi.org/10.1038/s42256-019-0055-y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Garrison, D. R.; Anderson, T.; Archer, W. Critical inquiry in a text-based environment: computer conferencing in
        higher education. The Internet and Higher Education, v. 2, n. 2-3, p. 87-105, 2000. DOI:
        https://doi.org/10.1016/S1096-7516(00)00016-6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Gil, A. C. Como elaborar projetos de pesquisa. 6. ed. São Paulo: Atlas, 2019.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Hattie, J.; Timperley, H. The power of feedback. Review of Educational Research, v. 77, n. 1, p. 81-112, 2007.
        DOI: https://doi.org/10.3102/003465430298487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Holmes, W. et al. Artificial intelligence in education: promises and implications for teaching and learning.
        Boston: Center for Curriculum Redesign, 2019.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Köche, J. C. Fundamentos de metodologia científica: teoria da ciência e iniciação à pesquisa. 32. ed.
        Petrópolis: Vozes, 2015.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Lakatos, E. M.; Marconi, M. A. Fundamentos de metodologia científica. 8. ed. São Paulo: Atlas, 2021.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Luckin, R. et al. Intelligence unleashed: an argument for AI in education. London: Pearson, 2016.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Perrenoud, P. Avaliação: da excelência à regulação das aprendizagens: entre duas lógicas. Porto Alegre: Artmed,
        1999.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Prodanov, C. C.; Freitas, E. C. Metodologia do trabalho científico: métodos e técnicas da pesquisa e do trabalho
        acadêmico. 2. ed. Novo Hamburgo: Feevale, 2013.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Russell, S.; Norvig, P. Artificial intelligence: a modern approach. 4. ed. Hoboken: Pearson, 2021.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Scriven, M. The methodology of evaluation. In: Stake, R. E. (ed.). Perspectives of curriculum evaluation.
        Chicago: Rand McNally, 1967. p. 39-83.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Severino, A. J. Metodologia do trabalho científico. 24. ed. São Paulo: Cortez, 2016.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Shute, V. J. Focus on formative feedback. Review of Educational Research, v. 78, n. 1, p. 153-189, 2008.
        DOI: https://doi.org/10.3102/0034654307313795</w:t>
      </w:r>
    </w:p>
    <w:p>
      <w:pPr>
        <w:spacing w:line="240" w:lineRule="auto" w:before="40" w:after="60"/>
        <w:ind w:right="-74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</w:rPr>
        <w:t xml:space="preserve">Unesco. Guidance for generative AI in education and research. Paris: United Nations Educational, Scientific and
        Cultural Organization, 2023.</w:t>
      </w:r>
    </w:p>
    <w:sectPr>
      <w:type w:val="continuous"/>
      <w:pgSz w:w="11906" w:h="16838" w:orient="portrait"/>
      <w:pgMar w:top="567" w:right="567" w:bottom="567" w:left="567" w:header="709" w:footer="709"/>
      <w:pgNumType w:start="3"/>
      <w:cols w:equalWidth="0" w:num="2">
        <w:col w:w="5101" w:space="568"/>
        <w:col w:w="5101"/>
      </w:cols>
      <w:headerReference w:type="default" r:id="Reec133b464924676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ambria"/>
  <w:font w:name="Georgia"/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42" wp14:textId="77777777">
    <w:pPr>
      <w:keepNext w:val="0"/>
      <w:keepLines w:val="0"/>
      <w:pageBreakBefore w:val="0"/>
      <w:widowControl w:val="1"/>
      <w:pBdr>
        <w:top w:val="nil" w:sz="0" w:space="0"/>
        <w:left w:val="nil" w:sz="0" w:space="0"/>
        <w:bottom w:val="single" w:color="000000" w:sz="18" w:space="1"/>
        <w:right w:val="nil" w:sz="0" w:space="0"/>
        <w:between w:val="nil" w:sz="0" w:space="0"/>
      </w:pBdr>
      <w:shd w:val="clear" w:fill="auto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  <w:r>
      <w:rPr>
        <w:rtl w:val="0"/>
      </w:rPr>
    </w:r>
  </w:p>
  <w:p xmlns:wp14="http://schemas.microsoft.com/office/word/2010/wordml" w:rsidP="0044AC81" w:rsidRDefault="00000000" w14:paraId="00000043" wp14:textId="77777777">
    <w:pPr>
      <w:keepNext w:val="0"/>
      <w:keepLines w:val="0"/>
      <w:pageBreakBefore w:val="0"/>
      <w:widowControl w:val="1"/>
      <w:pBdr>
        <w:top w:val="nil" w:color="FF000000" w:sz="0" w:space="0"/>
        <w:left w:val="nil" w:color="FF000000" w:sz="0" w:space="0"/>
        <w:bottom w:val="single" w:color="000000" w:sz="18" w:space="1"/>
        <w:right w:val="nil" w:color="FF000000" w:sz="0" w:space="0"/>
        <w:between w:val="nil" w:color="FF000000" w:sz="0" w:space="0"/>
      </w:pBdr>
      <w:shd w:val="clear" w:color="auto" w:fill="auto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z w:val="20"/>
        <w:szCs w:val="20"/>
        <w:u w:val="none"/>
        <w:shd w:val="clear" w:fill="auto"/>
        <w:vertAlign w:val="baseline"/>
        <w:lang w:val="en-US"/>
      </w:rPr>
    </w:pPr>
    <w:r w:rsidRPr="0044AC81" w:rsidR="0044AC81"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z w:val="20"/>
        <w:szCs w:val="20"/>
        <w:u w:val="none"/>
        <w:shd w:val="clear" w:fill="auto"/>
        <w:vertAlign w:val="baseline"/>
        <w:lang w:val="en-US"/>
      </w:rPr>
      <w:t xml:space="preserve">Pró-Reitoria de Pós-Graduação, Pesquisa, Extensão, Empregabilidade, Inovação e Internacionalização (ProPP</w:t>
    </w:r>
    <w:r w:rsidRPr="0044AC81" w:rsidR="0044AC81">
      <w:rPr>
        <w:rFonts w:ascii="Times New Roman" w:hAnsi="Times New Roman" w:eastAsia="Times New Roman" w:cs="Times New Roman"/>
        <w:sz w:val="20"/>
        <w:szCs w:val="20"/>
        <w:lang w:val="en-US"/>
      </w:rPr>
      <w:t xml:space="preserve">EXI</w:t>
    </w:r>
    <w:r w:rsidRPr="0044AC81" w:rsidR="0044AC81"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z w:val="20"/>
        <w:szCs w:val="20"/>
        <w:u w:val="none"/>
        <w:shd w:val="clear" w:fill="auto"/>
        <w:vertAlign w:val="baseline"/>
        <w:lang w:val="en-US"/>
      </w:rPr>
      <w:t xml:space="preserve">)</w:t>
    </w:r>
  </w:p>
  <w:p xmlns:wp14="http://schemas.microsoft.com/office/word/2010/wordml" w:rsidRDefault="00000000" w14:paraId="00000044" wp14:textId="77777777">
    <w:pPr>
      <w:keepNext w:val="0"/>
      <w:keepLines w:val="0"/>
      <w:pageBreakBefore w:val="0"/>
      <w:widowControl w:val="1"/>
      <w:pBdr>
        <w:top w:val="nil" w:sz="0" w:space="0"/>
        <w:left w:val="nil" w:sz="0" w:space="0"/>
        <w:bottom w:val="single" w:color="000000" w:sz="18" w:space="1"/>
        <w:right w:val="nil" w:sz="0" w:space="0"/>
        <w:between w:val="nil" w:sz="0" w:space="0"/>
      </w:pBdr>
      <w:shd w:val="clear" w:fill="auto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  <w:rtl w:val="0"/>
      </w:rPr>
      <w:t xml:space="preserve">Afya Centro Universitário de Ji-Paraná</w:t>
    </w:r>
  </w:p>
  <w:p xmlns:wp14="http://schemas.microsoft.com/office/word/2010/wordml" w:rsidP="00C1CB70" w:rsidRDefault="00000000" w14:paraId="00000045" wp14:textId="085449C0">
    <w:pPr>
      <w:keepNext w:val="0"/>
      <w:keepLines w:val="0"/>
      <w:pageBreakBefore w:val="0"/>
      <w:widowControl w:val="1"/>
      <w:pBdr>
        <w:top w:val="nil" w:color="000000" w:sz="0" w:space="0"/>
        <w:left w:val="nil" w:color="000000" w:sz="0" w:space="0"/>
        <w:bottom w:val="nil" w:color="000000" w:sz="0" w:space="0"/>
        <w:right w:val="nil" w:color="000000" w:sz="0" w:space="0"/>
        <w:between w:val="nil" w:color="000000" w:sz="0" w:space="0"/>
      </w:pBdr>
      <w:shd w:val="clear" w:color="auto" w:fill="auto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center"/>
      <w:rPr>
        <w:rFonts w:ascii="Times New Roman" w:hAnsi="Times New Roman" w:eastAsia="Times New Roman" w:cs="Times New Roman"/>
        <w:b w:val="0"/>
        <w:bCs w:val="0"/>
        <w:i w:val="1"/>
        <w:iCs w:val="1"/>
        <w:caps w:val="0"/>
        <w:smallCaps w:val="0"/>
        <w:strike w:val="0"/>
        <w:dstrike w:val="0"/>
        <w:color w:val="000000"/>
        <w:sz w:val="20"/>
        <w:szCs w:val="20"/>
        <w:u w:val="none"/>
        <w:shd w:val="clear" w:fill="auto"/>
        <w:vertAlign w:val="baseline"/>
        <w:lang w:val="en-US"/>
      </w:rPr>
    </w:pPr>
    <w:r w:rsidRPr="00C1CB70" w:rsidR="00C1CB70">
      <w:rPr>
        <w:rFonts w:ascii="Times New Roman" w:hAnsi="Times New Roman" w:eastAsia="Times New Roman" w:cs="Times New Roman"/>
        <w:b w:val="0"/>
        <w:bCs w:val="0"/>
        <w:i w:val="1"/>
        <w:iCs w:val="1"/>
        <w:caps w:val="0"/>
        <w:smallCaps w:val="0"/>
        <w:strike w:val="0"/>
        <w:dstrike w:val="0"/>
        <w:color w:val="000000" w:themeColor="text1" w:themeTint="FF" w:themeShade="FF"/>
        <w:sz w:val="20"/>
        <w:szCs w:val="20"/>
        <w:u w:val="none"/>
        <w:vertAlign w:val="baseline"/>
        <w:lang w:val="en-US"/>
      </w:rPr>
      <w:t>Anais do 1</w:t>
    </w:r>
    <w:r w:rsidRPr="00C1CB70" w:rsidR="00C1CB70">
      <w:rPr>
        <w:rFonts w:ascii="Times New Roman" w:hAnsi="Times New Roman" w:eastAsia="Times New Roman" w:cs="Times New Roman"/>
        <w:b w:val="0"/>
        <w:bCs w:val="0"/>
        <w:i w:val="1"/>
        <w:iCs w:val="1"/>
        <w:caps w:val="0"/>
        <w:smallCaps w:val="0"/>
        <w:strike w:val="0"/>
        <w:dstrike w:val="0"/>
        <w:color w:val="000000" w:themeColor="text1" w:themeTint="FF" w:themeShade="FF"/>
        <w:sz w:val="20"/>
        <w:szCs w:val="20"/>
        <w:u w:val="none"/>
        <w:vertAlign w:val="baseline"/>
        <w:lang w:val="en-US"/>
      </w:rPr>
      <w:t>2</w:t>
    </w:r>
    <w:r w:rsidRPr="00C1CB70" w:rsidR="00C1CB70">
      <w:rPr>
        <w:rFonts w:ascii="Times New Roman" w:hAnsi="Times New Roman" w:eastAsia="Times New Roman" w:cs="Times New Roman"/>
        <w:b w:val="0"/>
        <w:bCs w:val="0"/>
        <w:i w:val="1"/>
        <w:iCs w:val="1"/>
        <w:caps w:val="0"/>
        <w:smallCaps w:val="0"/>
        <w:strike w:val="0"/>
        <w:dstrike w:val="0"/>
        <w:color w:val="000000" w:themeColor="text1" w:themeTint="FF" w:themeShade="FF"/>
        <w:sz w:val="20"/>
        <w:szCs w:val="20"/>
        <w:u w:val="none"/>
        <w:vertAlign w:val="baseline"/>
        <w:lang w:val="en-US"/>
      </w:rPr>
      <w:t xml:space="preserve">º </w:t>
    </w:r>
    <w:r w:rsidRPr="00C1CB70" w:rsidR="00C1CB70">
      <w:rPr>
        <w:rFonts w:ascii="Times New Roman" w:hAnsi="Times New Roman" w:eastAsia="Times New Roman" w:cs="Times New Roman"/>
        <w:b w:val="0"/>
        <w:bCs w:val="0"/>
        <w:i w:val="1"/>
        <w:iCs w:val="1"/>
        <w:caps w:val="0"/>
        <w:smallCaps w:val="0"/>
        <w:strike w:val="0"/>
        <w:dstrike w:val="0"/>
        <w:color w:val="000000" w:themeColor="text1" w:themeTint="FF" w:themeShade="FF"/>
        <w:sz w:val="20"/>
        <w:szCs w:val="20"/>
        <w:u w:val="none"/>
        <w:vertAlign w:val="baseline"/>
        <w:lang w:val="en-US"/>
      </w:rPr>
      <w:t>Fórum</w:t>
    </w:r>
    <w:r w:rsidRPr="00C1CB70" w:rsidR="00C1CB70">
      <w:rPr>
        <w:rFonts w:ascii="Times New Roman" w:hAnsi="Times New Roman" w:eastAsia="Times New Roman" w:cs="Times New Roman"/>
        <w:b w:val="0"/>
        <w:bCs w:val="0"/>
        <w:i w:val="1"/>
        <w:iCs w:val="1"/>
        <w:caps w:val="0"/>
        <w:smallCaps w:val="0"/>
        <w:strike w:val="0"/>
        <w:dstrike w:val="0"/>
        <w:color w:val="000000" w:themeColor="text1" w:themeTint="FF" w:themeShade="FF"/>
        <w:sz w:val="20"/>
        <w:szCs w:val="20"/>
        <w:u w:val="none"/>
        <w:vertAlign w:val="baseline"/>
        <w:lang w:val="en-US"/>
      </w:rPr>
      <w:t xml:space="preserve"> </w:t>
    </w:r>
    <w:r w:rsidRPr="00C1CB70" w:rsidR="00C1CB70">
      <w:rPr>
        <w:rFonts w:ascii="Times New Roman" w:hAnsi="Times New Roman" w:eastAsia="Times New Roman" w:cs="Times New Roman"/>
        <w:b w:val="0"/>
        <w:bCs w:val="0"/>
        <w:i w:val="1"/>
        <w:iCs w:val="1"/>
        <w:caps w:val="0"/>
        <w:smallCaps w:val="0"/>
        <w:strike w:val="0"/>
        <w:dstrike w:val="0"/>
        <w:color w:val="000000" w:themeColor="text1" w:themeTint="FF" w:themeShade="FF"/>
        <w:sz w:val="20"/>
        <w:szCs w:val="20"/>
        <w:u w:val="none"/>
        <w:vertAlign w:val="baseline"/>
        <w:lang w:val="en-US"/>
      </w:rPr>
      <w:t>Rondoniense</w:t>
    </w:r>
    <w:r w:rsidRPr="00C1CB70" w:rsidR="00C1CB70">
      <w:rPr>
        <w:rFonts w:ascii="Times New Roman" w:hAnsi="Times New Roman" w:eastAsia="Times New Roman" w:cs="Times New Roman"/>
        <w:b w:val="0"/>
        <w:bCs w:val="0"/>
        <w:i w:val="1"/>
        <w:iCs w:val="1"/>
        <w:caps w:val="0"/>
        <w:smallCaps w:val="0"/>
        <w:strike w:val="0"/>
        <w:dstrike w:val="0"/>
        <w:color w:val="000000" w:themeColor="text1" w:themeTint="FF" w:themeShade="FF"/>
        <w:sz w:val="20"/>
        <w:szCs w:val="20"/>
        <w:u w:val="none"/>
        <w:vertAlign w:val="baseline"/>
        <w:lang w:val="en-US"/>
      </w:rPr>
      <w:t xml:space="preserve"> de Pesquisa</w:t>
    </w:r>
  </w:p>
  <w:p xmlns:wp14="http://schemas.microsoft.com/office/word/2010/wordml" w:rsidRDefault="00000000" w14:paraId="00000046" wp14:textId="77777777">
    <w:pPr>
      <w:keepNext w:val="0"/>
      <w:keepLines w:val="0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  <w:r>
      <w:rPr>
        <w:rtl w:val="0"/>
      </w:rPr>
    </w:r>
  </w:p>
  <w:p xmlns:wp14="http://schemas.microsoft.com/office/word/2010/wordml" w:rsidRDefault="00000000" w14:paraId="00000047" wp14:textId="77777777">
    <w:pPr>
      <w:keepNext w:val="0"/>
      <w:keepLines w:val="0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righ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  <w:r>
      <w:rPr>
        <w:rtl w:val="0"/>
      </w:rPr>
    </w: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00C1CB70" w:rsidP="00C1CB70" w:rsidRDefault="00C1CB70" w14:paraId="59B53E8E" w14:textId="19FB9BCB">
    <w:pPr>
      <w:pStyle w:val="Cabealho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590"/>
      <w:gridCol w:w="3590"/>
      <w:gridCol w:w="3590"/>
    </w:tblGrid>
    <w:tr w:rsidR="00C1CB70" w:rsidTr="00C1CB70" w14:paraId="770D3237">
      <w:trPr>
        <w:trHeight w:val="300"/>
      </w:trPr>
      <w:tc>
        <w:tcPr>
          <w:tcW w:w="3590" w:type="dxa"/>
          <w:tcMar/>
        </w:tcPr>
        <w:p w:rsidR="00C1CB70" w:rsidP="00C1CB70" w:rsidRDefault="00C1CB70" w14:paraId="364AB326" w14:textId="22CB06DF">
          <w:pPr>
            <w:pStyle w:val="Cabealho"/>
            <w:bidi w:val="0"/>
            <w:ind w:left="-115"/>
            <w:jc w:val="left"/>
          </w:pPr>
        </w:p>
      </w:tc>
      <w:tc>
        <w:tcPr>
          <w:tcW w:w="3590" w:type="dxa"/>
          <w:tcMar/>
        </w:tcPr>
        <w:p w:rsidR="00C1CB70" w:rsidP="00C1CB70" w:rsidRDefault="00C1CB70" w14:paraId="21C5622F" w14:textId="5E8BA296">
          <w:pPr>
            <w:pStyle w:val="Cabealho"/>
            <w:bidi w:val="0"/>
            <w:jc w:val="center"/>
          </w:pPr>
        </w:p>
      </w:tc>
      <w:tc>
        <w:tcPr>
          <w:tcW w:w="3590" w:type="dxa"/>
          <w:tcMar/>
        </w:tcPr>
        <w:p w:rsidR="00C1CB70" w:rsidP="00C1CB70" w:rsidRDefault="00C1CB70" w14:paraId="721DB26D" w14:textId="245311E5">
          <w:pPr>
            <w:pStyle w:val="Cabealho"/>
            <w:bidi w:val="0"/>
            <w:ind w:right="-115"/>
            <w:jc w:val="right"/>
          </w:pPr>
        </w:p>
      </w:tc>
    </w:tr>
  </w:tbl>
  <w:p w:rsidR="00C1CB70" w:rsidP="00C1CB70" w:rsidRDefault="00C1CB70" w14:paraId="09622764" w14:textId="3B4A0698">
    <w:pPr>
      <w:pStyle w:val="Cabealho"/>
      <w:bidi w:val="0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trackRevisions w:val="false"/>
  <w:defaultTabStop w:val="720"/>
  <w:compat>
    <w:compatSetting w:val="15" w:name="compatibilityMode" w:uri="http://schemas.microsoft.com/office/word"/>
  </w:compat>
  <w:rsids>
    <w:rsidRoot w:val="0044AC81"/>
    <w:rsid w:val="00000000"/>
    <w:rsid w:val="0044AC81"/>
    <w:rsid w:val="00C1CB70"/>
    <w:rsid w:val="025C66BE"/>
    <w:rsid w:val="08160AB2"/>
    <w:rsid w:val="098615D1"/>
    <w:rsid w:val="0BE399CE"/>
    <w:rsid w:val="0D5CED42"/>
    <w:rsid w:val="10106160"/>
    <w:rsid w:val="12FF303A"/>
    <w:rsid w:val="143B5F10"/>
    <w:rsid w:val="148F2071"/>
    <w:rsid w:val="157AA931"/>
    <w:rsid w:val="16B2F30C"/>
    <w:rsid w:val="18A18DBB"/>
    <w:rsid w:val="1F3ED9B1"/>
    <w:rsid w:val="235076AE"/>
    <w:rsid w:val="237B83BB"/>
    <w:rsid w:val="248B0F50"/>
    <w:rsid w:val="27996D88"/>
    <w:rsid w:val="3171018E"/>
    <w:rsid w:val="31FF4D70"/>
    <w:rsid w:val="3524666C"/>
    <w:rsid w:val="387B0E8F"/>
    <w:rsid w:val="38840640"/>
    <w:rsid w:val="3B0CF770"/>
    <w:rsid w:val="3BD64B38"/>
    <w:rsid w:val="47C130B8"/>
    <w:rsid w:val="4D100090"/>
    <w:rsid w:val="4F2A140E"/>
    <w:rsid w:val="50A73365"/>
    <w:rsid w:val="57BF1E01"/>
    <w:rsid w:val="5AE8D1F0"/>
    <w:rsid w:val="5C8EB35B"/>
    <w:rsid w:val="5CF434BF"/>
    <w:rsid w:val="6571879B"/>
    <w:rsid w:val="67813BFB"/>
    <w:rsid w:val="67A4BC12"/>
    <w:rsid w:val="6AADEDAD"/>
    <w:rsid w:val="6AC84855"/>
    <w:rsid w:val="6C74DE16"/>
    <w:rsid w:val="76487B58"/>
    <w:rsid w:val="767DF304"/>
    <w:rsid w:val="782A3BFB"/>
    <w:rsid w:val="79BC4212"/>
    <w:rsid w:val="7B391952"/>
    <w:rsid w:val="7C19B192"/>
    <w:rsid w:val="7F514AC9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DDA712E"/>
  <w15:docId w15:val="{5879530D-D213-4879-B643-A200F8A10EBE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0" w:line="480" w:lineRule="auto"/>
    </w:pPr>
    <w:rPr>
      <w:rFonts w:ascii="Times New Roman" w:hAnsi="Times New Roman" w:eastAsia="Times New Roman" w:cs="Times New Roman"/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8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mbria" w:hAnsi="Cambria" w:eastAsia="Cambria" w:cs="Cambria"/>
      <w:sz w:val="56"/>
      <w:szCs w:val="56"/>
    </w:rPr>
  </w:style>
  <w:style w:type="character" w:styleId="Fontepargpadro" w:default="1">
    <w:name w:val="Default Paragraph Font"/>
    <w:uiPriority w:val="1"/>
    <w:unhideWhenUsed w:val="1"/>
  </w:style>
  <w:style w:type="table" w:styleId="Tabelanormal" w:default="1">
    <w:name w:val="Normal Table0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elacomgrade">
    <w:name w:val="Table Grid"/>
    <w:basedOn w:val="Tabelanormal"/>
    <w:uiPriority w:val="59"/>
    <w:rsid w:val="00CD5F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6D51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6D515C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 w:val="1"/>
    <w:rsid w:val="005758AD"/>
    <w:pPr>
      <w:ind w:left="720"/>
      <w:contextualSpacing w:val="1"/>
    </w:pPr>
  </w:style>
  <w:style w:type="paragraph" w:styleId="Default" w:customStyle="1">
    <w:name w:val="Default"/>
    <w:rsid w:val="00AF1130"/>
    <w:pPr>
      <w:autoSpaceDE w:val="0"/>
      <w:autoSpaceDN w:val="0"/>
      <w:adjustRightInd w:val="0"/>
      <w:spacing w:after="0" w:line="240" w:lineRule="auto"/>
    </w:pPr>
    <w:rPr>
      <w:rFonts w:ascii="Times" w:hAnsi="Times" w:cs="Times"/>
      <w:color w:val="000000"/>
      <w:sz w:val="24"/>
      <w:szCs w:val="24"/>
    </w:rPr>
  </w:style>
  <w:style w:type="paragraph" w:styleId="Pa6" w:customStyle="1">
    <w:name w:val="Pa6"/>
    <w:basedOn w:val="Default"/>
    <w:next w:val="Default"/>
    <w:uiPriority w:val="99"/>
    <w:rsid w:val="00AF1130"/>
    <w:pPr>
      <w:spacing w:line="181" w:lineRule="atLeast"/>
    </w:pPr>
    <w:rPr>
      <w:color w:val="auto"/>
    </w:rPr>
  </w:style>
  <w:style w:type="character" w:styleId="Hyperlink">
    <w:name w:val="Hyperlink"/>
    <w:basedOn w:val="Fontepargpadro"/>
    <w:uiPriority w:val="99"/>
    <w:unhideWhenUsed w:val="1"/>
    <w:rsid w:val="008E4178"/>
    <w:rPr>
      <w:color w:val="0000ff" w:themeColor="hyperlink"/>
      <w:u w:val="single"/>
    </w:rPr>
  </w:style>
  <w:style w:type="paragraph" w:styleId="textotabelasilustracoesembranco" w:customStyle="1">
    <w:name w:val="_texto_tabelas_ilustracoes_em_branco"/>
    <w:basedOn w:val="Normal"/>
    <w:autoRedefine w:val="1"/>
    <w:qFormat w:val="1"/>
    <w:rsid w:val="00526B70"/>
    <w:pPr>
      <w:spacing w:after="0" w:line="240" w:lineRule="auto"/>
      <w:jc w:val="center"/>
    </w:pPr>
    <w:rPr>
      <w:rFonts w:ascii="Calibri" w:hAnsi="Calibri" w:eastAsia="Calibri"/>
      <w:b w:val="1"/>
      <w:color w:val="ffffff" w:themeColor="background1"/>
      <w:sz w:val="20"/>
      <w:szCs w:val="18"/>
    </w:rPr>
  </w:style>
  <w:style w:type="paragraph" w:styleId="textotabelasilustracoes" w:customStyle="1">
    <w:name w:val="_texto_tabelas_ilustracoes"/>
    <w:basedOn w:val="Normal"/>
    <w:autoRedefine w:val="1"/>
    <w:qFormat w:val="1"/>
    <w:rsid w:val="00526B70"/>
    <w:pPr>
      <w:spacing w:after="0" w:line="240" w:lineRule="auto"/>
    </w:pPr>
    <w:rPr>
      <w:rFonts w:ascii="Calibri" w:hAnsi="Calibri" w:eastAsia="Calibri"/>
      <w:color w:val="262626"/>
      <w:sz w:val="20"/>
      <w:szCs w:val="18"/>
    </w:rPr>
  </w:style>
  <w:style w:type="table" w:styleId="TabeladeGrade41" w:customStyle="1">
    <w:name w:val="Tabela de Grade 41"/>
    <w:basedOn w:val="Tabelanormal"/>
    <w:uiPriority w:val="49"/>
    <w:rsid w:val="00526B70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000099" w:sz="4" w:space="0"/>
        <w:left w:val="single" w:color="666666" w:themeColor="text1" w:themeTint="000099" w:sz="4" w:space="0"/>
        <w:bottom w:val="single" w:color="666666" w:themeColor="text1" w:themeTint="000099" w:sz="4" w:space="0"/>
        <w:right w:val="single" w:color="666666" w:themeColor="text1" w:themeTint="000099" w:sz="4" w:space="0"/>
        <w:insideH w:val="single" w:color="666666" w:themeColor="text1" w:themeTint="000099" w:sz="4" w:space="0"/>
        <w:insideV w:val="single" w:color="666666" w:themeColor="text1" w:themeTint="000099" w:sz="4" w:space="0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rPr>
        <w:b w:val="1"/>
        <w:bCs w:val="1"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cccccc" w:themeFill="text1" w:themeFillTint="000033"/>
      </w:tcPr>
    </w:tblStylePr>
    <w:tblStylePr w:type="band1Horz">
      <w:tblPr/>
      <w:tcPr>
        <w:shd w:val="clear" w:color="auto" w:fill="cccccc" w:themeFill="text1" w:themeFillTint="000033"/>
      </w:tcPr>
    </w:tblStylePr>
  </w:style>
  <w:style w:type="character" w:styleId="Ttulo1Char" w:customStyle="1">
    <w:name w:val="Título 1 Char"/>
    <w:basedOn w:val="Fontepargpadro"/>
    <w:link w:val="Ttulo1"/>
    <w:uiPriority w:val="9"/>
    <w:rsid w:val="00395682"/>
    <w:rPr>
      <w:rFonts w:ascii="Times New Roman" w:hAnsi="Times New Roman" w:eastAsia="Calibri" w:cs="Times New Roman"/>
      <w:b w:val="1"/>
      <w:sz w:val="24"/>
      <w:szCs w:val="24"/>
      <w:lang w:val="en-US"/>
    </w:rPr>
  </w:style>
  <w:style w:type="paragraph" w:styleId="Resumotexto" w:customStyle="1">
    <w:name w:val="Resumo_texto"/>
    <w:basedOn w:val="Normal"/>
    <w:rsid w:val="00301793"/>
    <w:pPr>
      <w:spacing w:after="300" w:line="240" w:lineRule="auto"/>
      <w:jc w:val="both"/>
    </w:pPr>
    <w:rPr>
      <w:rFonts w:ascii="Arial" w:hAnsi="Arial" w:eastAsia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 w:val="1"/>
    <w:rsid w:val="004021EA"/>
    <w:rPr>
      <w:b w:val="1"/>
      <w:bCs w:val="1"/>
    </w:rPr>
  </w:style>
  <w:style w:type="character" w:styleId="nfase">
    <w:name w:val="Emphasis"/>
    <w:uiPriority w:val="20"/>
    <w:qFormat w:val="1"/>
    <w:rsid w:val="002D737B"/>
    <w:rPr>
      <w:i w:val="1"/>
      <w:iCs w:val="1"/>
    </w:rPr>
  </w:style>
  <w:style w:type="paragraph" w:styleId="Cabealho">
    <w:name w:val="header"/>
    <w:basedOn w:val="Normal"/>
    <w:link w:val="CabealhoChar"/>
    <w:uiPriority w:val="99"/>
    <w:unhideWhenUsed w:val="1"/>
    <w:rsid w:val="00B4435A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B4435A"/>
  </w:style>
  <w:style w:type="paragraph" w:styleId="Rodap">
    <w:name w:val="footer"/>
    <w:basedOn w:val="Normal"/>
    <w:link w:val="RodapChar"/>
    <w:uiPriority w:val="99"/>
    <w:unhideWhenUsed w:val="1"/>
    <w:rsid w:val="00B4435A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B4435A"/>
  </w:style>
  <w:style w:type="paragraph" w:styleId="Corpodetexto">
    <w:name w:val="Body Text"/>
    <w:basedOn w:val="Normal"/>
    <w:link w:val="CorpodetextoChar"/>
    <w:rsid w:val="000F2F78"/>
    <w:pPr>
      <w:overflowPunct w:val="0"/>
      <w:spacing w:after="140"/>
      <w:textAlignment w:val="baseline"/>
    </w:pPr>
    <w:rPr>
      <w:rFonts w:ascii="Helvetica" w:hAnsi="Helvetica" w:eastAsia="Times New Roman" w:cs="Times New Roman"/>
      <w:color w:val="00000a"/>
      <w:sz w:val="20"/>
      <w:szCs w:val="20"/>
      <w:lang w:val="en-US" w:eastAsia="pt-BR"/>
    </w:rPr>
  </w:style>
  <w:style w:type="character" w:styleId="CorpodetextoChar" w:customStyle="1">
    <w:name w:val="Corpo de texto Char"/>
    <w:basedOn w:val="Fontepargpadro"/>
    <w:link w:val="Corpodetexto"/>
    <w:rsid w:val="000F2F78"/>
    <w:rPr>
      <w:rFonts w:ascii="Helvetica" w:hAnsi="Helvetica" w:eastAsia="Times New Roman" w:cs="Times New Roman"/>
      <w:color w:val="00000a"/>
      <w:sz w:val="20"/>
      <w:szCs w:val="20"/>
      <w:lang w:val="en-US" w:eastAsia="pt-BR"/>
    </w:rPr>
  </w:style>
  <w:style w:type="character" w:styleId="HiperlinkVisitado">
    <w:name w:val="FollowedHyperlink"/>
    <w:basedOn w:val="Fontepargpadro"/>
    <w:uiPriority w:val="99"/>
    <w:semiHidden w:val="1"/>
    <w:unhideWhenUsed w:val="1"/>
    <w:rsid w:val="00F3683A"/>
    <w:rPr>
      <w:color w:val="800080" w:themeColor="followedHyperlink"/>
      <w:u w:val="single"/>
    </w:rPr>
  </w:style>
  <w:style w:type="character" w:styleId="MenoPendente">
    <w:name w:val="Unresolved Mention"/>
    <w:basedOn w:val="Fontepargpadro"/>
    <w:uiPriority w:val="99"/>
    <w:semiHidden w:val="1"/>
    <w:unhideWhenUsed w:val="1"/>
    <w:rsid w:val="00F3683A"/>
    <w:rPr>
      <w:color w:val="605e5c"/>
      <w:shd w:val="clear" w:color="auto" w:fill="e1dfdd"/>
    </w:rPr>
  </w:style>
  <w:style w:type="paragraph" w:styleId="MDPI11articletype" w:customStyle="1">
    <w:name w:val="MDPI_1.1_article_type"/>
    <w:next w:val="Normal"/>
    <w:qFormat w:val="1"/>
    <w:rsid w:val="00BF1092"/>
    <w:pPr>
      <w:adjustRightInd w:val="0"/>
      <w:snapToGrid w:val="0"/>
      <w:spacing w:before="240" w:after="0" w:line="240" w:lineRule="auto"/>
    </w:pPr>
    <w:rPr>
      <w:rFonts w:ascii="Palatino Linotype" w:hAnsi="Palatino Linotype" w:eastAsia="Times New Roman" w:cs="Times New Roman"/>
      <w:i w:val="1"/>
      <w:snapToGrid w:val="0"/>
      <w:color w:val="000000"/>
      <w:sz w:val="20"/>
      <w:lang w:val="en-US" w:eastAsia="de-DE" w:bidi="en-US"/>
    </w:rPr>
  </w:style>
  <w:style w:type="character" w:styleId="TtuloChar" w:customStyle="1">
    <w:name w:val="Título Char"/>
    <w:basedOn w:val="Fontepargpadro"/>
    <w:link w:val="Ttulo"/>
    <w:uiPriority w:val="10"/>
    <w:rsid w:val="00EB12C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360" w:after="80" w:lineRule="auto"/>
    </w:pPr>
    <w:rPr>
      <w:rFonts w:ascii="Georgia" w:hAnsi="Georgia" w:eastAsia="Georgia" w:cs="Georgia"/>
      <w:i w:val="1"/>
      <w:color w:val="666666"/>
      <w:sz w:val="48"/>
      <w:szCs w:val="48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customXml" Target="../customXML/item1.xml" Id="rId6" /><Relationship Type="http://schemas.openxmlformats.org/officeDocument/2006/relationships/footer" Target="footer1.xml" Id="rId8" /><Relationship Type="http://schemas.openxmlformats.org/officeDocument/2006/relationships/header" Target="header.xml" Id="R114d12b748a84f00" /><Relationship Type="http://schemas.openxmlformats.org/officeDocument/2006/relationships/header" Target="header2.xml" Id="Reec133b464924676" /><Relationship Type="http://schemas.openxmlformats.org/officeDocument/2006/relationships/image" Target="/media/image2.jpg" Id="R6b2a76200c0f4a89" 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202PuahRoAXkG461WS20mP/uGg==">CgMxLjA4AHIhMWRUb1ppeDBYWkJyV1ZSQ2ZtTTBNLVQ5a0VEaGxMbDZU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2025-08-12T14:34:00.0000000Z</dcterms:created>
  <dc:creator>Home</dc:creator>
  <lastModifiedBy>Wesley Pimenta Candido</lastModifiedBy>
  <dcterms:modified xsi:type="dcterms:W3CDTF">2026-09-17T20:12:06.7756548Z</dcterms:modified>
</coreProperties>
</file>