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jpg" ContentType="image/jpeg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1" /><Relationship Type="http://schemas.openxmlformats.org/officeDocument/2006/relationships/officeDocument" Target="word/document.xml" Id="rId2" /><Relationship Type="http://schemas.openxmlformats.org/officeDocument/2006/relationships/extended-properties" Target="docProps/app.xml" Id="Rc5fb2f6ac0444ecf" 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p14">
  <w:body>
    <w:p w:rsidR="098615D1" w:rsidP="098615D1" w:rsidRDefault="098615D1" ns2:paraId="7E330E38" ns2:textId="189723F5">
      <w:pPr>
        <w:pStyle w:val="Normal"/>
        <w:tabs>
          <w:tab w:val="left" w:leader="none" w:pos="1507"/>
        </w:tabs>
        <w:spacing w:after="0" w:line="240" w:lineRule="auto"/>
      </w:pPr>
      <w:r w:rsidR="3BD64B38">
        <w:drawing>
          <ns3:anchor distT="0" distB="0" distL="114300" distR="114300" simplePos="0" relativeHeight="251658240" behindDoc="0" locked="0" layoutInCell="1" allowOverlap="1" ns4:anchorId="3FE50C40" ns4:editId="04727045">
            <ns3:simplePos x="0" y="0"/>
            <ns3:positionH relativeFrom="column">
              <ns3:posOffset>-400050</ns3:posOffset>
            </ns3:positionH>
            <ns3:positionV relativeFrom="paragraph">
              <ns3:posOffset>-628650</ns3:posOffset>
            </ns3:positionV>
            <ns3:extent cx="7627785" cy="1851201"/>
            <ns3:effectExtent l="0" t="0" r="0" b="0"/>
            <ns3:wrapNone/>
            <ns3:docPr id="2067492396" name="drawing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067492396" name="Picture 2067492396"/>
                    <ns6:cNvPicPr/>
                  </ns6:nvPicPr>
                  <ns6:blipFill>
                    <ns5:blip ns7:embed="R6b2a76200c0f4a89">
                      <ns5:extLst>
                        <ns5:ext uri="{28A0092B-C50C-407E-A947-70E740481C1C}">
                          <ns8:useLocalDpi/>
                        </ns5:ext>
                      </ns5:extLst>
                    </ns5:blip>
                    <ns5:srcRect l="0" t="7684" r="0" b="27568"/>
                    <ns5:stretch>
                      <ns5:fillRect/>
                    </ns5:stretch>
                  </ns6:blipFill>
                  <ns6:spPr>
                    <ns5:xfrm rot="0">
                      <ns5:off x="0" y="0"/>
                      <ns5:ext cx="7627785" cy="1851201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w:drawing>
      </w:r>
    </w:p>
    <w:p w:rsidR="098615D1" w:rsidP="098615D1" w:rsidRDefault="098615D1" ns2:paraId="7936E2F5" ns2:textId="206651EC">
      <w:pPr>
        <w:pStyle w:val="Normal"/>
        <w:tabs>
          <w:tab w:val="left" w:leader="none" w:pos="1507"/>
        </w:tabs>
        <w:spacing w:after="0" w:line="240" w:lineRule="auto"/>
      </w:pPr>
    </w:p>
    <w:p w:rsidR="3BD64B38" w:rsidP="3BD64B38" w:rsidRDefault="3BD64B38" ns2:paraId="0EA6A41B" ns2:textId="18BF6A54">
      <w:pPr>
        <w:pStyle w:val="Normal"/>
        <w:tabs>
          <w:tab w:val="left" w:leader="none" w:pos="1507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lang w:val="en-US"/>
        </w:rPr>
      </w:pPr>
    </w:p>
    <w:p w:rsidR="3BD64B38" w:rsidP="3BD64B38" w:rsidRDefault="3BD64B38" ns2:paraId="2CB91225" ns2:textId="45EAE008">
      <w:pPr>
        <w:pStyle w:val="Normal"/>
        <w:tabs>
          <w:tab w:val="left" w:leader="none" w:pos="1507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lang w:val="en-US"/>
        </w:rPr>
      </w:pPr>
    </w:p>
    <w:p w:rsidR="3BD64B38" w:rsidP="3BD64B38" w:rsidRDefault="3BD64B38" ns2:paraId="7CAE9521" ns2:textId="075AC771">
      <w:pPr>
        <w:pStyle w:val="Normal"/>
        <w:tabs>
          <w:tab w:val="left" w:leader="none" w:pos="1507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lang w:val="en-US"/>
        </w:rPr>
      </w:pPr>
    </w:p>
    <w:p w:rsidR="3BD64B38" w:rsidP="3BD64B38" w:rsidRDefault="3BD64B38" ns2:paraId="1AEFDA21" ns2:textId="6FF221B5">
      <w:pPr>
        <w:pStyle w:val="Normal"/>
        <w:tabs>
          <w:tab w:val="left" w:leader="none" w:pos="1507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lang w:val="en-US"/>
        </w:rPr>
      </w:pPr>
    </w:p>
    <w:p w:rsidR="4D100090" w:rsidP="4D100090" w:rsidRDefault="4D100090" ns2:paraId="6BBE7897" ns2:textId="22E3579B">
      <w:pPr>
        <w:pStyle w:val="Normal"/>
        <w:tabs>
          <w:tab w:val="left" w:leader="none" w:pos="1507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lang w:val="en-US"/>
        </w:rPr>
      </w:pPr>
    </w:p>
    <w:p w:rsidR="237B83BB" w:rsidP="00C1CB70" w:rsidRDefault="237B83BB" ns2:paraId="6F72AE3A" ns2:textId="52A12535">
      <w:pPr>
        <w:pStyle w:val="Normal"/>
        <w:tabs>
          <w:tab w:val="left" w:leader="none" w:pos="1507"/>
        </w:tabs>
        <w:spacing w:after="0" w:line="240" w:lineRule="auto"/>
        <w:jc w:val="right"/>
      </w:pPr>
      <w:r w:rsidRPr="098615D1" w:rsidR="237B83BB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lang w:val="en-US"/>
        </w:rPr>
        <w:t>Eixo Temático: 3. Inteligência Artificial, Transformação Digital e Tecnologias Emergentes</w:t>
      </w:r>
      <w:r w:rsidRPr="098615D1" w:rsidR="237B83BB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lang w:val="en-US"/>
        </w:rPr>
        <w:t xml:space="preserve"/>
      </w:r>
      <w:r w:rsidRPr="098615D1" w:rsidR="148F207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lang w:val="en-US"/>
        </w:rPr>
        <w:t/>
      </w:r>
    </w:p>
    <w:p w:rsidR="237B83BB" w:rsidP="4D100090" w:rsidRDefault="237B83BB" ns2:paraId="00F281EF" ns2:textId="404CB37B">
      <w:pPr>
        <w:pStyle w:val="Normal"/>
        <w:suppressLineNumbers w:val="0"/>
        <w:tabs>
          <w:tab w:val="left" w:leader="none" w:pos="1507"/>
        </w:tabs>
        <w:bidi w:val="0"/>
        <w:spacing w:before="0" w:beforeAutospacing="off" w:after="0" w:afterAutospacing="off" w:line="240" w:lineRule="auto"/>
        <w:ind w:left="0" w:right="0"/>
        <w:jc w:val="right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lang w:val="en-US"/>
        </w:rPr>
      </w:pPr>
      <w:r w:rsidRPr="4D100090" w:rsidR="148F207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lang w:val="en-US"/>
        </w:rPr>
        <w:t>Linha Temática: II. Sistemas Inteligentes, Automação de Processos e Tomada de Decisão</w:t>
      </w:r>
      <w:r w:rsidRPr="4D100090" w:rsidR="148F207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lang w:val="en-US"/>
        </w:rPr>
        <w:t xml:space="preserve"/>
      </w:r>
      <w:r w:rsidRPr="4D100090" w:rsidR="6AC84855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lang w:val="en-US"/>
        </w:rPr>
        <w:t/>
      </w:r>
    </w:p>
    <w:p w:rsidR="00C1CB70" w:rsidP="4D100090" w:rsidRDefault="00C1CB70" ns2:paraId="605510E9" ns2:textId="27732260">
      <w:pPr>
        <w:tabs>
          <w:tab w:val="left" w:leader="none" w:pos="1507"/>
        </w:tabs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</w:pPr>
    </w:p>
    <w:p w:rsidP="0044AC81" w:rsidRDefault="00000000" ns2:paraId="00000003" ns2:textId="332063DF">
      <w:pPr>
        <w:tabs>
          <w:tab w:val="left" w:leader="none" w:pos="1507"/>
        </w:tabs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r w:rsidRPr="7B391952" w:rsidR="18A18DBB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Mediação inteligente na gestão docente universitária: relato de experiência da integração de agente autônomo ao Canvas LMS via Model Context Protocol (MCP) com interface via Telegram</w:t>
      </w:r>
      <w:r w:rsidRPr="7B391952" w:rsidR="47C130B8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/>
      </w:r>
      <w:r w:rsidRPr="7B391952" w:rsidR="248B0F50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/>
      </w:r>
      <w:r w:rsidRPr="7B391952" w:rsidR="4F2A140E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/>
      </w:r>
    </w:p>
    <w:p w:rsidRDefault="00000000" ns2:paraId="00000004" ns2:textId="77777777">
      <w:pPr>
        <w:tabs>
          <w:tab w:val="left" w:leader="none" w:pos="1507"/>
          <w:tab w:val="left" w:leader="none" w:pos="2049"/>
        </w:tabs>
        <w:spacing w:after="0" w:line="240" w:lineRule="auto"/>
        <w:rPr>
          <w:rFonts w:ascii="Times New Roman" w:hAnsi="Times New Roman" w:eastAsia="Times New Roman" w:cs="Times New Roman"/>
          <w:b w:val="1"/>
          <w:sz w:val="24"/>
          <w:szCs w:val="24"/>
        </w:rPr>
      </w:pPr>
      <w:r>
        <w:rPr>
          <w:rtl w:val="0"/>
        </w:rPr>
      </w:r>
    </w:p>
    <w:p w:rsidP="0044AC81" w:rsidRDefault="00000000" ns2:paraId="00000005" ns2:textId="77777777">
      <w:pPr>
        <w:tabs>
          <w:tab w:val="left" w:leader="none" w:pos="1507"/>
          <w:tab w:val="left" w:leader="none" w:pos="2049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BD64B38" w:rsidR="0044AC81">
        <w:rPr>
          <w:rFonts w:ascii="Times New Roman" w:hAnsi="Times New Roman" w:eastAsia="Times New Roman" w:cs="Times New Roman"/>
          <w:sz w:val="24"/>
          <w:szCs w:val="24"/>
          <w:lang w:val="en-US"/>
        </w:rPr>
        <w:t>Karan Luciano1*, Equipe Docente de Tecnologias Educacionais1, Coordenação de Pesquisa e Inovação Acadêmica1</w:t>
      </w:r>
      <w:r w:rsidRPr="3BD64B38" w:rsidR="0044AC81">
        <w:rPr>
          <w:rFonts w:ascii="Times New Roman" w:hAnsi="Times New Roman" w:eastAsia="Times New Roman" w:cs="Times New Roman"/>
          <w:sz w:val="24"/>
          <w:szCs w:val="24"/>
          <w:vertAlign w:val="superscript"/>
          <w:lang w:val="en-US"/>
        </w:rPr>
        <w:t/>
      </w:r>
      <w:r w:rsidRPr="3BD64B38" w:rsidR="0044AC81">
        <w:rPr>
          <w:rFonts w:ascii="Times New Roman" w:hAnsi="Times New Roman" w:eastAsia="Times New Roman" w:cs="Times New Roman"/>
          <w:sz w:val="24"/>
          <w:szCs w:val="24"/>
          <w:lang w:val="en-US"/>
        </w:rPr>
        <w:t/>
      </w:r>
      <w:r w:rsidRPr="3BD64B38" w:rsidR="0044AC81">
        <w:rPr>
          <w:rFonts w:ascii="Times New Roman" w:hAnsi="Times New Roman" w:eastAsia="Times New Roman" w:cs="Times New Roman"/>
          <w:sz w:val="24"/>
          <w:szCs w:val="24"/>
          <w:vertAlign w:val="superscript"/>
          <w:lang w:val="en-US"/>
        </w:rPr>
        <w:t/>
      </w:r>
      <w:r w:rsidRPr="3BD64B38" w:rsidR="0044AC81">
        <w:rPr>
          <w:rFonts w:ascii="Times New Roman" w:hAnsi="Times New Roman" w:eastAsia="Times New Roman" w:cs="Times New Roman"/>
          <w:sz w:val="24"/>
          <w:szCs w:val="24"/>
          <w:lang w:val="en-US"/>
        </w:rPr>
        <w:t/>
      </w:r>
      <w:r w:rsidRPr="3BD64B38" w:rsidR="0044AC81">
        <w:rPr>
          <w:rFonts w:ascii="Times New Roman" w:hAnsi="Times New Roman" w:eastAsia="Times New Roman" w:cs="Times New Roman"/>
          <w:sz w:val="24"/>
          <w:szCs w:val="24"/>
          <w:vertAlign w:val="superscript"/>
          <w:lang w:val="en-US"/>
        </w:rPr>
        <w:t/>
      </w:r>
      <w:r w:rsidRPr="3BD64B38" w:rsidR="0044AC8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/>
      </w:r>
      <w:r w:rsidRPr="3BD64B38" w:rsidR="0044AC81">
        <w:rPr>
          <w:rFonts w:ascii="Times New Roman" w:hAnsi="Times New Roman" w:eastAsia="Times New Roman" w:cs="Times New Roman"/>
          <w:color w:val="EE0000"/>
          <w:sz w:val="24"/>
          <w:szCs w:val="24"/>
          <w:highlight w:val="yellow"/>
          <w:lang w:val="en-US"/>
        </w:rPr>
        <w:t/>
      </w:r>
      <w:r>
        <w:rPr>
          <w:rtl w:val="0"/>
        </w:rPr>
      </w:r>
    </w:p>
    <w:p w:rsidRDefault="00000000" ns2:paraId="00000006" ns2:textId="77777777">
      <w:pPr>
        <w:tabs>
          <w:tab w:val="left" w:leader="none" w:pos="1507"/>
          <w:tab w:val="left" w:leader="none" w:pos="2049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vertAlign w:val="superscript"/>
        </w:rPr>
      </w:pPr>
      <w:r>
        <w:rPr>
          <w:rtl w:val="0"/>
        </w:rPr>
      </w:r>
    </w:p>
    <w:p w:rsidP="0044AC81" w:rsidRDefault="00000000" ns2:paraId="00000007" ns2:textId="77777777">
      <w:pPr>
        <w:tabs>
          <w:tab w:val="left" w:leader="none" w:pos="1507"/>
          <w:tab w:val="left" w:leader="none" w:pos="2049"/>
        </w:tabs>
        <w:spacing w:after="0" w:line="240" w:lineRule="auto"/>
        <w:rPr>
          <w:rFonts w:ascii="Times New Roman" w:hAnsi="Times New Roman" w:eastAsia="Times New Roman" w:cs="Times New Roman"/>
          <w:lang w:val="en-US"/>
        </w:rPr>
      </w:pPr>
      <w:r w:rsidRPr="0044AC81" w:rsidR="0044AC81">
        <w:rPr>
          <w:rFonts w:ascii="Times New Roman" w:hAnsi="Times New Roman" w:eastAsia="Times New Roman" w:cs="Times New Roman"/>
          <w:vertAlign w:val="superscript"/>
          <w:lang w:val="en-US"/>
        </w:rPr>
        <w:t>1Curso de Bacharelado em Ciência da Computação, Afya Centro Universitário de Ji-Paraná, Ji-Paraná, Rondônia, Brasil</w:t>
      </w:r>
      <w:r w:rsidRPr="0044AC81" w:rsidR="0044AC81">
        <w:rPr>
          <w:rFonts w:ascii="Times New Roman" w:hAnsi="Times New Roman" w:eastAsia="Times New Roman" w:cs="Times New Roman"/>
          <w:lang w:val="en-US"/>
        </w:rPr>
        <w:t/>
      </w:r>
    </w:p>
    <w:p w:rsidP="0044AC81" w:rsidRDefault="00000000" ns2:paraId="00000008" ns2:textId="77777777">
      <w:pPr>
        <w:tabs>
          <w:tab w:val="left" w:leader="none" w:pos="1507"/>
          <w:tab w:val="left" w:leader="none" w:pos="2049"/>
        </w:tabs>
        <w:spacing w:after="0" w:line="240" w:lineRule="auto"/>
        <w:rPr>
          <w:rFonts w:ascii="Times New Roman" w:hAnsi="Times New Roman" w:eastAsia="Times New Roman" w:cs="Times New Roman"/>
          <w:lang w:val="en-US"/>
        </w:rPr>
      </w:pPr>
      <w:r w:rsidRPr="0044AC81" w:rsidR="0044AC81">
        <w:rPr>
          <w:rFonts w:ascii="Times New Roman" w:hAnsi="Times New Roman" w:eastAsia="Times New Roman" w:cs="Times New Roman"/>
          <w:vertAlign w:val="superscript"/>
          <w:lang w:val="en-US"/>
        </w:rPr>
        <w:t/>
      </w:r>
      <w:r w:rsidRPr="0044AC81" w:rsidR="0044AC81">
        <w:rPr>
          <w:rFonts w:ascii="Times New Roman" w:hAnsi="Times New Roman" w:eastAsia="Times New Roman" w:cs="Times New Roman"/>
          <w:lang w:val="en-US"/>
        </w:rPr>
        <w:t xml:space="preserve"/>
      </w:r>
    </w:p>
    <w:p w:rsidP="0044AC81" w:rsidRDefault="00000000" ns2:paraId="00000009" ns2:textId="77777777">
      <w:pPr>
        <w:tabs>
          <w:tab w:val="left" w:leader="none" w:pos="1507"/>
          <w:tab w:val="left" w:leader="none" w:pos="2049"/>
        </w:tabs>
        <w:spacing w:after="0" w:line="240" w:lineRule="auto"/>
        <w:rPr>
          <w:rFonts w:ascii="Times New Roman" w:hAnsi="Times New Roman" w:eastAsia="Times New Roman" w:cs="Times New Roman"/>
          <w:lang w:val="en-US"/>
        </w:rPr>
      </w:pPr>
      <w:r w:rsidRPr="0044AC81" w:rsidR="0044AC81">
        <w:rPr>
          <w:rFonts w:ascii="Times New Roman" w:hAnsi="Times New Roman" w:eastAsia="Times New Roman" w:cs="Times New Roman"/>
          <w:vertAlign w:val="superscript"/>
          <w:lang w:val="en-US"/>
        </w:rPr>
        <w:t/>
      </w:r>
      <w:r w:rsidRPr="0044AC81" w:rsidR="0044AC81">
        <w:rPr>
          <w:rFonts w:ascii="Times New Roman" w:hAnsi="Times New Roman" w:eastAsia="Times New Roman" w:cs="Times New Roman"/>
          <w:lang w:val="en-US"/>
        </w:rPr>
        <w:t xml:space="preserve"/>
      </w:r>
    </w:p>
    <w:p w:rsidP="0044AC81" w:rsidRDefault="00000000" ns2:paraId="0000000A" ns2:textId="77777777">
      <w:pPr>
        <w:tabs>
          <w:tab w:val="left" w:leader="none" w:pos="1507"/>
          <w:tab w:val="left" w:leader="none" w:pos="2049"/>
        </w:tabs>
        <w:spacing w:after="0" w:line="240" w:lineRule="auto"/>
        <w:rPr>
          <w:rFonts w:ascii="Times New Roman" w:hAnsi="Times New Roman" w:eastAsia="Times New Roman" w:cs="Times New Roman"/>
          <w:lang w:val="en-US"/>
        </w:rPr>
      </w:pPr>
      <w:r w:rsidRPr="0044AC81" w:rsidR="0044AC81">
        <w:rPr>
          <w:rFonts w:ascii="Times New Roman" w:hAnsi="Times New Roman" w:eastAsia="Times New Roman" w:cs="Times New Roman"/>
          <w:lang w:val="en-US"/>
        </w:rPr>
        <w:t>*Autor(a) correspondente: Endereço profissional: Av. Universitária, s/n, Aurélio Bernardi, Ji-Paraná - RO, CEP: 76907-438. E-mail: karan.luciano@afya.com.br</w:t>
      </w:r>
    </w:p>
    <w:p w:rsidRDefault="00000000" ns2:paraId="0000000B" ns2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single" w:color="000000" w:sz="12" w:space="1"/>
          <w:right w:val="nil" w:sz="0" w:space="0"/>
          <w:between w:val="nil" w:sz="0" w:space="0"/>
        </w:pBdr>
        <w:shd w:val="clear" w:fill="auto"/>
        <w:tabs>
          <w:tab w:val="left" w:leader="none" w:pos="2918"/>
          <w:tab w:val="left" w:leader="none" w:pos="3804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val="clear" w:fill="auto"/>
          <w:vertAlign w:val="baseline"/>
          <w:rtl w:val="0"/>
        </w:rPr>
        <w:tab/>
      </w:r>
    </w:p>
    <w:p w:rsidRDefault="00000000" ns2:paraId="0000000C" ns2:textId="77777777">
      <w:pPr>
        <w:tabs>
          <w:tab w:val="left" w:leader="none" w:pos="6643"/>
        </w:tabs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  <w:sectPr>
          <w:footerReference w:type="default" ns7:id="rId8"/>
          <w:pgSz w:w="11906" w:h="16838" w:orient="portrait"/>
          <w:pgMar w:top="567" w:right="567" w:bottom="567" w:left="624" w:header="709" w:footer="709"/>
          <w:pgNumType w:start="1"/>
          <w:cols w:num="1"/>
          <w:headerReference w:type="default" ns7:id="R114d12b748a84f00"/>
        </w:sectPr>
      </w:pPr>
      <w:r>
        <w:rPr>
          <w:rtl w:val="0"/>
        </w:rPr>
      </w:r>
    </w:p>
    <w:p>
      <w:pPr>
        <w:spacing w:line="240" w:lineRule="auto" w:before="200" w:after="60"/>
        <w:ind w:right="-74"/>
        <w:jc w:val="left"/>
        <w:rPr>
          <w:rFonts w:ascii="Times New Roman" w:hAnsi="Times New Roman"/>
          <w:b w:val="1"/>
          <w:u w:val="single"/>
          <w:sz w:val="24"/>
        </w:rPr>
      </w:pPr>
      <w:r>
        <w:rPr>
          <w:rFonts w:ascii="Times New Roman" w:hAnsi="Times New Roman"/>
          <w:b w:val="1"/>
          <w:u w:val="single"/>
        </w:rPr>
        <w:t xml:space="preserve">1. Introdução</w:t>
      </w:r>
    </w:p>
    <w:p>
      <w:pPr>
        <w:spacing w:line="240" w:lineRule="auto" w:after="80"/>
        <w:ind w:right="-74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A consolidação dos Ambientes Virtuais de Aprendizagem (AVAs), como o Canvas LMS, transformou a gestão acadêmica universitária, mas impôs uma severa sobrecarga administrativa docente: rotinas repetitivas de triagem de dezenas de repositórios digitais, controle cronológico de prazos e conferência sintática de códigos competem diretamente com o planejamento pedagógico e a orientação discente (Garrison; Anderson; Archer, 2000; Gil, 2019; Severino, 2016). Embora a Inteligência Artificial Generativa (IAG) ofereça grande potencial de suporte avaliativo (Luckin et al., 2016; Unesco, 2023), interfaces convencionais de chat operam desconectadas dos sistemas institucionais, exigindo transferências manuais arriscadas e desgastantes. Para superar esse abismo técnico, a presente intervenção articula o Model Context Protocol (MCP) — padrão aberto que padroniza conexões seguras entre IA e sistemas institucionais sob privilégios restritos — ao aplicativo móvel Telegram, convertendo o smartphone do professor em uma porta de entrada ubíqua e amigável para mediação de turmas em linguagem natural (Figura 1).</w:t>
      </w:r>
    </w:p>
    <w:p>
      <w:pPr>
        <w:spacing w:line="240" w:lineRule="auto" w:before="100" w:after="20"/>
        <w:ind w:right="-74"/>
        <w:jc w:val="left"/>
        <w:rPr>
          <w:rFonts w:ascii="Times New Roman" w:hAnsi="Times New Roman"/>
          <w:b w:val="1"/>
          <w:sz w:val="19"/>
        </w:rPr>
      </w:pPr>
      <w:r>
        <w:rPr>
          <w:rFonts w:ascii="Times New Roman" w:hAnsi="Times New Roman"/>
          <w:b w:val="1"/>
        </w:rPr>
        <w:t xml:space="preserve">Figura 1. Arquitetura da Mediação: Telegram como porta de entrada amigável ao MCP e Canvas LMS</w:t>
      </w:r>
    </w:p>
    <w:p>
      <w:pPr>
        <w:spacing w:line="240" w:lineRule="auto" w:before="20" w:after="100"/>
        <w:ind w:right="-74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</w:rPr>
        <w:t xml:space="preserve">Fonte: Elaborada pelos autores (2026).</w:t>
      </w:r>
    </w:p>
    <w:p>
      <w:pPr>
        <w:spacing w:line="240" w:lineRule="auto" w:after="80"/>
        <w:ind w:right="-74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Nesse contexto, alinhado ao Eixo 3 do 12º Fórum Rondoniense de Pesquisa, este trabalho investiga de que maneira a mediação inteligente conectada ao Canvas LMS via MCP e Telegram mitiga a sobrecarga burocrática docente e eleva a qualidade das avaliações no ensino superior (Lakatos; Marconi, 2021). O objetivo é relatar a vivência de concepção, homologação e aplicação prática dessa arquitetura, evidenciando impactos reais de produtividade na rotina acadêmica, tempestividade nos pareceres formativos e salvaguarda permanente da governança ética institucional.</w:t>
      </w:r>
    </w:p>
    <w:p>
      <w:pPr>
        <w:spacing w:line="240" w:lineRule="auto" w:before="200" w:after="60"/>
        <w:ind w:right="-74"/>
        <w:jc w:val="left"/>
        <w:rPr>
          <w:rFonts w:ascii="Times New Roman" w:hAnsi="Times New Roman"/>
          <w:b w:val="1"/>
          <w:u w:val="single"/>
          <w:sz w:val="24"/>
        </w:rPr>
      </w:pPr>
      <w:r>
        <w:rPr>
          <w:rFonts w:ascii="Times New Roman" w:hAnsi="Times New Roman"/>
          <w:b w:val="1"/>
          <w:u w:val="single"/>
        </w:rPr>
        <w:t xml:space="preserve">2. Metodologia</w:t>
      </w:r>
    </w:p>
    <w:p>
      <w:pPr>
        <w:spacing w:line="240" w:lineRule="auto" w:before="140" w:after="40"/>
        <w:ind w:right="-74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</w:rPr>
        <w:t xml:space="preserve">2.1 Tipo de Estudo</w:t>
      </w:r>
    </w:p>
    <w:p>
      <w:pPr>
        <w:spacing w:line="240" w:lineRule="auto" w:after="80"/>
        <w:ind w:right="-74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Trata-se de uma pesquisa aplicada de natureza descritiva, conduzida sob a modalidade de relato de experiência técnico-pedagógico com abordagem mista (Köche, 2015). Combinou-se a observação participante do docente titular com a mensuração quantitativa de tempos de ciclo e taxas de auditoria de atividades de laboratório no ambiente virtual.</w:t>
      </w:r>
    </w:p>
    <w:p>
      <w:pPr>
        <w:spacing w:line="240" w:lineRule="auto" w:before="140" w:after="40"/>
        <w:ind w:right="-74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</w:rPr>
        <w:t xml:space="preserve">2.2 Contexto Empírico e Amostra</w:t>
      </w:r>
    </w:p>
    <w:p>
      <w:pPr>
        <w:spacing w:line="240" w:lineRule="auto" w:after="80"/>
        <w:ind w:right="-74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A experiência foi conduzida no Afya Centro Universitário de Ji-Paraná (UniSL), em Rondônia, no semestre 2026.2. A amostra contemplou duas turmas de graduação em Ciência da Computação na disciplina de Estrutura de Dados com alta densidade prática: (a) turma de 2º período com 80 matriculados (60 submissões ativas distribuídas em 26 repositórios remotos no GitHub); e (b) turma de 4º período com 31 discentes estruturados em 9 equipes formais de desenvolvimento colaborativo com versionamento Git e programação modularizada em C.</w:t>
      </w:r>
    </w:p>
    <w:p>
      <w:pPr>
        <w:spacing w:line="240" w:lineRule="auto" w:before="140" w:after="40"/>
        <w:ind w:right="-74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</w:rPr>
        <w:t xml:space="preserve">2.3 Arquitetura Tecnológica: Protocolo MCP e Interface Telegram</w:t>
      </w:r>
    </w:p>
    <w:p>
      <w:pPr>
        <w:spacing w:line="240" w:lineRule="auto" w:after="80"/>
        <w:ind w:right="-74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A sustentação técnica da mediação assenta-se no Model Context Protocol (MCP), padrão aberto de barramento semântico que padroniza como modelos de IA consultam dados e acionam ferramentas externas. O servidor MCP isola chaves de acesso na infraestrutura e estrutura a comunicação em três primitivas: (a) recursos (rubricas e enunciados institucionais somente-leitura); (b) prompts orientadores de conduta ética; e (c) ferramentas determinísticas de auditoria e consulta à API do Canvas LMS sob o princípio do menor privilégio. Na ponta humana, para eliminar barreiras técnicas (como terminais ou chamadas JSON), adotou-se o Telegram como interface primária ubíqua. O docente interage em linguagem natural pura (voz ou texto no smartphone); o bot autentica a identidade e aciona o servidor MCP, devolvendo relatórios sintetizados e botões interativos (inline keyboards) para validação e lançamento de notas com um toque.</w:t>
      </w:r>
    </w:p>
    <w:p>
      <w:pPr>
        <w:spacing w:line="240" w:lineRule="auto" w:after="80"/>
        <w:ind w:right="-74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Em conformidade com o sigilo de produto e de propriedade intelectual, a arquitetura foi descrita em suas funções operacionais de mediação, sem exposição de código-fonte, comandos de terminal ou esquemas proprietários internos.</w:t>
      </w:r>
    </w:p>
    <w:p>
      <w:pPr>
        <w:spacing w:line="240" w:lineRule="auto" w:before="140" w:after="40"/>
        <w:ind w:right="-74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</w:rPr>
        <w:t xml:space="preserve">2.4 Treinamento Contextual: Alimentação com o Corpus Pedagógico Institucional</w:t>
      </w:r>
    </w:p>
    <w:p>
      <w:pPr>
        <w:spacing w:line="240" w:lineRule="auto" w:after="80"/>
        <w:ind w:right="-74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Um diferencial decisivo para a acurácia da mediação residiu na estruturação do repositório contextual do servidor MCP, alimentado com documentos pedagógicos e normativos institucionais autênticos. Para que o agente cognitivo operasse em estrita conformidade com a cultura acadêmica da Afya Centro Universitário de Ji-Paraná, foram indexados como recursos semânticos: (a) o Calendário Acadêmico Oficial 2026, com mapeamento rigoroso de janelas de provas N1/N2, prazos de fechamento de diários e feriados letivos; (b) o Guia do Docente no Canvas, abrangendo regras de visibilidade de módulos, padronização de rubricas e a política de postagem manual de notas; e (c) as diretrizes curriculares nacionais e matrizes pedagógicas do curso de Ciência da Computação.</w:t>
      </w:r>
    </w:p>
    <w:p>
      <w:pPr>
        <w:spacing w:line="240" w:lineRule="auto" w:after="80"/>
        <w:ind w:right="-74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Adicionalmente, o ecossistema incorporou a modelagem de itens avaliativos segundo as matrizes de competência do Exame Nacional de Desempenho dos Estudantes (ENADE). A alimentação prévia do servidor MCP com matrizes conceituais do ENADE e bancos de questões estruturados capacitou o agente a auxiliar o docente na elaboração ágil de avaliações formativas de alta complexidade técnica (como questões de asserção-razão e análise topológica de grafos aplicadas a controle de versão e algoritmos), alinhando o rigor das atividades práticas aos padrões avaliativos do Ministério da Educação (MEC).</w:t>
      </w:r>
    </w:p>
    <w:p>
      <w:pPr>
        <w:spacing w:line="240" w:lineRule="auto" w:before="140" w:after="40"/>
        <w:ind w:right="-74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</w:rPr>
        <w:t xml:space="preserve">2.5 Procedimentos para Coleta de Dados</w:t>
      </w:r>
    </w:p>
    <w:p>
      <w:pPr>
        <w:spacing w:line="240" w:lineRule="auto" w:after="80"/>
        <w:ind w:right="-74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A intervenção prática desdobrou-se em quatro fases: (a) Mapeamento e cronometragem do fluxo tradicional manual de correção no SpeedGrader; (b) Parametrização semântica das rubricas no agente inteligente via contratos MCP; (c) Triagem assistida com supervisão humana (human-in-the-loop), em que o agente compila diagnósticos técnicos e minuta propostas de pareceres submetidos à deliberação soberana do docente no Telegram; e (d) Sincronização oficial em lote das notas aprovadas no livro de notas do AVA.</w:t>
      </w:r>
    </w:p>
    <w:p>
      <w:pPr>
        <w:spacing w:line="240" w:lineRule="auto" w:before="140" w:after="40"/>
        <w:ind w:right="-74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</w:rPr>
        <w:t xml:space="preserve">2.6 Tratamento e Análise dos Dados</w:t>
      </w:r>
    </w:p>
    <w:p>
      <w:pPr>
        <w:spacing w:line="240" w:lineRule="auto" w:after="80"/>
        <w:ind w:right="-74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Os dados quantitativos de tempo operacional foram consolidados por estatística descritiva (médias de tempo de correção por discente, dispersão e tempo global por turma). Para quantificar com rigor a otimização da rotina docente proporcionada pela arquitetura, calculou-se o índice percentual de ganho de eficiência operacional (ηeficiência), formalizado na Equação (1):</w:t>
      </w:r>
    </w:p>
    <w:p>
      <w:pPr>
        <w:spacing w:line="240" w:lineRule="auto" w:after="80"/>
        <w:ind w:right="-74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em que Tmanual expressa o tempo total despendido no fluxo tradicional via SpeedGrader e Tmediado corresponde ao tempo residual de revisão e validação soberana do docente pelo Telegram. Paralelamente, a análise qualitativa das devolutivas pedagógicas seguiu os preceitos de análise temática de conteúdo, comparando a profundidade técnica dos feedbacks emitidos antes e após a intervenção com o agente inteligente.</w:t>
      </w:r>
    </w:p>
    <w:p>
      <w:pPr>
        <w:spacing w:line="240" w:lineRule="auto" w:before="140" w:after="40"/>
        <w:ind w:right="-74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</w:rPr>
        <w:t xml:space="preserve">2.7 Aspectos Éticos</w:t>
      </w:r>
    </w:p>
    <w:p>
      <w:pPr>
        <w:spacing w:line="240" w:lineRule="auto" w:after="80"/>
        <w:ind w:right="-74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O estudo pautou-se na integridade acadêmica e na Lei Geral de Proteção de Dados (Lei nº 13.709/2018). As credenciais operaram sob canais criptografados de ponta a ponta; nenhum dado discente foi compartilhado para treinamento de modelos externos. Garantiu-se a autoridade pedagógica indelegável do professor como árbitro final de todas as notas e pareceres.</w:t>
      </w:r>
    </w:p>
    <w:p>
      <w:pPr>
        <w:spacing w:line="240" w:lineRule="auto" w:before="200" w:after="60"/>
        <w:ind w:right="-74"/>
        <w:jc w:val="left"/>
        <w:rPr>
          <w:rFonts w:ascii="Times New Roman" w:hAnsi="Times New Roman"/>
          <w:b w:val="1"/>
          <w:u w:val="single"/>
          <w:sz w:val="24"/>
        </w:rPr>
      </w:pPr>
      <w:r>
        <w:rPr>
          <w:rFonts w:ascii="Times New Roman" w:hAnsi="Times New Roman"/>
          <w:b w:val="1"/>
          <w:u w:val="single"/>
        </w:rPr>
        <w:t xml:space="preserve">3. Resultados</w:t>
      </w:r>
    </w:p>
    <w:p>
      <w:pPr>
        <w:spacing w:line="240" w:lineRule="auto" w:after="80"/>
        <w:ind w:right="-74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A aplicação da mediação inteligente via MCP e Telegram mitigou a severa complexidade operacional da avaliação docente em turmas numerosas. Para dimensionar essa sobrecarga, a auditoria manual dos 26 repositórios GitHub do 2º período exigiria: clonagem individual, inspeção de 5 branches de features, conferência do histórico de commits, compilação via GCC no terminal, depuração sintática e redação de pareceres no SpeedGrader para 60 alunos, totalizando cerca de 5,9 horas ininterruptas (353 minutos) de trabalho puramente mecânico. Sob mediação MCP, a clonagem e auditoria concorrente consumiram apenas 23,32 segundos e o lançamento em lote levou 0,55 segundo na API do Canvas LMS, alcançando aceleração de 141,5x (ηeficiência = 99,3%). A Tabela 1 e a Figura 2 sintetizam esse contraste empírico.</w:t>
      </w:r>
    </w:p>
    <w:p>
      <w:pPr>
        <w:spacing w:line="240" w:lineRule="auto" w:before="100" w:after="20"/>
        <w:ind w:right="-74"/>
        <w:jc w:val="left"/>
        <w:rPr>
          <w:rFonts w:ascii="Times New Roman" w:hAnsi="Times New Roman"/>
          <w:b w:val="1"/>
          <w:sz w:val="19"/>
        </w:rPr>
      </w:pPr>
      <w:r>
        <w:rPr>
          <w:rFonts w:ascii="Times New Roman" w:hAnsi="Times New Roman"/>
          <w:b w:val="1"/>
        </w:rPr>
        <w:t xml:space="preserve">Tabela 1. Comparativo da complexidade operacional manual vs. mediação MCP no Canvas LMS</w:t>
      </w:r>
    </w:p>
    <w:p>
      <w:pPr>
        <w:spacing w:line="240" w:lineRule="auto" w:before="20" w:after="100"/>
        <w:ind w:right="-74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</w:rPr>
        <w:t xml:space="preserve">Fonte: Dados empíricos coletados pelos autores no Canvas LMS (2026).</w:t>
      </w:r>
    </w:p>
    <w:p>
      <w:pPr>
        <w:spacing w:line="240" w:lineRule="auto" w:before="100" w:after="20"/>
        <w:ind w:right="-74"/>
        <w:jc w:val="left"/>
        <w:rPr>
          <w:rFonts w:ascii="Times New Roman" w:hAnsi="Times New Roman"/>
          <w:b w:val="1"/>
          <w:sz w:val="19"/>
        </w:rPr>
      </w:pPr>
      <w:r>
        <w:rPr>
          <w:rFonts w:ascii="Times New Roman" w:hAnsi="Times New Roman"/>
          <w:b w:val="1"/>
        </w:rPr>
        <w:t xml:space="preserve">Figura 2. Impacto no tempo operacional docente por turma (Manual vs. Mediação MCP)</w:t>
      </w:r>
    </w:p>
    <w:p>
      <w:pPr>
        <w:spacing w:line="240" w:lineRule="auto" w:before="20" w:after="100"/>
        <w:ind w:right="-74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</w:rPr>
        <w:t xml:space="preserve">Fonte: Dados empíricos registrados no estudo (2026).</w:t>
      </w:r>
    </w:p>
    <w:p>
      <w:pPr>
        <w:spacing w:line="240" w:lineRule="auto" w:after="80"/>
        <w:ind w:right="-74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Para além dos ganhos quantitativos de celeridade operacional, os impactos pedagógicos mais expressivos manifestaram-se na dimensão qualitativa do processo de ensino-aprendizagem. Tradicionalmente, diante do estrangulamento de tempo para corrigir dezenas de repositórios, os pareceres devolvidos aos discentes restringiam-se a notas numéricas desacompanhadas de fundamentação técnica ou a comentários sumários (ex.: "Código com falhas de compilação; nota 6,0"), postergados frequentemente por duas a três semanas após a entrega.</w:t>
      </w:r>
    </w:p>
    <w:p>
      <w:pPr>
        <w:spacing w:line="240" w:lineRule="auto" w:before="140" w:after="40"/>
        <w:ind w:right="-74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</w:rPr>
        <w:t xml:space="preserve">3.1 Análise Qualitativa das Devolutivas Pedagógicas</w:t>
      </w:r>
    </w:p>
    <w:p>
      <w:pPr>
        <w:spacing w:line="240" w:lineRule="auto" w:after="80"/>
        <w:ind w:right="-74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Com a mediação orquestrada via servidor MCP, a capacidade de inspeção estática profunda permitiu ao docente homologar e devolver pareceres formativos altamente cirúrgicos e individualizados no próprio livro de notas do Canvas LMS, diretamente associados às rubricas da disciplina. Como evidência empírica das devolutivas geradas durante a atividade avaliativa de programação modularizada em linguagem C e versionamento Git (tarefa aplicada no curso de Ciência da Computação), o Quadro 1 ilustra o contraste entre o padrão convencional e o padrão mediado pelo agente cognitivo com validação docente.</w:t>
      </w:r>
    </w:p>
    <w:p>
      <w:pPr>
        <w:spacing w:line="240" w:lineRule="auto" w:before="100" w:after="20"/>
        <w:ind w:right="-74"/>
        <w:jc w:val="left"/>
        <w:rPr>
          <w:rFonts w:ascii="Times New Roman" w:hAnsi="Times New Roman"/>
          <w:b w:val="1"/>
          <w:sz w:val="19"/>
        </w:rPr>
      </w:pPr>
      <w:r>
        <w:rPr>
          <w:rFonts w:ascii="Times New Roman" w:hAnsi="Times New Roman"/>
          <w:b w:val="1"/>
        </w:rPr>
        <w:t xml:space="preserve">Quadro 1. Comparativo entre o parecer avaliativo tradicional e o parecer formativo com mediação MCP</w:t>
      </w:r>
    </w:p>
    <w:p>
      <w:pPr>
        <w:spacing w:line="240" w:lineRule="auto" w:before="20" w:after="100"/>
        <w:ind w:right="-74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</w:rPr>
        <w:t xml:space="preserve">Fonte: Registros reais homologados no livro de notas do Canvas LMS (2026).</w:t>
      </w:r>
    </w:p>
    <w:p>
      <w:pPr>
        <w:spacing w:line="240" w:lineRule="auto" w:before="140" w:after="40"/>
        <w:ind w:right="-74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</w:rPr>
        <w:t xml:space="preserve">3.2 Itens Avaliativos ENADE e Elevação da Qualidade dos Materiais Didáticos</w:t>
      </w:r>
    </w:p>
    <w:p>
      <w:pPr>
        <w:spacing w:line="240" w:lineRule="auto" w:after="80"/>
        <w:ind w:right="-74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A indexação do corpus normativo e das matrizes do ENADE ao servidor MCP ampliou o suporte pedagógico à concepção de instrumentos avaliativos e conteúdos instrucionais. Apoiado pelo agente no Telegram, o docente gerou com agilidade minutas de questões no formato ENADE — com situações-problema contextualizadas e asserções-razão sobre controle de versão (DAGs e arquiteturas DVCS/CVCS) — acompanhadas de gabaritos comentados e alinhamento cronológico ao Calendário Acadêmico 2026.</w:t>
      </w:r>
    </w:p>
    <w:p>
      <w:pPr>
        <w:spacing w:line="240" w:lineRule="auto" w:after="80"/>
        <w:ind w:right="-74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Paralelamente, a desoneração de rotinas burocráticas permitiu redirecionar o tempo docente para a produção de materiais didáticos multimídia de alto engajamento no Canvas LMS: (a) o projeto "Café com Código", transpondo complexidade algorítmica para estudos de caso reais da indústria de jogos; (b) guias visuais e descomplicados de Git/GitHub; e (c) simuladores interativos em HTML5/CSS3 para exploração de ponteiros e memória RAM em tempo de execução, elevando a retenção conceitual dos discentes.</w:t>
      </w:r>
    </w:p>
    <w:p>
      <w:pPr>
        <w:spacing w:line="240" w:lineRule="auto" w:before="140" w:after="40"/>
        <w:ind w:right="-74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</w:rPr>
        <w:t xml:space="preserve">3.3 Percepção Discente e Tempestividade Avaliativa</w:t>
      </w:r>
    </w:p>
    <w:p>
      <w:pPr>
        <w:spacing w:line="240" w:lineRule="auto" w:after="80"/>
        <w:ind w:right="-74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A tempestividade da devolutiva — viabilizada quase em tempo real, com pareceres disponibilizados no livro de notas no mesmo dia da entrega — transformou a avaliação formativa (Black; Wiliam, 1998; Hattie; Timperley, 2007). Em termos empíricos, a orquestração MCP evidenciou escalabilidade consistente em diferentes portes de turmas: no 4º período (31 alunos / 9 equipes), a auditoria levou 1,2s e a publicação 28s; no 2º período, com maior complexidade estrutural (60 discentes / 26 repositórios), a varredura e compilação concorrente consumiram 23,32s e a publicação oficial em lote na API do Canvas deu-se em 0,55s, após 2 minutos de homologação docente no Telegram.</w:t>
      </w:r>
    </w:p>
    <w:p>
      <w:pPr>
        <w:spacing w:line="240" w:lineRule="auto" w:after="80"/>
        <w:ind w:right="-74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Na turma de 2º período, a auditoria automatizada revelou que 53,8% (14 repositórios) atingiram compilação plena e integração sem conflitos na branch main, enquanto 46,2% (12 repositórios) apresentaram falhas de integração formativas ou inacessibilidade (incluindo 3 discentes com nota zero por repositórios inexistentes ou privados 404, além de divergências sintáticas como inclusão de markdown no fonte e identificadores corrompidos). A aplicação de critérios avaliativos estritos com justificativa explícita de cada desconto resultou em média de 72,1 pontos, permitindo intervenção pedagógica presencial imediata nas lacunas conceituais antes da avaliação formal presencial.</w:t>
      </w:r>
    </w:p>
    <w:p>
      <w:pPr>
        <w:spacing w:line="240" w:lineRule="auto" w:after="80"/>
        <w:ind w:right="-74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Ao receberem o apontamento exato da linha de código, da constante esquecida (como a definição do vetor no cabeçalho ou o tratamento de branches concorrentes) ainda no calor da entrega da atividade, os estudantes puderam sanar dúvidas conceituais antes das avaliações formais presenciais. Essa dinâmica fomentou a autorregulação da aprendizagem discente e eliminou a sensação de desamparo frequentemente relatada por graduandos em disciplinas de exatas com turmas numerosas.</w:t>
      </w:r>
    </w:p>
    <w:p>
      <w:pPr>
        <w:spacing w:line="240" w:lineRule="auto" w:after="80"/>
        <w:ind w:right="-74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A discussão crítica dos achados evidencia que a redução de ~89% no tempo administrativo permitiu redirecionar o foco docente para oficinas de alinhamento conceitual presencial antes das provas formais. Sobretudo, a governança com supervisão humana (human-in-the-loop) assegurou que o agente atuasse unicamente na triagem analítica, preservando a agência moral e pedagógica exclusiva do educador sobre cada nota e parecer (Floridi, 2019; Unesco, 2023), em total consonância com as diretrizes do NAPED.</w:t>
      </w:r>
    </w:p>
    <w:p>
      <w:pPr>
        <w:spacing w:line="240" w:lineRule="auto" w:before="140" w:after="40"/>
        <w:ind w:right="-74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</w:rPr>
        <w:t xml:space="preserve">3.4 Especificação do Modelo Cognitivo e Limitações do Estudo</w:t>
      </w:r>
    </w:p>
    <w:p>
      <w:pPr>
        <w:spacing w:line="240" w:lineRule="auto" w:after="80"/>
        <w:ind w:right="-74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A eficiência da mediação ancorou-se no modelo Gemini 3.8 Flash, cuja ampla janela de contexto e baixa latência proporcionaram respostas ágeis no Telegram e rigor na inspeção sintática de códigos. Modelos gratuitos ou com contexto reduzido tendem a simplificar diagnósticos ou apresentar falhas em rubricas extensas, enquanto modelos avançados de fronteira (pagos) possibilitam auditorias de plágio estrutural ainda mais profundas, configurando uma decisão de custo-benefício institucional.</w:t>
      </w:r>
    </w:p>
    <w:p>
      <w:pPr>
        <w:spacing w:line="240" w:lineRule="auto" w:after="80"/>
        <w:ind w:right="-74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Dentre as limitações metodológicas, destacam-se a dependência da conectividade de APIs institucionais, a necessidade de rubricas prévias bem estruturadas pelo educador e o recorte empírico concentrado em Ciência da Computação. Como trabalhos futuros, propõe-se a expansão da mediação MCP para disciplinas das Ciências da Saúde e Humanas (estudos de caso clínicos e textos dissertativos), além do desenvolvimento de módulos de learning analytics preditivos de evasão escolar via Telegram.</w:t>
      </w:r>
    </w:p>
    <w:p>
      <w:pPr>
        <w:spacing w:line="240" w:lineRule="auto" w:before="200" w:after="60"/>
        <w:ind w:right="-74"/>
        <w:jc w:val="left"/>
        <w:rPr>
          <w:rFonts w:ascii="Times New Roman" w:hAnsi="Times New Roman"/>
          <w:b w:val="1"/>
          <w:u w:val="single"/>
          <w:sz w:val="24"/>
        </w:rPr>
      </w:pPr>
      <w:r>
        <w:rPr>
          <w:rFonts w:ascii="Times New Roman" w:hAnsi="Times New Roman"/>
          <w:b w:val="1"/>
          <w:u w:val="single"/>
        </w:rPr>
        <w:t xml:space="preserve">4. Conclusão</w:t>
      </w:r>
    </w:p>
    <w:p>
      <w:pPr>
        <w:spacing w:line="240" w:lineRule="auto" w:after="80"/>
        <w:ind w:right="-74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A experiência vivenciada comprovou que a mediação inteligente entre agentes autônomos e o Canvas LMS, viabilizada pelo Model Context Protocol (MCP) e acessada intuitivamente via Telegram, representa uma inovação metodológica e tecnológica de alto impacto para a educação superior. A solução mitigou a sobrecarga mecânica docente ao reduzir em aproximadamente 89% o tempo consumido em rotinas burocráticas de correção e conferência. Ao devolver ao educador o domínio sobre seu tempo pedagógico sem exigir competências avançadas de programação, a tecnologia fortaleceu a relação formativa com os estudantes, propiciando devolutivas mais ricas, ágeis e personalizadas, sob permanente soberania ética e integridade acadêmica.</w:t>
      </w:r>
    </w:p>
    <w:p>
      <w:pPr>
        <w:spacing w:line="240" w:lineRule="auto" w:after="80"/>
        <w:ind w:right="-74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Declaração de uso de inteligência artificial: Os autores declaram que utilizaram ferramentas de Inteligência Artificial generativa exclusivamente para apoio na revisão gramatical, padronização ortográfica e formatação de citações bibliográficas de acordo com as normas ABNT vigentes. Todos os dados empíricos, análises críticas, concepção da arquitetura e conclusões apresentadas neste relato foram integralmente concebidos, implementados e validados pelos autores humanos, que assumem plena responsabilidade científica e ética pela integridade do trabalho.</w:t>
      </w:r>
    </w:p>
    <w:p>
      <w:pPr>
        <w:spacing w:line="240" w:lineRule="auto" w:before="200" w:after="60"/>
        <w:ind w:right="-74"/>
        <w:jc w:val="left"/>
        <w:rPr>
          <w:rFonts w:ascii="Times New Roman" w:hAnsi="Times New Roman"/>
          <w:b w:val="1"/>
          <w:u w:val="single"/>
          <w:sz w:val="24"/>
        </w:rPr>
      </w:pPr>
      <w:r>
        <w:rPr>
          <w:rFonts w:ascii="Times New Roman" w:hAnsi="Times New Roman"/>
          <w:b w:val="1"/>
          <w:u w:val="single"/>
        </w:rPr>
        <w:t xml:space="preserve">5. Referências</w:t>
      </w:r>
    </w:p>
    <w:p>
      <w:pPr>
        <w:spacing w:line="240" w:lineRule="auto" w:before="40" w:after="60"/>
        <w:ind w:right="-74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</w:rPr>
        <w:t xml:space="preserve">Beuren, I. M. Como elaborar trabalhos monográficos em contabilidade: teoria e prática. 3. ed. São Paulo: Atlas, 2006.</w:t>
      </w:r>
    </w:p>
    <w:p>
      <w:pPr>
        <w:spacing w:line="240" w:lineRule="auto" w:before="40" w:after="60"/>
        <w:ind w:right="-74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</w:rPr>
        <w:t xml:space="preserve">Black, P.; Wiliam, D. Assessment and classroom learning. Assessment in Education: Principles, Policy &amp; Practice, v. 5, n. 1, p. 7-74, 1998.</w:t>
      </w:r>
    </w:p>
    <w:p>
      <w:pPr>
        <w:spacing w:line="240" w:lineRule="auto" w:before="40" w:after="60"/>
        <w:ind w:right="-74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</w:rPr>
        <w:t xml:space="preserve">Brasil. Lei Geral de Proteção de Dados Pessoais (LGPD). Lei nº 13.709, de 14 de agosto de 2018. Diário Oficial da União: Brasília, DF, 15 ago. 2018.</w:t>
      </w:r>
    </w:p>
    <w:p>
      <w:pPr>
        <w:spacing w:line="240" w:lineRule="auto" w:before="40" w:after="60"/>
        <w:ind w:right="-74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</w:rPr>
        <w:t xml:space="preserve">Floridi, L. Establishing the rules for building trustworthy AI. Nature Machine Intelligence, v. 1, n. 6, p. 261-262, 2019.</w:t>
      </w:r>
    </w:p>
    <w:p>
      <w:pPr>
        <w:spacing w:line="240" w:lineRule="auto" w:before="40" w:after="60"/>
        <w:ind w:right="-74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</w:rPr>
        <w:t xml:space="preserve">Garrison, D. R.; Anderson, T.; Archer, W. Critical inquiry in a text-based environment: computer conferencing in higher education. The Internet and Higher Education, v. 2, n. 2-3, p. 87-105, 2000.</w:t>
      </w:r>
    </w:p>
    <w:p>
      <w:pPr>
        <w:spacing w:line="240" w:lineRule="auto" w:before="40" w:after="60"/>
        <w:ind w:right="-74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</w:rPr>
        <w:t xml:space="preserve">Gil, A. C. Como elaborar projetos de pesquisa. 6. ed. São Paulo: Atlas, 2019.</w:t>
      </w:r>
    </w:p>
    <w:p>
      <w:pPr>
        <w:spacing w:line="240" w:lineRule="auto" w:before="40" w:after="60"/>
        <w:ind w:right="-74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</w:rPr>
        <w:t xml:space="preserve">Hattie, J.; Timperley, H. The power of feedback. Review of Educational Research, v. 77, n. 1, p. 81-112, 2007.</w:t>
      </w:r>
    </w:p>
    <w:p>
      <w:pPr>
        <w:spacing w:line="240" w:lineRule="auto" w:before="40" w:after="60"/>
        <w:ind w:right="-74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</w:rPr>
        <w:t xml:space="preserve">Köche, J. C. Fundamentos de metodologia científica: teoria da ciência e iniciação à pesquisa. 32. ed. Petrópolis: Vozes, 2015.</w:t>
      </w:r>
    </w:p>
    <w:p>
      <w:pPr>
        <w:spacing w:line="240" w:lineRule="auto" w:before="40" w:after="60"/>
        <w:ind w:right="-74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</w:rPr>
        <w:t xml:space="preserve">Lakatos, E. M.; Marconi, M. A. Fundamentos de metodologia científica. 8. ed. São Paulo: Atlas, 2021.</w:t>
      </w:r>
    </w:p>
    <w:p>
      <w:pPr>
        <w:spacing w:line="240" w:lineRule="auto" w:before="40" w:after="60"/>
        <w:ind w:right="-74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</w:rPr>
        <w:t xml:space="preserve">Luckin, R. et al. Intelligence unleashed: an argument for AI in education. London: Pearson, 2016.</w:t>
      </w:r>
    </w:p>
    <w:p>
      <w:pPr>
        <w:spacing w:line="240" w:lineRule="auto" w:before="40" w:after="60"/>
        <w:ind w:right="-74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</w:rPr>
        <w:t xml:space="preserve">Prodanov, C. C.; Freitas, E. C. Metodologia do trabalho científico: métodos e técnicas da pesquisa e do trabalho acadêmico. 2. ed. Novo Hamburgo: Feevale, 2013.</w:t>
      </w:r>
    </w:p>
    <w:p>
      <w:pPr>
        <w:spacing w:line="240" w:lineRule="auto" w:before="40" w:after="60"/>
        <w:ind w:right="-74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</w:rPr>
        <w:t xml:space="preserve">Severino, A. J. Metodologia do trabalho científico. 24. ed. São Paulo: Cortez, 2016.</w:t>
      </w:r>
    </w:p>
    <w:p>
      <w:pPr>
        <w:spacing w:line="240" w:lineRule="auto" w:before="40" w:after="60"/>
        <w:ind w:right="-74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</w:rPr>
        <w:t xml:space="preserve">Unesco. Guidance for generative AI in education and research. Paris: United Nations Educational, Scientific and Cultural Organization, 2023.</w:t>
      </w:r>
    </w:p>
    <w:sectPr>
      <w:type w:val="continuous"/>
      <w:pgSz w:w="11906" w:h="16838" w:orient="portrait"/>
      <w:pgMar w:top="567" w:right="567" w:bottom="567" w:left="567" w:header="709" w:footer="709"/>
      <w:pgNumType w:start="3"/>
      <w:cols w:equalWidth="0" w:num="2">
        <w:col w:w="5101" w:space="568"/>
        <w:col w:w="5101"/>
      </w:cols>
      <w:headerReference w:type="default" ns7:id="Reec133b46492467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42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single" w:color="000000" w:sz="18" w:space="1"/>
        <w:right w:val="nil" w:sz="0" w:space="0"/>
        <w:between w:val="nil" w:sz="0" w:space="0"/>
      </w:pBdr>
      <w:shd w:val="clear" w:fill="auto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tl w:val="0"/>
      </w:rPr>
    </w:r>
  </w:p>
  <w:p xmlns:wp14="http://schemas.microsoft.com/office/word/2010/wordml" w:rsidP="0044AC81" w:rsidRDefault="00000000" w14:paraId="00000043" wp14:textId="77777777">
    <w:pPr>
      <w:keepNext w:val="0"/>
      <w:keepLines w:val="0"/>
      <w:pageBreakBefore w:val="0"/>
      <w:widowControl w:val="1"/>
      <w:pBdr>
        <w:top w:val="nil" w:color="FF000000" w:sz="0" w:space="0"/>
        <w:left w:val="nil" w:color="FF000000" w:sz="0" w:space="0"/>
        <w:bottom w:val="single" w:color="000000" w:sz="18" w:space="1"/>
        <w:right w:val="nil" w:color="FF000000" w:sz="0" w:space="0"/>
        <w:between w:val="nil" w:color="FF000000" w:sz="0" w:space="0"/>
      </w:pBdr>
      <w:shd w:val="clear" w:color="auto" w:fill="auto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z w:val="20"/>
        <w:szCs w:val="20"/>
        <w:u w:val="none"/>
        <w:shd w:val="clear" w:fill="auto"/>
        <w:vertAlign w:val="baseline"/>
        <w:lang w:val="en-US"/>
      </w:rPr>
    </w:pPr>
    <w:r w:rsidRPr="0044AC81" w:rsidR="0044AC81"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z w:val="20"/>
        <w:szCs w:val="20"/>
        <w:u w:val="none"/>
        <w:shd w:val="clear" w:fill="auto"/>
        <w:vertAlign w:val="baseline"/>
        <w:lang w:val="en-US"/>
      </w:rPr>
      <w:t xml:space="preserve">Pró-Reitoria de Pós-Graduação, Pesquisa, Extensão, Empregabilidade, Inovação e Internacionalização (ProPP</w:t>
    </w:r>
    <w:r w:rsidRPr="0044AC81" w:rsidR="0044AC81">
      <w:rPr>
        <w:rFonts w:ascii="Times New Roman" w:hAnsi="Times New Roman" w:eastAsia="Times New Roman" w:cs="Times New Roman"/>
        <w:sz w:val="20"/>
        <w:szCs w:val="20"/>
        <w:lang w:val="en-US"/>
      </w:rPr>
      <w:t xml:space="preserve">EXI</w:t>
    </w:r>
    <w:r w:rsidRPr="0044AC81" w:rsidR="0044AC81"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z w:val="20"/>
        <w:szCs w:val="20"/>
        <w:u w:val="none"/>
        <w:shd w:val="clear" w:fill="auto"/>
        <w:vertAlign w:val="baseline"/>
        <w:lang w:val="en-US"/>
      </w:rPr>
      <w:t xml:space="preserve">)</w:t>
    </w:r>
  </w:p>
  <w:p xmlns:wp14="http://schemas.microsoft.com/office/word/2010/wordml" w:rsidRDefault="00000000" w14:paraId="00000044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single" w:color="000000" w:sz="18" w:space="1"/>
        <w:right w:val="nil" w:sz="0" w:space="0"/>
        <w:between w:val="nil" w:sz="0" w:space="0"/>
      </w:pBdr>
      <w:shd w:val="clear" w:fill="auto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 xml:space="preserve">Afya Centro Universitário de Ji-Paraná</w:t>
    </w:r>
  </w:p>
  <w:p xmlns:wp14="http://schemas.microsoft.com/office/word/2010/wordml" w:rsidP="00C1CB70" w:rsidRDefault="00000000" w14:paraId="00000045" wp14:textId="085449C0">
    <w:pPr>
      <w:keepNext w:val="0"/>
      <w:keepLines w:val="0"/>
      <w:pageBreakBefore w:val="0"/>
      <w:widowControl w:val="1"/>
      <w:pBdr>
        <w:top w:val="nil" w:color="000000" w:sz="0" w:space="0"/>
        <w:left w:val="nil" w:color="000000" w:sz="0" w:space="0"/>
        <w:bottom w:val="nil" w:color="000000" w:sz="0" w:space="0"/>
        <w:right w:val="nil" w:color="000000" w:sz="0" w:space="0"/>
        <w:between w:val="nil" w:color="000000" w:sz="0" w:space="0"/>
      </w:pBdr>
      <w:shd w:val="clear" w:color="auto" w:fill="auto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bCs w:val="0"/>
        <w:i w:val="1"/>
        <w:iCs w:val="1"/>
        <w:caps w:val="0"/>
        <w:smallCaps w:val="0"/>
        <w:strike w:val="0"/>
        <w:dstrike w:val="0"/>
        <w:color w:val="000000"/>
        <w:sz w:val="20"/>
        <w:szCs w:val="20"/>
        <w:u w:val="none"/>
        <w:shd w:val="clear" w:fill="auto"/>
        <w:vertAlign w:val="baseline"/>
        <w:lang w:val="en-US"/>
      </w:rPr>
    </w:pPr>
    <w:r w:rsidRPr="00C1CB70" w:rsidR="00C1CB70">
      <w:rPr>
        <w:rFonts w:ascii="Times New Roman" w:hAnsi="Times New Roman" w:eastAsia="Times New Roman" w:cs="Times New Roman"/>
        <w:b w:val="0"/>
        <w:bCs w:val="0"/>
        <w:i w:val="1"/>
        <w:iCs w:val="1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  <w:lang w:val="en-US"/>
      </w:rPr>
      <w:t>Anais do 1</w:t>
    </w:r>
    <w:r w:rsidRPr="00C1CB70" w:rsidR="00C1CB70">
      <w:rPr>
        <w:rFonts w:ascii="Times New Roman" w:hAnsi="Times New Roman" w:eastAsia="Times New Roman" w:cs="Times New Roman"/>
        <w:b w:val="0"/>
        <w:bCs w:val="0"/>
        <w:i w:val="1"/>
        <w:iCs w:val="1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  <w:lang w:val="en-US"/>
      </w:rPr>
      <w:t>2</w:t>
    </w:r>
    <w:r w:rsidRPr="00C1CB70" w:rsidR="00C1CB70">
      <w:rPr>
        <w:rFonts w:ascii="Times New Roman" w:hAnsi="Times New Roman" w:eastAsia="Times New Roman" w:cs="Times New Roman"/>
        <w:b w:val="0"/>
        <w:bCs w:val="0"/>
        <w:i w:val="1"/>
        <w:iCs w:val="1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  <w:lang w:val="en-US"/>
      </w:rPr>
      <w:t xml:space="preserve">º </w:t>
    </w:r>
    <w:r w:rsidRPr="00C1CB70" w:rsidR="00C1CB70">
      <w:rPr>
        <w:rFonts w:ascii="Times New Roman" w:hAnsi="Times New Roman" w:eastAsia="Times New Roman" w:cs="Times New Roman"/>
        <w:b w:val="0"/>
        <w:bCs w:val="0"/>
        <w:i w:val="1"/>
        <w:iCs w:val="1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  <w:lang w:val="en-US"/>
      </w:rPr>
      <w:t>Fórum</w:t>
    </w:r>
    <w:r w:rsidRPr="00C1CB70" w:rsidR="00C1CB70">
      <w:rPr>
        <w:rFonts w:ascii="Times New Roman" w:hAnsi="Times New Roman" w:eastAsia="Times New Roman" w:cs="Times New Roman"/>
        <w:b w:val="0"/>
        <w:bCs w:val="0"/>
        <w:i w:val="1"/>
        <w:iCs w:val="1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  <w:lang w:val="en-US"/>
      </w:rPr>
      <w:t xml:space="preserve"> </w:t>
    </w:r>
    <w:r w:rsidRPr="00C1CB70" w:rsidR="00C1CB70">
      <w:rPr>
        <w:rFonts w:ascii="Times New Roman" w:hAnsi="Times New Roman" w:eastAsia="Times New Roman" w:cs="Times New Roman"/>
        <w:b w:val="0"/>
        <w:bCs w:val="0"/>
        <w:i w:val="1"/>
        <w:iCs w:val="1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  <w:lang w:val="en-US"/>
      </w:rPr>
      <w:t>Rondoniense</w:t>
    </w:r>
    <w:r w:rsidRPr="00C1CB70" w:rsidR="00C1CB70">
      <w:rPr>
        <w:rFonts w:ascii="Times New Roman" w:hAnsi="Times New Roman" w:eastAsia="Times New Roman" w:cs="Times New Roman"/>
        <w:b w:val="0"/>
        <w:bCs w:val="0"/>
        <w:i w:val="1"/>
        <w:iCs w:val="1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  <w:lang w:val="en-US"/>
      </w:rPr>
      <w:t xml:space="preserve"> de Pesquisa</w:t>
    </w:r>
  </w:p>
  <w:p xmlns:wp14="http://schemas.microsoft.com/office/word/2010/wordml" w:rsidRDefault="00000000" w14:paraId="00000046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tl w:val="0"/>
      </w:rPr>
    </w:r>
  </w:p>
  <w:p xmlns:wp14="http://schemas.microsoft.com/office/word/2010/wordml" w:rsidRDefault="00000000" w14:paraId="00000047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righ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tl w:val="0"/>
      </w:rPr>
    </w: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00C1CB70" w:rsidP="00C1CB70" w:rsidRDefault="00C1CB70" w14:paraId="59B53E8E" w14:textId="19FB9BCB">
    <w:pPr>
      <w:pStyle w:val="Cabealho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590"/>
      <w:gridCol w:w="3590"/>
      <w:gridCol w:w="3590"/>
    </w:tblGrid>
    <w:tr w:rsidR="00C1CB70" w:rsidTr="00C1CB70" w14:paraId="770D3237">
      <w:trPr>
        <w:trHeight w:val="300"/>
      </w:trPr>
      <w:tc>
        <w:tcPr>
          <w:tcW w:w="3590" w:type="dxa"/>
          <w:tcMar/>
        </w:tcPr>
        <w:p w:rsidR="00C1CB70" w:rsidP="00C1CB70" w:rsidRDefault="00C1CB70" w14:paraId="364AB326" w14:textId="22CB06DF">
          <w:pPr>
            <w:pStyle w:val="Cabealho"/>
            <w:bidi w:val="0"/>
            <w:ind w:left="-115"/>
            <w:jc w:val="left"/>
          </w:pPr>
        </w:p>
      </w:tc>
      <w:tc>
        <w:tcPr>
          <w:tcW w:w="3590" w:type="dxa"/>
          <w:tcMar/>
        </w:tcPr>
        <w:p w:rsidR="00C1CB70" w:rsidP="00C1CB70" w:rsidRDefault="00C1CB70" w14:paraId="21C5622F" w14:textId="5E8BA296">
          <w:pPr>
            <w:pStyle w:val="Cabealho"/>
            <w:bidi w:val="0"/>
            <w:jc w:val="center"/>
          </w:pPr>
        </w:p>
      </w:tc>
      <w:tc>
        <w:tcPr>
          <w:tcW w:w="3590" w:type="dxa"/>
          <w:tcMar/>
        </w:tcPr>
        <w:p w:rsidR="00C1CB70" w:rsidP="00C1CB70" w:rsidRDefault="00C1CB70" w14:paraId="721DB26D" w14:textId="245311E5">
          <w:pPr>
            <w:pStyle w:val="Cabealho"/>
            <w:bidi w:val="0"/>
            <w:ind w:right="-115"/>
            <w:jc w:val="right"/>
          </w:pPr>
        </w:p>
      </w:tc>
    </w:tr>
  </w:tbl>
  <w:p w:rsidR="00C1CB70" w:rsidP="00C1CB70" w:rsidRDefault="00C1CB70" w14:paraId="09622764" w14:textId="3B4A0698">
    <w:pPr>
      <w:pStyle w:val="Cabealho"/>
      <w:bidi w:val="0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trackRevisions w:val="false"/>
  <w:defaultTabStop w:val="720"/>
  <w:compat>
    <w:compatSetting w:val="15" w:name="compatibilityMode" w:uri="http://schemas.microsoft.com/office/word"/>
  </w:compat>
  <w:rsids>
    <w:rsidRoot w:val="0044AC81"/>
    <w:rsid w:val="00000000"/>
    <w:rsid w:val="0044AC81"/>
    <w:rsid w:val="00C1CB70"/>
    <w:rsid w:val="025C66BE"/>
    <w:rsid w:val="08160AB2"/>
    <w:rsid w:val="098615D1"/>
    <w:rsid w:val="0BE399CE"/>
    <w:rsid w:val="0D5CED42"/>
    <w:rsid w:val="10106160"/>
    <w:rsid w:val="12FF303A"/>
    <w:rsid w:val="143B5F10"/>
    <w:rsid w:val="148F2071"/>
    <w:rsid w:val="157AA931"/>
    <w:rsid w:val="16B2F30C"/>
    <w:rsid w:val="18A18DBB"/>
    <w:rsid w:val="1F3ED9B1"/>
    <w:rsid w:val="235076AE"/>
    <w:rsid w:val="237B83BB"/>
    <w:rsid w:val="248B0F50"/>
    <w:rsid w:val="27996D88"/>
    <w:rsid w:val="3171018E"/>
    <w:rsid w:val="31FF4D70"/>
    <w:rsid w:val="3524666C"/>
    <w:rsid w:val="387B0E8F"/>
    <w:rsid w:val="38840640"/>
    <w:rsid w:val="3B0CF770"/>
    <w:rsid w:val="3BD64B38"/>
    <w:rsid w:val="47C130B8"/>
    <w:rsid w:val="4D100090"/>
    <w:rsid w:val="4F2A140E"/>
    <w:rsid w:val="50A73365"/>
    <w:rsid w:val="57BF1E01"/>
    <w:rsid w:val="5AE8D1F0"/>
    <w:rsid w:val="5C8EB35B"/>
    <w:rsid w:val="5CF434BF"/>
    <w:rsid w:val="6571879B"/>
    <w:rsid w:val="67813BFB"/>
    <w:rsid w:val="67A4BC12"/>
    <w:rsid w:val="6AADEDAD"/>
    <w:rsid w:val="6AC84855"/>
    <w:rsid w:val="6C74DE16"/>
    <w:rsid w:val="76487B58"/>
    <w:rsid w:val="767DF304"/>
    <w:rsid w:val="782A3BFB"/>
    <w:rsid w:val="79BC4212"/>
    <w:rsid w:val="7B391952"/>
    <w:rsid w:val="7C19B192"/>
    <w:rsid w:val="7F514AC9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DDA712E"/>
  <w15:docId w15:val="{5879530D-D213-4879-B643-A200F8A10EBE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0" w:line="480" w:lineRule="auto"/>
    </w:pPr>
    <w:rPr>
      <w:rFonts w:ascii="Times New Roman" w:hAnsi="Times New Roman" w:eastAsia="Times New Roman" w:cs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hAnsi="Cambria" w:eastAsia="Cambria" w:cs="Cambria"/>
      <w:sz w:val="56"/>
      <w:szCs w:val="56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59"/>
    <w:rsid w:val="00CD5F6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6D51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6D515C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 w:val="1"/>
    <w:rsid w:val="005758AD"/>
    <w:pPr>
      <w:ind w:left="720"/>
      <w:contextualSpacing w:val="1"/>
    </w:pPr>
  </w:style>
  <w:style w:type="paragraph" w:styleId="Default" w:customStyle="1">
    <w:name w:val="Default"/>
    <w:rsid w:val="00AF1130"/>
    <w:pPr>
      <w:autoSpaceDE w:val="0"/>
      <w:autoSpaceDN w:val="0"/>
      <w:adjustRightInd w:val="0"/>
      <w:spacing w:after="0" w:line="240" w:lineRule="auto"/>
    </w:pPr>
    <w:rPr>
      <w:rFonts w:ascii="Times" w:hAnsi="Times" w:cs="Times"/>
      <w:color w:val="000000"/>
      <w:sz w:val="24"/>
      <w:szCs w:val="24"/>
    </w:rPr>
  </w:style>
  <w:style w:type="paragraph" w:styleId="Pa6" w:customStyle="1">
    <w:name w:val="Pa6"/>
    <w:basedOn w:val="Default"/>
    <w:next w:val="Default"/>
    <w:uiPriority w:val="99"/>
    <w:rsid w:val="00AF1130"/>
    <w:pPr>
      <w:spacing w:line="181" w:lineRule="atLeast"/>
    </w:pPr>
    <w:rPr>
      <w:color w:val="auto"/>
    </w:rPr>
  </w:style>
  <w:style w:type="character" w:styleId="Hyperlink">
    <w:name w:val="Hyperlink"/>
    <w:basedOn w:val="Fontepargpadro"/>
    <w:uiPriority w:val="99"/>
    <w:unhideWhenUsed w:val="1"/>
    <w:rsid w:val="008E4178"/>
    <w:rPr>
      <w:color w:val="0000ff" w:themeColor="hyperlink"/>
      <w:u w:val="single"/>
    </w:rPr>
  </w:style>
  <w:style w:type="paragraph" w:styleId="textotabelasilustracoesembranco" w:customStyle="1">
    <w:name w:val="_texto_tabelas_ilustracoes_em_branco"/>
    <w:basedOn w:val="Normal"/>
    <w:autoRedefine w:val="1"/>
    <w:qFormat w:val="1"/>
    <w:rsid w:val="00526B70"/>
    <w:pPr>
      <w:spacing w:after="0" w:line="240" w:lineRule="auto"/>
      <w:jc w:val="center"/>
    </w:pPr>
    <w:rPr>
      <w:rFonts w:ascii="Calibri" w:hAnsi="Calibri" w:eastAsia="Calibri"/>
      <w:b w:val="1"/>
      <w:color w:val="ffffff" w:themeColor="background1"/>
      <w:sz w:val="20"/>
      <w:szCs w:val="18"/>
    </w:rPr>
  </w:style>
  <w:style w:type="paragraph" w:styleId="textotabelasilustracoes" w:customStyle="1">
    <w:name w:val="_texto_tabelas_ilustracoes"/>
    <w:basedOn w:val="Normal"/>
    <w:autoRedefine w:val="1"/>
    <w:qFormat w:val="1"/>
    <w:rsid w:val="00526B70"/>
    <w:pPr>
      <w:spacing w:after="0" w:line="240" w:lineRule="auto"/>
    </w:pPr>
    <w:rPr>
      <w:rFonts w:ascii="Calibri" w:hAnsi="Calibri" w:eastAsia="Calibri"/>
      <w:color w:val="262626"/>
      <w:sz w:val="20"/>
      <w:szCs w:val="18"/>
    </w:rPr>
  </w:style>
  <w:style w:type="table" w:styleId="TabeladeGrade41" w:customStyle="1">
    <w:name w:val="Tabela de Grade 41"/>
    <w:basedOn w:val="Tabelanormal"/>
    <w:uiPriority w:val="49"/>
    <w:rsid w:val="00526B7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000099" w:sz="4" w:space="0"/>
        <w:left w:val="single" w:color="666666" w:themeColor="text1" w:themeTint="000099" w:sz="4" w:space="0"/>
        <w:bottom w:val="single" w:color="666666" w:themeColor="text1" w:themeTint="000099" w:sz="4" w:space="0"/>
        <w:right w:val="single" w:color="666666" w:themeColor="text1" w:themeTint="000099" w:sz="4" w:space="0"/>
        <w:insideH w:val="single" w:color="666666" w:themeColor="text1" w:themeTint="000099" w:sz="4" w:space="0"/>
        <w:insideV w:val="single" w:color="666666" w:themeColor="text1" w:themeTint="000099" w:sz="4" w:space="0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rPr>
        <w:b w:val="1"/>
        <w:bCs w:val="1"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ccccc" w:themeFill="text1" w:themeFillTint="000033"/>
      </w:tcPr>
    </w:tblStylePr>
    <w:tblStylePr w:type="band1Horz">
      <w:tblPr/>
      <w:tcPr>
        <w:shd w:val="clear" w:color="auto" w:fill="cccccc" w:themeFill="text1" w:themeFillTint="000033"/>
      </w:tcPr>
    </w:tblStylePr>
  </w:style>
  <w:style w:type="character" w:styleId="Ttulo1Char" w:customStyle="1">
    <w:name w:val="Título 1 Char"/>
    <w:basedOn w:val="Fontepargpadro"/>
    <w:link w:val="Ttulo1"/>
    <w:uiPriority w:val="9"/>
    <w:rsid w:val="00395682"/>
    <w:rPr>
      <w:rFonts w:ascii="Times New Roman" w:hAnsi="Times New Roman" w:eastAsia="Calibri" w:cs="Times New Roman"/>
      <w:b w:val="1"/>
      <w:sz w:val="24"/>
      <w:szCs w:val="24"/>
      <w:lang w:val="en-US"/>
    </w:rPr>
  </w:style>
  <w:style w:type="paragraph" w:styleId="Resumotexto" w:customStyle="1">
    <w:name w:val="Resumo_texto"/>
    <w:basedOn w:val="Normal"/>
    <w:rsid w:val="00301793"/>
    <w:pPr>
      <w:spacing w:after="300" w:line="240" w:lineRule="auto"/>
      <w:jc w:val="both"/>
    </w:pPr>
    <w:rPr>
      <w:rFonts w:ascii="Arial" w:hAnsi="Arial" w:eastAsia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 w:val="1"/>
    <w:rsid w:val="004021EA"/>
    <w:rPr>
      <w:b w:val="1"/>
      <w:bCs w:val="1"/>
    </w:rPr>
  </w:style>
  <w:style w:type="character" w:styleId="nfase">
    <w:name w:val="Emphasis"/>
    <w:uiPriority w:val="20"/>
    <w:qFormat w:val="1"/>
    <w:rsid w:val="002D737B"/>
    <w:rPr>
      <w:i w:val="1"/>
      <w:iCs w:val="1"/>
    </w:rPr>
  </w:style>
  <w:style w:type="paragraph" w:styleId="Cabealho">
    <w:name w:val="header"/>
    <w:basedOn w:val="Normal"/>
    <w:link w:val="CabealhoChar"/>
    <w:uiPriority w:val="99"/>
    <w:unhideWhenUsed w:val="1"/>
    <w:rsid w:val="00B4435A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B4435A"/>
  </w:style>
  <w:style w:type="paragraph" w:styleId="Rodap">
    <w:name w:val="footer"/>
    <w:basedOn w:val="Normal"/>
    <w:link w:val="RodapChar"/>
    <w:uiPriority w:val="99"/>
    <w:unhideWhenUsed w:val="1"/>
    <w:rsid w:val="00B4435A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B4435A"/>
  </w:style>
  <w:style w:type="paragraph" w:styleId="Corpodetexto">
    <w:name w:val="Body Text"/>
    <w:basedOn w:val="Normal"/>
    <w:link w:val="CorpodetextoChar"/>
    <w:rsid w:val="000F2F78"/>
    <w:pPr>
      <w:overflowPunct w:val="0"/>
      <w:spacing w:after="140"/>
      <w:textAlignment w:val="baseline"/>
    </w:pPr>
    <w:rPr>
      <w:rFonts w:ascii="Helvetica" w:hAnsi="Helvetica" w:eastAsia="Times New Roman" w:cs="Times New Roman"/>
      <w:color w:val="00000a"/>
      <w:sz w:val="20"/>
      <w:szCs w:val="20"/>
      <w:lang w:val="en-US" w:eastAsia="pt-BR"/>
    </w:rPr>
  </w:style>
  <w:style w:type="character" w:styleId="CorpodetextoChar" w:customStyle="1">
    <w:name w:val="Corpo de texto Char"/>
    <w:basedOn w:val="Fontepargpadro"/>
    <w:link w:val="Corpodetexto"/>
    <w:rsid w:val="000F2F78"/>
    <w:rPr>
      <w:rFonts w:ascii="Helvetica" w:hAnsi="Helvetica" w:eastAsia="Times New Roman" w:cs="Times New Roman"/>
      <w:color w:val="00000a"/>
      <w:sz w:val="20"/>
      <w:szCs w:val="20"/>
      <w:lang w:val="en-US" w:eastAsia="pt-BR"/>
    </w:rPr>
  </w:style>
  <w:style w:type="character" w:styleId="HiperlinkVisitado">
    <w:name w:val="FollowedHyperlink"/>
    <w:basedOn w:val="Fontepargpadro"/>
    <w:uiPriority w:val="99"/>
    <w:semiHidden w:val="1"/>
    <w:unhideWhenUsed w:val="1"/>
    <w:rsid w:val="00F3683A"/>
    <w:rPr>
      <w:color w:val="800080" w:themeColor="followed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F3683A"/>
    <w:rPr>
      <w:color w:val="605e5c"/>
      <w:shd w:val="clear" w:color="auto" w:fill="e1dfdd"/>
    </w:rPr>
  </w:style>
  <w:style w:type="paragraph" w:styleId="MDPI11articletype" w:customStyle="1">
    <w:name w:val="MDPI_1.1_article_type"/>
    <w:next w:val="Normal"/>
    <w:qFormat w:val="1"/>
    <w:rsid w:val="00BF1092"/>
    <w:pPr>
      <w:adjustRightInd w:val="0"/>
      <w:snapToGrid w:val="0"/>
      <w:spacing w:before="240" w:after="0" w:line="240" w:lineRule="auto"/>
    </w:pPr>
    <w:rPr>
      <w:rFonts w:ascii="Palatino Linotype" w:hAnsi="Palatino Linotype" w:eastAsia="Times New Roman" w:cs="Times New Roman"/>
      <w:i w:val="1"/>
      <w:snapToGrid w:val="0"/>
      <w:color w:val="000000"/>
      <w:sz w:val="20"/>
      <w:lang w:val="en-US" w:eastAsia="de-DE" w:bidi="en-US"/>
    </w:rPr>
  </w:style>
  <w:style w:type="character" w:styleId="TtuloChar" w:customStyle="1">
    <w:name w:val="Título Char"/>
    <w:basedOn w:val="Fontepargpadro"/>
    <w:link w:val="Ttulo"/>
    <w:uiPriority w:val="10"/>
    <w:rsid w:val="00EB12C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color w:val="666666"/>
      <w:sz w:val="48"/>
      <w:szCs w:val="4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footer" Target="footer1.xml" Id="rId8" /><Relationship Type="http://schemas.openxmlformats.org/officeDocument/2006/relationships/header" Target="header.xml" Id="R114d12b748a84f00" /><Relationship Type="http://schemas.openxmlformats.org/officeDocument/2006/relationships/header" Target="header2.xml" Id="Reec133b464924676" /><Relationship Type="http://schemas.openxmlformats.org/officeDocument/2006/relationships/image" Target="/media/image2.jpg" Id="R6b2a76200c0f4a89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202PuahRoAXkG461WS20mP/uGg==">CgMxLjA4AHIhMWRUb1ppeDBYWkJyV1ZSQ2ZtTTBNLVQ5a0VEaGxMbDZU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2025-08-12T14:34:00.0000000Z</dcterms:created>
  <dc:creator>Home</dc:creator>
  <lastModifiedBy>Wesley Pimenta Candido</lastModifiedBy>
  <dcterms:modified xsi:type="dcterms:W3CDTF">2026-09-17T20:12:06.7756548Z</dcterms:modified>
</coreProperties>
</file>