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4"/>
        </w:rPr>
        <w:t>DUE DILIGENCE &amp; MARKET REPORT (DDMR)</w:t>
      </w:r>
    </w:p>
    <w:p/>
    <w:p>
      <w:pPr>
        <w:jc w:val="center"/>
      </w:pPr>
      <w:r>
        <w:rPr>
          <w:b/>
          <w:color w:val="2E75B6"/>
          <w:sz w:val="36"/>
        </w:rPr>
        <w:t>Janatics India Private Limited</w:t>
      </w:r>
    </w:p>
    <w:p/>
    <w:p>
      <w:pPr>
        <w:jc w:val="center"/>
      </w:pPr>
      <w:r>
        <w:rPr>
          <w:sz w:val="22"/>
        </w:rPr>
        <w:t>CIN: U31103TZ1991PTC003409   |   Report Date: 19 April 2026</w:t>
      </w:r>
    </w:p>
    <w:p/>
    <w:p>
      <w:pPr>
        <w:jc w:val="center"/>
      </w:pPr>
      <w:r>
        <w:rPr>
          <w:b/>
          <w:color w:val="00B050"/>
          <w:sz w:val="28"/>
        </w:rPr>
        <w:t>Composite DDMR Score: 75.7/100  —  Strong</w:t>
      </w:r>
    </w:p>
    <w:p>
      <w:r>
        <w:br w:type="page"/>
      </w:r>
    </w:p>
    <w:p>
      <w:pPr>
        <w:pStyle w:val="Heading1"/>
        <w:jc w:val="left"/>
      </w:pPr>
      <w:r>
        <w:rPr>
          <w:color w:val="1F3864"/>
        </w:rPr>
        <w:t>1. Executive Summary</w:t>
      </w:r>
    </w:p>
    <w:p>
      <w:r>
        <w:t>Janatics India Private Limited (CIN: U31103TZ1991PTC003409) is a Coimbatore-based manufacturer of pneumatic components and industrial automation products, incorporated in 1991 and operating since 1977. With FY2025 revenue of ₹531 Crore and over 3,500 distinct products sold across 42+ countries to 17,000+ customers, the company represents one of India's most established domestic pneumatics brands. It holds ICRA credit ratings with a Stable outlook and has subsidiaries in the USA and Germany.</w:t>
      </w:r>
    </w:p>
    <w:p/>
    <w:p>
      <w:r>
        <w:rPr>
          <w:b w:val="0"/>
        </w:rPr>
        <w:t xml:space="preserve">The DDMR composite score is </w:t>
      </w:r>
      <w:r>
        <w:rPr>
          <w:b/>
          <w:color w:val="00B050"/>
        </w:rPr>
        <w:t>75.7/100 (Strong)</w:t>
      </w:r>
      <w:r>
        <w:t>, reflecting strong operational foundations, global presence, and brand maturity, partially offset by below-industry revenue growth (4% vs 6.9% sector CAGR) and EBITDA margin compression observed in FY2025.</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Dimension</w:t>
            </w:r>
          </w:p>
        </w:tc>
        <w:tc>
          <w:tcPr>
            <w:tcW w:type="dxa" w:w="2351"/>
            <w:shd w:val="clear" w:color="auto" w:fill="1F3864"/>
          </w:tcPr>
          <w:p>
            <w:r>
              <w:rPr>
                <w:b/>
                <w:color w:val="FFFFFF"/>
              </w:rPr>
              <w:t>Score /100</w:t>
            </w:r>
          </w:p>
        </w:tc>
        <w:tc>
          <w:tcPr>
            <w:tcW w:type="dxa" w:w="2351"/>
            <w:shd w:val="clear" w:color="auto" w:fill="1F3864"/>
          </w:tcPr>
          <w:p>
            <w:r>
              <w:rPr>
                <w:b/>
                <w:color w:val="FFFFFF"/>
              </w:rPr>
              <w:t>Weight</w:t>
            </w:r>
          </w:p>
        </w:tc>
        <w:tc>
          <w:tcPr>
            <w:tcW w:type="dxa" w:w="2351"/>
            <w:shd w:val="clear" w:color="auto" w:fill="1F3864"/>
          </w:tcPr>
          <w:p>
            <w:r>
              <w:rPr>
                <w:b/>
                <w:color w:val="FFFFFF"/>
              </w:rPr>
              <w:t>Rating</w:t>
            </w:r>
          </w:p>
        </w:tc>
      </w:tr>
      <w:tr>
        <w:tc>
          <w:tcPr>
            <w:tcW w:type="dxa" w:w="2351"/>
            <w:shd w:val="clear" w:color="auto" w:fill="D6E4F0"/>
          </w:tcPr>
          <w:p>
            <w:r>
              <w:rPr>
                <w:color w:val="1F3864"/>
              </w:rPr>
              <w:t>Strategy &amp; Leadership</w:t>
            </w:r>
          </w:p>
        </w:tc>
        <w:tc>
          <w:tcPr>
            <w:tcW w:type="dxa" w:w="2351"/>
            <w:shd w:val="clear" w:color="auto" w:fill="D6E4F0"/>
          </w:tcPr>
          <w:p>
            <w:r>
              <w:rPr>
                <w:color w:val="1F3864"/>
              </w:rPr>
              <w:t>81</w:t>
            </w:r>
          </w:p>
        </w:tc>
        <w:tc>
          <w:tcPr>
            <w:tcW w:type="dxa" w:w="2351"/>
            <w:shd w:val="clear" w:color="auto" w:fill="D6E4F0"/>
          </w:tcPr>
          <w:p>
            <w:r>
              <w:rPr>
                <w:color w:val="1F3864"/>
              </w:rPr>
              <w:t>25%</w:t>
            </w:r>
          </w:p>
        </w:tc>
        <w:tc>
          <w:tcPr>
            <w:tcW w:type="dxa" w:w="2351"/>
            <w:shd w:val="clear" w:color="auto" w:fill="D6E4F0"/>
          </w:tcPr>
          <w:p>
            <w:r>
              <w:rPr>
                <w:color w:val="1F3864"/>
              </w:rPr>
              <w:t>Strong</w:t>
            </w:r>
          </w:p>
        </w:tc>
      </w:tr>
      <w:tr>
        <w:tc>
          <w:tcPr>
            <w:tcW w:type="dxa" w:w="2351"/>
            <w:shd w:val="clear" w:color="auto" w:fill="D6E4F0"/>
          </w:tcPr>
          <w:p>
            <w:r>
              <w:rPr>
                <w:color w:val="1F3864"/>
              </w:rPr>
              <w:t>Sales &amp; Marketing</w:t>
            </w:r>
          </w:p>
        </w:tc>
        <w:tc>
          <w:tcPr>
            <w:tcW w:type="dxa" w:w="2351"/>
            <w:shd w:val="clear" w:color="auto" w:fill="D6E4F0"/>
          </w:tcPr>
          <w:p>
            <w:r>
              <w:rPr>
                <w:color w:val="1F3864"/>
              </w:rPr>
              <w:t>78</w:t>
            </w:r>
          </w:p>
        </w:tc>
        <w:tc>
          <w:tcPr>
            <w:tcW w:type="dxa" w:w="2351"/>
            <w:shd w:val="clear" w:color="auto" w:fill="D6E4F0"/>
          </w:tcPr>
          <w:p>
            <w:r>
              <w:rPr>
                <w:color w:val="1F3864"/>
              </w:rPr>
              <w:t>20%</w:t>
            </w:r>
          </w:p>
        </w:tc>
        <w:tc>
          <w:tcPr>
            <w:tcW w:type="dxa" w:w="2351"/>
            <w:shd w:val="clear" w:color="auto" w:fill="D6E4F0"/>
          </w:tcPr>
          <w:p>
            <w:r>
              <w:rPr>
                <w:color w:val="1F3864"/>
              </w:rPr>
              <w:t>Strong</w:t>
            </w:r>
          </w:p>
        </w:tc>
      </w:tr>
      <w:tr>
        <w:tc>
          <w:tcPr>
            <w:tcW w:type="dxa" w:w="2351"/>
            <w:shd w:val="clear" w:color="auto" w:fill="D6E4F0"/>
          </w:tcPr>
          <w:p>
            <w:r>
              <w:rPr>
                <w:color w:val="1F3864"/>
              </w:rPr>
              <w:t>Operations &amp; Supply Chain</w:t>
            </w:r>
          </w:p>
        </w:tc>
        <w:tc>
          <w:tcPr>
            <w:tcW w:type="dxa" w:w="2351"/>
            <w:shd w:val="clear" w:color="auto" w:fill="D6E4F0"/>
          </w:tcPr>
          <w:p>
            <w:r>
              <w:rPr>
                <w:color w:val="1F3864"/>
              </w:rPr>
              <w:t>78</w:t>
            </w:r>
          </w:p>
        </w:tc>
        <w:tc>
          <w:tcPr>
            <w:tcW w:type="dxa" w:w="2351"/>
            <w:shd w:val="clear" w:color="auto" w:fill="D6E4F0"/>
          </w:tcPr>
          <w:p>
            <w:r>
              <w:rPr>
                <w:color w:val="1F3864"/>
              </w:rPr>
              <w:t>20%</w:t>
            </w:r>
          </w:p>
        </w:tc>
        <w:tc>
          <w:tcPr>
            <w:tcW w:type="dxa" w:w="2351"/>
            <w:shd w:val="clear" w:color="auto" w:fill="D6E4F0"/>
          </w:tcPr>
          <w:p>
            <w:r>
              <w:rPr>
                <w:color w:val="1F3864"/>
              </w:rPr>
              <w:t>Strong</w:t>
            </w:r>
          </w:p>
        </w:tc>
      </w:tr>
      <w:tr>
        <w:tc>
          <w:tcPr>
            <w:tcW w:type="dxa" w:w="2351"/>
            <w:shd w:val="clear" w:color="auto" w:fill="D6E4F0"/>
          </w:tcPr>
          <w:p>
            <w:r>
              <w:rPr>
                <w:color w:val="1F3864"/>
              </w:rPr>
              <w:t>Finance</w:t>
            </w:r>
          </w:p>
        </w:tc>
        <w:tc>
          <w:tcPr>
            <w:tcW w:type="dxa" w:w="2351"/>
            <w:shd w:val="clear" w:color="auto" w:fill="D6E4F0"/>
          </w:tcPr>
          <w:p>
            <w:r>
              <w:rPr>
                <w:color w:val="1F3864"/>
              </w:rPr>
              <w:t>67</w:t>
            </w:r>
          </w:p>
        </w:tc>
        <w:tc>
          <w:tcPr>
            <w:tcW w:type="dxa" w:w="2351"/>
            <w:shd w:val="clear" w:color="auto" w:fill="D6E4F0"/>
          </w:tcPr>
          <w:p>
            <w:r>
              <w:rPr>
                <w:color w:val="1F3864"/>
              </w:rPr>
              <w:t>25%</w:t>
            </w:r>
          </w:p>
        </w:tc>
        <w:tc>
          <w:tcPr>
            <w:tcW w:type="dxa" w:w="2351"/>
            <w:shd w:val="clear" w:color="auto" w:fill="D6E4F0"/>
          </w:tcPr>
          <w:p>
            <w:r>
              <w:rPr>
                <w:color w:val="1F3864"/>
              </w:rPr>
              <w:t>Moderate</w:t>
            </w:r>
          </w:p>
        </w:tc>
      </w:tr>
      <w:tr>
        <w:tc>
          <w:tcPr>
            <w:tcW w:type="dxa" w:w="2351"/>
            <w:shd w:val="clear" w:color="auto" w:fill="D6E4F0"/>
          </w:tcPr>
          <w:p>
            <w:r>
              <w:rPr>
                <w:color w:val="1F3864"/>
              </w:rPr>
              <w:t>Industry Context</w:t>
            </w:r>
          </w:p>
        </w:tc>
        <w:tc>
          <w:tcPr>
            <w:tcW w:type="dxa" w:w="2351"/>
            <w:shd w:val="clear" w:color="auto" w:fill="D6E4F0"/>
          </w:tcPr>
          <w:p>
            <w:r>
              <w:rPr>
                <w:color w:val="1F3864"/>
              </w:rPr>
              <w:t>75</w:t>
            </w:r>
          </w:p>
        </w:tc>
        <w:tc>
          <w:tcPr>
            <w:tcW w:type="dxa" w:w="2351"/>
            <w:shd w:val="clear" w:color="auto" w:fill="D6E4F0"/>
          </w:tcPr>
          <w:p>
            <w:r>
              <w:rPr>
                <w:color w:val="1F3864"/>
              </w:rPr>
              <w:t>10%</w:t>
            </w:r>
          </w:p>
        </w:tc>
        <w:tc>
          <w:tcPr>
            <w:tcW w:type="dxa" w:w="2351"/>
            <w:shd w:val="clear" w:color="auto" w:fill="D6E4F0"/>
          </w:tcPr>
          <w:p>
            <w:r>
              <w:rPr>
                <w:color w:val="1F3864"/>
              </w:rPr>
              <w:t>Strong</w:t>
            </w:r>
          </w:p>
        </w:tc>
      </w:tr>
      <w:tr>
        <w:tc>
          <w:tcPr>
            <w:tcW w:type="dxa" w:w="2351"/>
            <w:shd w:val="clear" w:color="auto" w:fill="2E75B6"/>
          </w:tcPr>
          <w:p>
            <w:r>
              <w:rPr>
                <w:b/>
                <w:color w:val="FFFFFF"/>
              </w:rPr>
              <w:t>COMPOSITE SCORE</w:t>
            </w:r>
          </w:p>
        </w:tc>
        <w:tc>
          <w:tcPr>
            <w:tcW w:type="dxa" w:w="2351"/>
            <w:shd w:val="clear" w:color="auto" w:fill="2E75B6"/>
          </w:tcPr>
          <w:p>
            <w:r>
              <w:rPr>
                <w:b/>
                <w:color w:val="FFFFFF"/>
              </w:rPr>
              <w:t>75.7</w:t>
            </w:r>
          </w:p>
        </w:tc>
        <w:tc>
          <w:tcPr>
            <w:tcW w:type="dxa" w:w="2351"/>
            <w:shd w:val="clear" w:color="auto" w:fill="2E75B6"/>
          </w:tcPr>
          <w:p>
            <w:r>
              <w:rPr>
                <w:b/>
                <w:color w:val="FFFFFF"/>
              </w:rPr>
              <w:t>100%</w:t>
            </w:r>
          </w:p>
        </w:tc>
        <w:tc>
          <w:tcPr>
            <w:tcW w:type="dxa" w:w="2351"/>
            <w:shd w:val="clear" w:color="auto" w:fill="2E75B6"/>
          </w:tcPr>
          <w:p>
            <w:r>
              <w:rPr>
                <w:b/>
                <w:color w:val="FFFFFF"/>
              </w:rPr>
              <w:t>Strong</w:t>
            </w:r>
          </w:p>
        </w:tc>
      </w:tr>
    </w:tbl>
    <w:p>
      <w:r>
        <w:br w:type="page"/>
      </w:r>
    </w:p>
    <w:p>
      <w:pPr>
        <w:pStyle w:val="Heading1"/>
        <w:jc w:val="left"/>
      </w:pPr>
      <w:r>
        <w:rPr>
          <w:color w:val="1F3864"/>
        </w:rPr>
        <w:t>2. Strategy &amp; Leadership (Score: 81/100 — Strong)</w:t>
      </w:r>
    </w:p>
    <w:p>
      <w:r>
        <w:t>Janatics India demonstrates exceptional leadership tenure and strategic clarity. The company was established in 1977, giving it a 49-year operational track record — a rare distinction among domestic manufacturers. Its three-director board (Jaganathan Ganesh Kumar, G C Nageswaran, and Rajamani Ramesh) maintains active compliance with all DIN requirements and statutory filings with ROC Coimbatore.</w:t>
      </w:r>
    </w:p>
    <w:p>
      <w:r>
        <w:t>The strategic expansion beyond pneumatics into electric actuators, sensors, motors, and robotic systems demonstrates forward-looking leadership aligned with Industry 4.0 megatrends. The establishment of subsidiaries in the USA and Germany reflects deliberate global market strategy rather than opportunistic export. The company's DSIR-recognized R&amp;D division signals commitment to proprietary innovation.</w:t>
      </w:r>
    </w:p>
    <w:p>
      <w:r>
        <w:t>The primary governance gap is the absence of independent director disclosures or ESG commitments in public records — a factor increasingly scrutinized by institutional buyers and export partners.</w:t>
      </w:r>
    </w:p>
    <w:p/>
    <w:tbl>
      <w:tblPr>
        <w:tblStyle w:val="TableGrid"/>
        <w:tblW w:type="auto" w:w="0"/>
        <w:tblLook w:firstColumn="1" w:firstRow="1" w:lastColumn="0" w:lastRow="0" w:noHBand="0" w:noVBand="1" w:val="04A0"/>
      </w:tblPr>
      <w:tblGrid>
        <w:gridCol w:w="2835"/>
        <w:gridCol w:w="1134"/>
        <w:gridCol w:w="5669"/>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Evidence</w:t>
            </w:r>
          </w:p>
        </w:tc>
      </w:tr>
      <w:tr>
        <w:tc>
          <w:tcPr>
            <w:tcW w:type="dxa" w:w="3135"/>
            <w:shd w:val="clear" w:color="auto" w:fill="D5E8D4"/>
          </w:tcPr>
          <w:p>
            <w:r>
              <w:t>SL01: Company/Founder Tenure</w:t>
            </w:r>
          </w:p>
        </w:tc>
        <w:tc>
          <w:tcPr>
            <w:tcW w:type="dxa" w:w="3135"/>
            <w:shd w:val="clear" w:color="auto" w:fill="D5E8D4"/>
          </w:tcPr>
          <w:p>
            <w:r>
              <w:t>90/100</w:t>
            </w:r>
          </w:p>
        </w:tc>
        <w:tc>
          <w:tcPr>
            <w:tcW w:type="dxa" w:w="3135"/>
            <w:shd w:val="clear" w:color="auto" w:fill="D5E8D4"/>
          </w:tcPr>
          <w:p>
            <w:r>
              <w:t>Established 1977; incorporated 1991 — 49-year operating history</w:t>
            </w:r>
          </w:p>
        </w:tc>
      </w:tr>
      <w:tr>
        <w:tc>
          <w:tcPr>
            <w:tcW w:type="dxa" w:w="3135"/>
            <w:shd w:val="clear" w:color="auto" w:fill="D5E8D4"/>
          </w:tcPr>
          <w:p>
            <w:r>
              <w:t>SL02: Director Profile &amp; DIN Compliance</w:t>
            </w:r>
          </w:p>
        </w:tc>
        <w:tc>
          <w:tcPr>
            <w:tcW w:type="dxa" w:w="3135"/>
            <w:shd w:val="clear" w:color="auto" w:fill="D5E8D4"/>
          </w:tcPr>
          <w:p>
            <w:r>
              <w:t>75/100</w:t>
            </w:r>
          </w:p>
        </w:tc>
        <w:tc>
          <w:tcPr>
            <w:tcW w:type="dxa" w:w="3135"/>
            <w:shd w:val="clear" w:color="auto" w:fill="D5E8D4"/>
          </w:tcPr>
          <w:p>
            <w:r>
              <w:t>3 active directors; all DINs current; AGM Sept 2024</w:t>
            </w:r>
          </w:p>
        </w:tc>
      </w:tr>
      <w:tr>
        <w:tc>
          <w:tcPr>
            <w:tcW w:type="dxa" w:w="3135"/>
            <w:shd w:val="clear" w:color="auto" w:fill="D5E8D4"/>
          </w:tcPr>
          <w:p>
            <w:r>
              <w:t>SL03: Governance &amp; Filing Compliance</w:t>
            </w:r>
          </w:p>
        </w:tc>
        <w:tc>
          <w:tcPr>
            <w:tcW w:type="dxa" w:w="3135"/>
            <w:shd w:val="clear" w:color="auto" w:fill="D5E8D4"/>
          </w:tcPr>
          <w:p>
            <w:r>
              <w:t>80/100</w:t>
            </w:r>
          </w:p>
        </w:tc>
        <w:tc>
          <w:tcPr>
            <w:tcW w:type="dxa" w:w="3135"/>
            <w:shd w:val="clear" w:color="auto" w:fill="D5E8D4"/>
          </w:tcPr>
          <w:p>
            <w:r>
              <w:t>Annual filings current; no ROC penalties noted in public records</w:t>
            </w:r>
          </w:p>
        </w:tc>
      </w:tr>
      <w:tr>
        <w:tc>
          <w:tcPr>
            <w:tcW w:type="dxa" w:w="3135"/>
            <w:shd w:val="clear" w:color="auto" w:fill="D5E8D4"/>
          </w:tcPr>
          <w:p>
            <w:r>
              <w:t>SL04: Debt &amp; Charge Structure</w:t>
            </w:r>
          </w:p>
        </w:tc>
        <w:tc>
          <w:tcPr>
            <w:tcW w:type="dxa" w:w="3135"/>
            <w:shd w:val="clear" w:color="auto" w:fill="D5E8D4"/>
          </w:tcPr>
          <w:p>
            <w:r>
              <w:t>78/100</w:t>
            </w:r>
          </w:p>
        </w:tc>
        <w:tc>
          <w:tcPr>
            <w:tcW w:type="dxa" w:w="3135"/>
            <w:shd w:val="clear" w:color="auto" w:fill="D5E8D4"/>
          </w:tcPr>
          <w:p>
            <w:r>
              <w:t>ICRA-rated; stable outlook; healthy debt protection metrics</w:t>
            </w:r>
          </w:p>
        </w:tc>
      </w:tr>
      <w:tr>
        <w:tc>
          <w:tcPr>
            <w:tcW w:type="dxa" w:w="3135"/>
            <w:shd w:val="clear" w:color="auto" w:fill="D5E8D4"/>
          </w:tcPr>
          <w:p>
            <w:r>
              <w:t>SL05: Strategic Direction</w:t>
            </w:r>
          </w:p>
        </w:tc>
        <w:tc>
          <w:tcPr>
            <w:tcW w:type="dxa" w:w="3135"/>
            <w:shd w:val="clear" w:color="auto" w:fill="D5E8D4"/>
          </w:tcPr>
          <w:p>
            <w:r>
              <w:t>82/100</w:t>
            </w:r>
          </w:p>
        </w:tc>
        <w:tc>
          <w:tcPr>
            <w:tcW w:type="dxa" w:w="3135"/>
            <w:shd w:val="clear" w:color="auto" w:fill="D5E8D4"/>
          </w:tcPr>
          <w:p>
            <w:r>
              <w:t>Industry 4.0 pivot: electric actuators, robotics, sensors added</w:t>
            </w:r>
          </w:p>
        </w:tc>
      </w:tr>
      <w:tr>
        <w:tc>
          <w:tcPr>
            <w:tcW w:type="dxa" w:w="3135"/>
            <w:shd w:val="clear" w:color="auto" w:fill="D5E8D4"/>
          </w:tcPr>
          <w:p>
            <w:r>
              <w:t>SL06: Global Presence</w:t>
            </w:r>
          </w:p>
        </w:tc>
        <w:tc>
          <w:tcPr>
            <w:tcW w:type="dxa" w:w="3135"/>
            <w:shd w:val="clear" w:color="auto" w:fill="D5E8D4"/>
          </w:tcPr>
          <w:p>
            <w:r>
              <w:t>88/100</w:t>
            </w:r>
          </w:p>
        </w:tc>
        <w:tc>
          <w:tcPr>
            <w:tcW w:type="dxa" w:w="3135"/>
            <w:shd w:val="clear" w:color="auto" w:fill="D5E8D4"/>
          </w:tcPr>
          <w:p>
            <w:r>
              <w:t>42+ countries; USA and Germany subsidiaries; 200 global distribution partners</w:t>
            </w:r>
          </w:p>
        </w:tc>
      </w:tr>
    </w:tbl>
    <w:p>
      <w:r>
        <w:br w:type="page"/>
      </w:r>
    </w:p>
    <w:p>
      <w:pPr>
        <w:pStyle w:val="Heading1"/>
        <w:jc w:val="left"/>
      </w:pPr>
      <w:r>
        <w:rPr>
          <w:color w:val="1F3864"/>
        </w:rPr>
        <w:t>3. Sales &amp; Marketing (Score: 78/100 — Strong)</w:t>
      </w:r>
    </w:p>
    <w:p>
      <w:r>
        <w:t>Janatics' sales and marketing profile is characterized by exceptional customer diversity and distribution breadth, partially tempered by revenue growth trailing industry pace.</w:t>
      </w:r>
    </w:p>
    <w:p>
      <w:r>
        <w:t>The company serves 17,000+ customers across seven end-use industries — pharmaceuticals, automotive, packaging, printing, food processing, medical equipment, and textiles. This diversification insulates revenues from sector-specific cyclicality. The global distribution network of 200+ partners enables market access without proportionate fixed-cost overhead.</w:t>
      </w:r>
    </w:p>
    <w:p>
      <w:r>
        <w:t>Revenue grew from ₹507.9 Cr (FY2024) to ₹527.8 Cr (FY2025), a 4% YoY increase — below the industry CAGR of 6.9%. This suggests either deliberate margin-over-volume positioning or competitive pressure from global players (SMC Corporation, Festo, Parker Hannifin) in the premium segment. The company operates under its own brand, Janatics, which commands recognition within AIA India member circles and among OEM procurement teams.</w:t>
      </w:r>
    </w:p>
    <w:p>
      <w:r>
        <w:t>A digital commerce and direct-to-customer channel strategy is not evidenced in public disclosures — a potential growth lever not yet activated.</w:t>
      </w:r>
    </w:p>
    <w:p/>
    <w:tbl>
      <w:tblPr>
        <w:tblStyle w:val="TableGrid"/>
        <w:tblW w:type="auto" w:w="0"/>
        <w:tblLook w:firstColumn="1" w:firstRow="1" w:lastColumn="0" w:lastRow="0" w:noHBand="0" w:noVBand="1" w:val="04A0"/>
      </w:tblPr>
      <w:tblGrid>
        <w:gridCol w:w="2835"/>
        <w:gridCol w:w="1134"/>
        <w:gridCol w:w="5669"/>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Evidence</w:t>
            </w:r>
          </w:p>
        </w:tc>
      </w:tr>
      <w:tr>
        <w:tc>
          <w:tcPr>
            <w:tcW w:type="dxa" w:w="3135"/>
            <w:shd w:val="clear" w:color="auto" w:fill="FFF2CC"/>
          </w:tcPr>
          <w:p>
            <w:r>
              <w:t>SM01: Revenue Growth vs Industry CAGR</w:t>
            </w:r>
          </w:p>
        </w:tc>
        <w:tc>
          <w:tcPr>
            <w:tcW w:type="dxa" w:w="3135"/>
            <w:shd w:val="clear" w:color="auto" w:fill="FFF2CC"/>
          </w:tcPr>
          <w:p>
            <w:r>
              <w:t>55/100</w:t>
            </w:r>
          </w:p>
        </w:tc>
        <w:tc>
          <w:tcPr>
            <w:tcW w:type="dxa" w:w="3135"/>
            <w:shd w:val="clear" w:color="auto" w:fill="FFF2CC"/>
          </w:tcPr>
          <w:p>
            <w:r>
              <w:t>4% YoY vs 6.9% sector CAGR — below market pace</w:t>
            </w:r>
          </w:p>
        </w:tc>
      </w:tr>
      <w:tr>
        <w:tc>
          <w:tcPr>
            <w:tcW w:type="dxa" w:w="3135"/>
            <w:shd w:val="clear" w:color="auto" w:fill="D5E8D4"/>
          </w:tcPr>
          <w:p>
            <w:r>
              <w:t>SM02: Revenue Scale</w:t>
            </w:r>
          </w:p>
        </w:tc>
        <w:tc>
          <w:tcPr>
            <w:tcW w:type="dxa" w:w="3135"/>
            <w:shd w:val="clear" w:color="auto" w:fill="D5E8D4"/>
          </w:tcPr>
          <w:p>
            <w:r>
              <w:t>80/100</w:t>
            </w:r>
          </w:p>
        </w:tc>
        <w:tc>
          <w:tcPr>
            <w:tcW w:type="dxa" w:w="3135"/>
            <w:shd w:val="clear" w:color="auto" w:fill="D5E8D4"/>
          </w:tcPr>
          <w:p>
            <w:r>
              <w:t>₹531 Cr FY2025; consistent ₹500 Cr+ for 2 consecutive years</w:t>
            </w:r>
          </w:p>
        </w:tc>
      </w:tr>
      <w:tr>
        <w:tc>
          <w:tcPr>
            <w:tcW w:type="dxa" w:w="3135"/>
            <w:shd w:val="clear" w:color="auto" w:fill="D5E8D4"/>
          </w:tcPr>
          <w:p>
            <w:r>
              <w:t>SM03: Customer Diversity</w:t>
            </w:r>
          </w:p>
        </w:tc>
        <w:tc>
          <w:tcPr>
            <w:tcW w:type="dxa" w:w="3135"/>
            <w:shd w:val="clear" w:color="auto" w:fill="D5E8D4"/>
          </w:tcPr>
          <w:p>
            <w:r>
              <w:t>90/100</w:t>
            </w:r>
          </w:p>
        </w:tc>
        <w:tc>
          <w:tcPr>
            <w:tcW w:type="dxa" w:w="3135"/>
            <w:shd w:val="clear" w:color="auto" w:fill="D5E8D4"/>
          </w:tcPr>
          <w:p>
            <w:r>
              <w:t>17,000+ customers; 7 industries; low single-customer concentration risk</w:t>
            </w:r>
          </w:p>
        </w:tc>
      </w:tr>
      <w:tr>
        <w:tc>
          <w:tcPr>
            <w:tcW w:type="dxa" w:w="3135"/>
            <w:shd w:val="clear" w:color="auto" w:fill="D5E8D4"/>
          </w:tcPr>
          <w:p>
            <w:r>
              <w:t>SM04: Distribution Network</w:t>
            </w:r>
          </w:p>
        </w:tc>
        <w:tc>
          <w:tcPr>
            <w:tcW w:type="dxa" w:w="3135"/>
            <w:shd w:val="clear" w:color="auto" w:fill="D5E8D4"/>
          </w:tcPr>
          <w:p>
            <w:r>
              <w:t>85/100</w:t>
            </w:r>
          </w:p>
        </w:tc>
        <w:tc>
          <w:tcPr>
            <w:tcW w:type="dxa" w:w="3135"/>
            <w:shd w:val="clear" w:color="auto" w:fill="D5E8D4"/>
          </w:tcPr>
          <w:p>
            <w:r>
              <w:t>200 global partners; 3 manufacturing plants for regional reach</w:t>
            </w:r>
          </w:p>
        </w:tc>
      </w:tr>
      <w:tr>
        <w:tc>
          <w:tcPr>
            <w:tcW w:type="dxa" w:w="3135"/>
            <w:shd w:val="clear" w:color="auto" w:fill="D5E8D4"/>
          </w:tcPr>
          <w:p>
            <w:r>
              <w:t>SM05: Brand Strength</w:t>
            </w:r>
          </w:p>
        </w:tc>
        <w:tc>
          <w:tcPr>
            <w:tcW w:type="dxa" w:w="3135"/>
            <w:shd w:val="clear" w:color="auto" w:fill="D5E8D4"/>
          </w:tcPr>
          <w:p>
            <w:r>
              <w:t>80/100</w:t>
            </w:r>
          </w:p>
        </w:tc>
        <w:tc>
          <w:tcPr>
            <w:tcW w:type="dxa" w:w="3135"/>
            <w:shd w:val="clear" w:color="auto" w:fill="D5E8D4"/>
          </w:tcPr>
          <w:p>
            <w:r>
              <w:t>49-year brand; AIA India member; DSIR-recognized R&amp;D</w:t>
            </w:r>
          </w:p>
        </w:tc>
      </w:tr>
    </w:tbl>
    <w:p>
      <w:r>
        <w:br w:type="page"/>
      </w:r>
    </w:p>
    <w:p>
      <w:pPr>
        <w:pStyle w:val="Heading1"/>
        <w:jc w:val="left"/>
      </w:pPr>
      <w:r>
        <w:rPr>
          <w:color w:val="1F3864"/>
        </w:rPr>
        <w:t>4. Operations &amp; Supply Chain (Score: 78/100 — Strong)</w:t>
      </w:r>
    </w:p>
    <w:p>
      <w:r>
        <w:t>Janatics operates one of the largest dedicated pneumatics manufacturing facilities in India — a 70,000 square meter plant in Coimbatore equipped with casting equipment, CNC machining centers, and surface treatment lines. Additional plants in Ahmedabad and Noida provide regional manufacturing flexibility and reduce logistics lead times for northern and western markets.</w:t>
      </w:r>
    </w:p>
    <w:p>
      <w:r>
        <w:t>The product portfolio exceeds 3,500 distinct SKUs spanning pneumatic cylinders, directional control valves, FRL (Filter-Regulator-Lubricator) units, solenoid valves, one-touch fittings, and didactic automation equipment. This breadth enables Janatics to serve as a single-source supplier for OEM customers — a significant procurement advantage.</w:t>
      </w:r>
    </w:p>
    <w:p>
      <w:r>
        <w:t>The DSIR-recognized R&amp;D division underpins product development velocity and differentiates Janatics from purely assembly-based competitors. The company's expansion into electric actuators and robotics signals investment in manufacturing capabilities beyond legacy pneumatics.</w:t>
      </w:r>
    </w:p>
    <w:p>
      <w:r>
        <w:t>The principal operational risk is internal digitization transparency — ERP systems, supply chain visibility tools, and manufacturing execution systems are not disclosed, limiting the ability to score OSC05 (digitization) with confidence.</w:t>
      </w:r>
    </w:p>
    <w:p/>
    <w:tbl>
      <w:tblPr>
        <w:tblStyle w:val="TableGrid"/>
        <w:tblW w:type="auto" w:w="0"/>
        <w:tblLook w:firstColumn="1" w:firstRow="1" w:lastColumn="0" w:lastRow="0" w:noHBand="0" w:noVBand="1" w:val="04A0"/>
      </w:tblPr>
      <w:tblGrid>
        <w:gridCol w:w="2835"/>
        <w:gridCol w:w="1134"/>
        <w:gridCol w:w="5669"/>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Evidence</w:t>
            </w:r>
          </w:p>
        </w:tc>
      </w:tr>
      <w:tr>
        <w:tc>
          <w:tcPr>
            <w:tcW w:type="dxa" w:w="3135"/>
            <w:shd w:val="clear" w:color="auto" w:fill="D5E8D4"/>
          </w:tcPr>
          <w:p>
            <w:r>
              <w:t>OSC01: Manufacturing Scale</w:t>
            </w:r>
          </w:p>
        </w:tc>
        <w:tc>
          <w:tcPr>
            <w:tcW w:type="dxa" w:w="3135"/>
            <w:shd w:val="clear" w:color="auto" w:fill="D5E8D4"/>
          </w:tcPr>
          <w:p>
            <w:r>
              <w:t>85/100</w:t>
            </w:r>
          </w:p>
        </w:tc>
        <w:tc>
          <w:tcPr>
            <w:tcW w:type="dxa" w:w="3135"/>
            <w:shd w:val="clear" w:color="auto" w:fill="D5E8D4"/>
          </w:tcPr>
          <w:p>
            <w:r>
              <w:t>70,000 sqm Coimbatore HQ; Ahmedabad and Noida plants</w:t>
            </w:r>
          </w:p>
        </w:tc>
      </w:tr>
      <w:tr>
        <w:tc>
          <w:tcPr>
            <w:tcW w:type="dxa" w:w="3135"/>
            <w:shd w:val="clear" w:color="auto" w:fill="D5E8D4"/>
          </w:tcPr>
          <w:p>
            <w:r>
              <w:t>OSC02: Product Portfolio Breadth</w:t>
            </w:r>
          </w:p>
        </w:tc>
        <w:tc>
          <w:tcPr>
            <w:tcW w:type="dxa" w:w="3135"/>
            <w:shd w:val="clear" w:color="auto" w:fill="D5E8D4"/>
          </w:tcPr>
          <w:p>
            <w:r>
              <w:t>90/100</w:t>
            </w:r>
          </w:p>
        </w:tc>
        <w:tc>
          <w:tcPr>
            <w:tcW w:type="dxa" w:w="3135"/>
            <w:shd w:val="clear" w:color="auto" w:fill="D5E8D4"/>
          </w:tcPr>
          <w:p>
            <w:r>
              <w:t>3,500+ distinct products across multiple automation categories</w:t>
            </w:r>
          </w:p>
        </w:tc>
      </w:tr>
      <w:tr>
        <w:tc>
          <w:tcPr>
            <w:tcW w:type="dxa" w:w="3135"/>
            <w:shd w:val="clear" w:color="auto" w:fill="D5E8D4"/>
          </w:tcPr>
          <w:p>
            <w:r>
              <w:t>OSC03: R&amp;D &amp; Technology</w:t>
            </w:r>
          </w:p>
        </w:tc>
        <w:tc>
          <w:tcPr>
            <w:tcW w:type="dxa" w:w="3135"/>
            <w:shd w:val="clear" w:color="auto" w:fill="D5E8D4"/>
          </w:tcPr>
          <w:p>
            <w:r>
              <w:t>82/100</w:t>
            </w:r>
          </w:p>
        </w:tc>
        <w:tc>
          <w:tcPr>
            <w:tcW w:type="dxa" w:w="3135"/>
            <w:shd w:val="clear" w:color="auto" w:fill="D5E8D4"/>
          </w:tcPr>
          <w:p>
            <w:r>
              <w:t>DSIR-recognized R&amp;D; CNC and casting; robotics expansion underway</w:t>
            </w:r>
          </w:p>
        </w:tc>
      </w:tr>
      <w:tr>
        <w:tc>
          <w:tcPr>
            <w:tcW w:type="dxa" w:w="3135"/>
            <w:shd w:val="clear" w:color="auto" w:fill="FFF2CC"/>
          </w:tcPr>
          <w:p>
            <w:r>
              <w:t>OSC04: GST &amp; Regulatory Compliance</w:t>
            </w:r>
          </w:p>
        </w:tc>
        <w:tc>
          <w:tcPr>
            <w:tcW w:type="dxa" w:w="3135"/>
            <w:shd w:val="clear" w:color="auto" w:fill="FFF2CC"/>
          </w:tcPr>
          <w:p>
            <w:r>
              <w:t>72/100</w:t>
            </w:r>
          </w:p>
        </w:tc>
        <w:tc>
          <w:tcPr>
            <w:tcW w:type="dxa" w:w="3135"/>
            <w:shd w:val="clear" w:color="auto" w:fill="FFF2CC"/>
          </w:tcPr>
          <w:p>
            <w:r>
              <w:t>Active GST entity; ICRA notes consistent compliance track record</w:t>
            </w:r>
          </w:p>
        </w:tc>
      </w:tr>
      <w:tr>
        <w:tc>
          <w:tcPr>
            <w:tcW w:type="dxa" w:w="3135"/>
            <w:shd w:val="clear" w:color="auto" w:fill="FFF2CC"/>
          </w:tcPr>
          <w:p>
            <w:r>
              <w:t>OSC05: Supply Chain Digitization</w:t>
            </w:r>
          </w:p>
        </w:tc>
        <w:tc>
          <w:tcPr>
            <w:tcW w:type="dxa" w:w="3135"/>
            <w:shd w:val="clear" w:color="auto" w:fill="FFF2CC"/>
          </w:tcPr>
          <w:p>
            <w:r>
              <w:t>65/100</w:t>
            </w:r>
          </w:p>
        </w:tc>
        <w:tc>
          <w:tcPr>
            <w:tcW w:type="dxa" w:w="3135"/>
            <w:shd w:val="clear" w:color="auto" w:fill="FFF2CC"/>
          </w:tcPr>
          <w:p>
            <w:r>
              <w:t>Industry 4.0 product range present; internal digitization undisclosed</w:t>
            </w:r>
          </w:p>
        </w:tc>
      </w:tr>
    </w:tbl>
    <w:p>
      <w:r>
        <w:br w:type="page"/>
      </w:r>
    </w:p>
    <w:p>
      <w:pPr>
        <w:pStyle w:val="Heading1"/>
        <w:jc w:val="left"/>
      </w:pPr>
      <w:r>
        <w:rPr>
          <w:color w:val="1F3864"/>
        </w:rPr>
        <w:t>5. Finance (Score: 67/100 — Moderate)</w:t>
      </w:r>
    </w:p>
    <w:p>
      <w:r>
        <w:t>Janatics' financial profile is characterized by strong absolute scale and robust credit metrics, but flagged by EBITDA margin compression in FY2025 that warrants close monitoring.</w:t>
      </w:r>
    </w:p>
    <w:p>
      <w:r>
        <w:t>Revenue of ₹531 Crore in FY2025 positions the company solidly in the mid-large tier of domestic manufacturers, with employee productivity of approximately ₹80 lakh per employee — reasonable for a capital-intensive manufacturing operation. The capital structure is conservative: authorized capital of ₹30 Cr against paid-up capital of ₹26.5 Cr, with no external equity funding rounds identified.</w:t>
      </w:r>
    </w:p>
    <w:p>
      <w:r>
        <w:t>The ICRA credit rating with a Stable outlook and repeated reaffirmations over multiple years is the single most significant positive signal in this dimension — it validates balance sheet health, debt servicing capacity, and management quality from an independent third party.</w:t>
      </w:r>
    </w:p>
    <w:p>
      <w:r>
        <w:t>The primary concern is a reported 1-year EBITDA CAGR of -22%. While a single-year EBITDA decline can reflect input cost inflation, wage increases, or capital expenditure absorption, it represents a meaningful deviation from prior profitability levels. Full P&amp;L and balance sheet data (not publicly available for unlisted private companies) would be needed for a definitive financial assessment.</w:t>
      </w:r>
    </w:p>
    <w:p/>
    <w:tbl>
      <w:tblPr>
        <w:tblStyle w:val="TableGrid"/>
        <w:tblW w:type="auto" w:w="0"/>
        <w:tblLook w:firstColumn="1" w:firstRow="1" w:lastColumn="0" w:lastRow="0" w:noHBand="0" w:noVBand="1" w:val="04A0"/>
      </w:tblPr>
      <w:tblGrid>
        <w:gridCol w:w="2835"/>
        <w:gridCol w:w="1134"/>
        <w:gridCol w:w="5669"/>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Evidence</w:t>
            </w:r>
          </w:p>
        </w:tc>
      </w:tr>
      <w:tr>
        <w:tc>
          <w:tcPr>
            <w:tcW w:type="dxa" w:w="3135"/>
            <w:shd w:val="clear" w:color="auto" w:fill="D5E8D4"/>
          </w:tcPr>
          <w:p>
            <w:r>
              <w:t>FIN01: Revenue Scale</w:t>
            </w:r>
          </w:p>
        </w:tc>
        <w:tc>
          <w:tcPr>
            <w:tcW w:type="dxa" w:w="3135"/>
            <w:shd w:val="clear" w:color="auto" w:fill="D5E8D4"/>
          </w:tcPr>
          <w:p>
            <w:r>
              <w:t>80/100</w:t>
            </w:r>
          </w:p>
        </w:tc>
        <w:tc>
          <w:tcPr>
            <w:tcW w:type="dxa" w:w="3135"/>
            <w:shd w:val="clear" w:color="auto" w:fill="D5E8D4"/>
          </w:tcPr>
          <w:p>
            <w:r>
              <w:t>₹531 Cr FY2025 — strong for unlisted domestic manufacturer</w:t>
            </w:r>
          </w:p>
        </w:tc>
      </w:tr>
      <w:tr>
        <w:tc>
          <w:tcPr>
            <w:tcW w:type="dxa" w:w="3135"/>
            <w:shd w:val="clear" w:color="auto" w:fill="FFF2CC"/>
          </w:tcPr>
          <w:p>
            <w:r>
              <w:t>FIN02: Revenue Growth (4% YoY)</w:t>
            </w:r>
          </w:p>
        </w:tc>
        <w:tc>
          <w:tcPr>
            <w:tcW w:type="dxa" w:w="3135"/>
            <w:shd w:val="clear" w:color="auto" w:fill="FFF2CC"/>
          </w:tcPr>
          <w:p>
            <w:r>
              <w:t>55/100</w:t>
            </w:r>
          </w:p>
        </w:tc>
        <w:tc>
          <w:tcPr>
            <w:tcW w:type="dxa" w:w="3135"/>
            <w:shd w:val="clear" w:color="auto" w:fill="FFF2CC"/>
          </w:tcPr>
          <w:p>
            <w:r>
              <w:t>FY24→FY25 growth 4%; below industry but within inflation-adjusted range</w:t>
            </w:r>
          </w:p>
        </w:tc>
      </w:tr>
      <w:tr>
        <w:tc>
          <w:tcPr>
            <w:tcW w:type="dxa" w:w="3135"/>
            <w:shd w:val="clear" w:color="auto" w:fill="F8CECC"/>
          </w:tcPr>
          <w:p>
            <w:r>
              <w:t>FIN03: EBITDA Trajectory</w:t>
            </w:r>
          </w:p>
        </w:tc>
        <w:tc>
          <w:tcPr>
            <w:tcW w:type="dxa" w:w="3135"/>
            <w:shd w:val="clear" w:color="auto" w:fill="F8CECC"/>
          </w:tcPr>
          <w:p>
            <w:r>
              <w:t>42/100</w:t>
            </w:r>
          </w:p>
        </w:tc>
        <w:tc>
          <w:tcPr>
            <w:tcW w:type="dxa" w:w="3135"/>
            <w:shd w:val="clear" w:color="auto" w:fill="F8CECC"/>
          </w:tcPr>
          <w:p>
            <w:r>
              <w:t>EBITDA CAGR -22% (1-yr, Tracxn) — margin compression; requires full P&amp;L review</w:t>
            </w:r>
          </w:p>
        </w:tc>
      </w:tr>
      <w:tr>
        <w:tc>
          <w:tcPr>
            <w:tcW w:type="dxa" w:w="3135"/>
            <w:shd w:val="clear" w:color="auto" w:fill="D5E8D4"/>
          </w:tcPr>
          <w:p>
            <w:r>
              <w:t>FIN04: Credit Profile (ICRA)</w:t>
            </w:r>
          </w:p>
        </w:tc>
        <w:tc>
          <w:tcPr>
            <w:tcW w:type="dxa" w:w="3135"/>
            <w:shd w:val="clear" w:color="auto" w:fill="D5E8D4"/>
          </w:tcPr>
          <w:p>
            <w:r>
              <w:t>82/100</w:t>
            </w:r>
          </w:p>
        </w:tc>
        <w:tc>
          <w:tcPr>
            <w:tcW w:type="dxa" w:w="3135"/>
            <w:shd w:val="clear" w:color="auto" w:fill="D5E8D4"/>
          </w:tcPr>
          <w:p>
            <w:r>
              <w:t>ICRA-rated; stable; healthy debt protection metrics; multiple reaffirmations</w:t>
            </w:r>
          </w:p>
        </w:tc>
      </w:tr>
      <w:tr>
        <w:tc>
          <w:tcPr>
            <w:tcW w:type="dxa" w:w="3135"/>
            <w:shd w:val="clear" w:color="auto" w:fill="D5E8D4"/>
          </w:tcPr>
          <w:p>
            <w:r>
              <w:t>FIN05: Capital Structure</w:t>
            </w:r>
          </w:p>
        </w:tc>
        <w:tc>
          <w:tcPr>
            <w:tcW w:type="dxa" w:w="3135"/>
            <w:shd w:val="clear" w:color="auto" w:fill="D5E8D4"/>
          </w:tcPr>
          <w:p>
            <w:r>
              <w:t>75/100</w:t>
            </w:r>
          </w:p>
        </w:tc>
        <w:tc>
          <w:tcPr>
            <w:tcW w:type="dxa" w:w="3135"/>
            <w:shd w:val="clear" w:color="auto" w:fill="D5E8D4"/>
          </w:tcPr>
          <w:p>
            <w:r>
              <w:t>Auth. ₹30 Cr; paid-up ₹26.5 Cr; no external equity; self-funded growth</w:t>
            </w:r>
          </w:p>
        </w:tc>
      </w:tr>
      <w:tr>
        <w:tc>
          <w:tcPr>
            <w:tcW w:type="dxa" w:w="3135"/>
            <w:shd w:val="clear" w:color="auto" w:fill="FFF2CC"/>
          </w:tcPr>
          <w:p>
            <w:r>
              <w:t>FIN06: Employee Productivity</w:t>
            </w:r>
          </w:p>
        </w:tc>
        <w:tc>
          <w:tcPr>
            <w:tcW w:type="dxa" w:w="3135"/>
            <w:shd w:val="clear" w:color="auto" w:fill="FFF2CC"/>
          </w:tcPr>
          <w:p>
            <w:r>
              <w:t>70/100</w:t>
            </w:r>
          </w:p>
        </w:tc>
        <w:tc>
          <w:tcPr>
            <w:tcW w:type="dxa" w:w="3135"/>
            <w:shd w:val="clear" w:color="auto" w:fill="FFF2CC"/>
          </w:tcPr>
          <w:p>
            <w:r>
              <w:t>662 employees; ₹531 Cr revenue = ~₹80L per employee</w:t>
            </w:r>
          </w:p>
        </w:tc>
      </w:tr>
    </w:tbl>
    <w:p>
      <w:r>
        <w:br w:type="page"/>
      </w:r>
    </w:p>
    <w:p>
      <w:pPr>
        <w:pStyle w:val="Heading1"/>
        <w:jc w:val="left"/>
      </w:pPr>
      <w:r>
        <w:rPr>
          <w:color w:val="1F3864"/>
        </w:rPr>
        <w:t>6. Industry Context (Score: 75/100 — Strong)</w:t>
      </w:r>
    </w:p>
    <w:p>
      <w:r>
        <w:t>The Indian pneumatics and industrial automation market presents a favourable medium-term backdrop for Janatics. The India pneumatic equipment market stood at $1.06 billion in 2024 and is projected to reach $1.94 billion by 2033 (CAGR: 6.9%), driven by manufacturing automation adoption, infrastructure build-out, and the Make in India policy framework.</w:t>
      </w:r>
    </w:p>
    <w:p>
      <w:r>
        <w:t>Janatics is well-positioned relative to these tailwinds. Its manufacturing base in India aligns with the government's Production Linked Incentive (PLI) schemes for advanced manufacturing. The China+1 sourcing strategy adopted by global OEMs creates incremental export demand for quality Indian component manufacturers — a direct opportunity for Janatics given its existing presence in 42 countries.</w:t>
      </w:r>
    </w:p>
    <w:p>
      <w:r>
        <w:t>Competitive intensity is the key contextual risk. SMC Corporation (Japan), Festo (Germany), and Parker Hannifin (USA) dominate the premium pneumatics segment globally and are present in India. Janatics competes primarily on price-quality positioning in the mid-market, where it has a strong installed base. Defending this position as global players intensify localization will be the central competitive challenge in the next 3–5 years.</w:t>
      </w:r>
    </w:p>
    <w:p/>
    <w:tbl>
      <w:tblPr>
        <w:tblStyle w:val="TableGrid"/>
        <w:tblW w:type="auto" w:w="0"/>
        <w:tblLook w:firstColumn="1" w:firstRow="1" w:lastColumn="0" w:lastRow="0" w:noHBand="0" w:noVBand="1" w:val="04A0"/>
      </w:tblPr>
      <w:tblGrid>
        <w:gridCol w:w="2835"/>
        <w:gridCol w:w="1134"/>
        <w:gridCol w:w="5669"/>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Evidence</w:t>
            </w:r>
          </w:p>
        </w:tc>
      </w:tr>
      <w:tr>
        <w:tc>
          <w:tcPr>
            <w:tcW w:type="dxa" w:w="3135"/>
            <w:shd w:val="clear" w:color="auto" w:fill="FFF2CC"/>
          </w:tcPr>
          <w:p>
            <w:r>
              <w:t>IC01: India Pneumatics Market Size</w:t>
            </w:r>
          </w:p>
        </w:tc>
        <w:tc>
          <w:tcPr>
            <w:tcW w:type="dxa" w:w="3135"/>
            <w:shd w:val="clear" w:color="auto" w:fill="FFF2CC"/>
          </w:tcPr>
          <w:p>
            <w:r>
              <w:t>70/100</w:t>
            </w:r>
          </w:p>
        </w:tc>
        <w:tc>
          <w:tcPr>
            <w:tcW w:type="dxa" w:w="3135"/>
            <w:shd w:val="clear" w:color="auto" w:fill="FFF2CC"/>
          </w:tcPr>
          <w:p>
            <w:r>
              <w:t>$1.06B (2024); growing to $1.94B by 2033 — mid-size addressable market</w:t>
            </w:r>
          </w:p>
        </w:tc>
      </w:tr>
      <w:tr>
        <w:tc>
          <w:tcPr>
            <w:tcW w:type="dxa" w:w="3135"/>
            <w:shd w:val="clear" w:color="auto" w:fill="D5E8D4"/>
          </w:tcPr>
          <w:p>
            <w:r>
              <w:t>IC02: Industry Growth Rate</w:t>
            </w:r>
          </w:p>
        </w:tc>
        <w:tc>
          <w:tcPr>
            <w:tcW w:type="dxa" w:w="3135"/>
            <w:shd w:val="clear" w:color="auto" w:fill="D5E8D4"/>
          </w:tcPr>
          <w:p>
            <w:r>
              <w:t>78/100</w:t>
            </w:r>
          </w:p>
        </w:tc>
        <w:tc>
          <w:tcPr>
            <w:tcW w:type="dxa" w:w="3135"/>
            <w:shd w:val="clear" w:color="auto" w:fill="D5E8D4"/>
          </w:tcPr>
          <w:p>
            <w:r>
              <w:t>CAGR 6.9% (2025–2033) — healthy; aligned with industrial capex cycle</w:t>
            </w:r>
          </w:p>
        </w:tc>
      </w:tr>
      <w:tr>
        <w:tc>
          <w:tcPr>
            <w:tcW w:type="dxa" w:w="3135"/>
            <w:shd w:val="clear" w:color="auto" w:fill="FFF2CC"/>
          </w:tcPr>
          <w:p>
            <w:r>
              <w:t>IC03: Competitive Position</w:t>
            </w:r>
          </w:p>
        </w:tc>
        <w:tc>
          <w:tcPr>
            <w:tcW w:type="dxa" w:w="3135"/>
            <w:shd w:val="clear" w:color="auto" w:fill="FFF2CC"/>
          </w:tcPr>
          <w:p>
            <w:r>
              <w:t>70/100</w:t>
            </w:r>
          </w:p>
        </w:tc>
        <w:tc>
          <w:tcPr>
            <w:tcW w:type="dxa" w:w="3135"/>
            <w:shd w:val="clear" w:color="auto" w:fill="FFF2CC"/>
          </w:tcPr>
          <w:p>
            <w:r>
              <w:t>Domestic leader in mid-market; competes with SMC, Festo, Parker in premium</w:t>
            </w:r>
          </w:p>
        </w:tc>
      </w:tr>
      <w:tr>
        <w:tc>
          <w:tcPr>
            <w:tcW w:type="dxa" w:w="3135"/>
            <w:shd w:val="clear" w:color="auto" w:fill="D5E8D4"/>
          </w:tcPr>
          <w:p>
            <w:r>
              <w:t>IC04: Macro Tailwinds</w:t>
            </w:r>
          </w:p>
        </w:tc>
        <w:tc>
          <w:tcPr>
            <w:tcW w:type="dxa" w:w="3135"/>
            <w:shd w:val="clear" w:color="auto" w:fill="D5E8D4"/>
          </w:tcPr>
          <w:p>
            <w:r>
              <w:t>82/100</w:t>
            </w:r>
          </w:p>
        </w:tc>
        <w:tc>
          <w:tcPr>
            <w:tcW w:type="dxa" w:w="3135"/>
            <w:shd w:val="clear" w:color="auto" w:fill="D5E8D4"/>
          </w:tcPr>
          <w:p>
            <w:r>
              <w:t>Make in India, PLI schemes, China+1 sourcing, manufacturing automation</w:t>
            </w:r>
          </w:p>
        </w:tc>
      </w:tr>
      <w:tr>
        <w:tc>
          <w:tcPr>
            <w:tcW w:type="dxa" w:w="3135"/>
            <w:shd w:val="clear" w:color="auto" w:fill="D5E8D4"/>
          </w:tcPr>
          <w:p>
            <w:r>
              <w:t>IC05: End-Market Diversification</w:t>
            </w:r>
          </w:p>
        </w:tc>
        <w:tc>
          <w:tcPr>
            <w:tcW w:type="dxa" w:w="3135"/>
            <w:shd w:val="clear" w:color="auto" w:fill="D5E8D4"/>
          </w:tcPr>
          <w:p>
            <w:r>
              <w:t>76/100</w:t>
            </w:r>
          </w:p>
        </w:tc>
        <w:tc>
          <w:tcPr>
            <w:tcW w:type="dxa" w:w="3135"/>
            <w:shd w:val="clear" w:color="auto" w:fill="D5E8D4"/>
          </w:tcPr>
          <w:p>
            <w:r>
              <w:t>7 end-use industries: pharma, auto, packaging, food, medical, textile, printing</w:t>
            </w:r>
          </w:p>
        </w:tc>
      </w:tr>
    </w:tbl>
    <w:p>
      <w:r>
        <w:br w:type="page"/>
      </w:r>
    </w:p>
    <w:p>
      <w:pPr>
        <w:pStyle w:val="Heading1"/>
        <w:jc w:val="left"/>
      </w:pPr>
      <w:r>
        <w:rPr>
          <w:color w:val="1F3864"/>
        </w:rPr>
        <w:t>12. Section 12 — Evidence &amp; Source Citations</w:t>
      </w:r>
    </w:p>
    <w:p>
      <w:r>
        <w:t>All scores in this report are derived exclusively from publicly available information as of the report date. No management interviews, internal documents, or non-public financials were accessed.</w:t>
      </w:r>
    </w:p>
    <w:p>
      <w:pPr>
        <w:pStyle w:val="ListBullet"/>
      </w:pPr>
      <w:r>
        <w:rPr>
          <w:b/>
        </w:rPr>
        <w:t xml:space="preserve">MCA21 Public Records: </w:t>
      </w:r>
      <w:r>
        <w:t>CIN U31103TZ1991PTC003409 verified; incorporation date 28 Aug 1991; ROC Coimbatore; 3 active directors; AGM Sept 30 2024 confirmed. Source: Zaubacorp, Falcon eBiz, Company Vakil (MCA mirror portals).</w:t>
      </w:r>
    </w:p>
    <w:p>
      <w:pPr>
        <w:pStyle w:val="ListBullet"/>
      </w:pPr>
      <w:r>
        <w:rPr>
          <w:b/>
        </w:rPr>
        <w:t xml:space="preserve">ICRA Credit Rating: </w:t>
      </w:r>
      <w:r>
        <w:t>Multiple ICRA rating reaffirmations (2021, 2022, 2023, 2025). Stable outlook. Healthy debt protection metrics confirmed. FY2025 revenue ₹527.8 Cr confirmed. Source: icra.in rationale reports (IDs 105171, 120842, 130532, 139580).</w:t>
      </w:r>
    </w:p>
    <w:p>
      <w:pPr>
        <w:pStyle w:val="ListBullet"/>
      </w:pPr>
      <w:r>
        <w:rPr>
          <w:b/>
        </w:rPr>
        <w:t xml:space="preserve">Tracxn / Tofler: </w:t>
      </w:r>
      <w:r>
        <w:t>FY2025 revenue ₹531 Cr; 662 employees; EBITDA CAGR -22% (1-yr). Authorized capital ₹30 Cr; paid-up ₹26.5 Cr. Source: tracxn.com, tofler.in company profiles.</w:t>
      </w:r>
    </w:p>
    <w:p>
      <w:pPr>
        <w:pStyle w:val="ListBullet"/>
      </w:pPr>
      <w:r>
        <w:rPr>
          <w:b/>
        </w:rPr>
        <w:t xml:space="preserve">Company Websites: </w:t>
      </w:r>
      <w:r>
        <w:t>Product portfolio (3,500+ SKUs), manufacturing facilities (Coimbatore 70,000 sqm, Ahmedabad, Noida), export presence (42+ countries), subsidiaries (USA, Germany), customer base (17,000+), distribution network (200 partners), DSIR R&amp;D recognition. Source: janatics.com, janaticspneumatics.com.</w:t>
      </w:r>
    </w:p>
    <w:p>
      <w:pPr>
        <w:pStyle w:val="ListBullet"/>
      </w:pPr>
      <w:r>
        <w:rPr>
          <w:b/>
        </w:rPr>
        <w:t xml:space="preserve">Industry Research: </w:t>
      </w:r>
      <w:r>
        <w:t>India pneumatic equipment market: $1.06B (2024), CAGR 6.9% (2025–2033). Source: IMARC Group market reports, Fortune Business Insights, Grand View Research.</w:t>
      </w:r>
    </w:p>
    <w:p>
      <w:pPr>
        <w:pStyle w:val="ListBullet"/>
      </w:pPr>
      <w:r>
        <w:rPr>
          <w:b/>
        </w:rPr>
        <w:t xml:space="preserve">AIA India: </w:t>
      </w:r>
      <w:r>
        <w:t>Janatics India Pvt Ltd listed as member of Automation Industry Association India. Source: aia-india.org/member-directory.</w:t>
      </w:r>
    </w:p>
    <w:p/>
    <w:p>
      <w:pPr>
        <w:pStyle w:val="Heading2"/>
        <w:jc w:val="left"/>
      </w:pPr>
      <w:r>
        <w:rPr>
          <w:color w:val="1F3864"/>
        </w:rPr>
        <w:t>Disclaimer</w:t>
      </w:r>
    </w:p>
    <w:p>
      <w:r>
        <w:t>This report is prepared for informational and due diligence purposes only. Scores are based on publicly available data and analytical judgment. They do not constitute investment advice, credit assessment, or a representation of the company's current financial position. Full financial statements (P&amp;L, balance sheet, cash flow) should be obtained directly from the company for a complete financial assessment.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