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B0A4" w14:textId="77777777" w:rsidR="00A442F5" w:rsidRPr="00A442F5" w:rsidRDefault="00A442F5" w:rsidP="00A442F5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A442F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2018第七届中国创新创业大赛正式启动</w:t>
      </w:r>
    </w:p>
    <w:p w14:paraId="1278FE8E" w14:textId="38FAD30C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Microsoft YaHei UI" w:eastAsia="Microsoft YaHei UI" w:hAnsi="Microsoft YaHei UI"/>
          <w:color w:val="333333"/>
          <w:spacing w:val="8"/>
          <w:sz w:val="18"/>
          <w:szCs w:val="18"/>
        </w:rPr>
      </w:pPr>
      <w:r w:rsidRPr="00A442F5">
        <w:rPr>
          <w:rFonts w:ascii="Microsoft YaHei UI" w:eastAsia="Microsoft YaHei UI" w:hAnsi="Microsoft YaHei UI"/>
          <w:noProof/>
          <w:color w:val="333333"/>
          <w:spacing w:val="8"/>
          <w:sz w:val="18"/>
          <w:szCs w:val="18"/>
        </w:rPr>
        <w:drawing>
          <wp:inline distT="0" distB="0" distL="0" distR="0" wp14:anchorId="68225C4C" wp14:editId="7AAB6CE0">
            <wp:extent cx="5274310" cy="3515995"/>
            <wp:effectExtent l="0" t="0" r="2540" b="8255"/>
            <wp:docPr id="2" name="图片 2" descr="C:\Users\133yss\AppData\Local\Temp\WeChat Files\771d0aded0c2df75ce673c63e3ac8d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3yss\AppData\Local\Temp\WeChat Files\771d0aded0c2df75ce673c63e3ac8d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C34E" w14:textId="24314D8E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Microsoft YaHei UI" w:eastAsia="Microsoft YaHei UI" w:hAnsi="Microsoft YaHei UI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启动会现场</w:t>
      </w:r>
    </w:p>
    <w:p w14:paraId="135B69A5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34F09E68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科技创新，成就大业。2018第七届中国创新创业大赛启动会于4月20日在北京召开。来自全国各地方赛、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专业赛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组织单位的负责人、大赛合作单位代表、媒体记者等100多人参加了会议。科技部火炬中心主任张志宏出席会议并讲话。会议由火炬中心副主任盛延林主持。</w:t>
      </w:r>
    </w:p>
    <w:p w14:paraId="0DF9CFDB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43A7B064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科技部火炬中心主任张志宏在讲话中指出：“近年来，中国创新创业大赛积极探索创新工作方式方法，会同地方赛事活动，积极为创新创业者提供全方位服务，激发全社会创新创业热情，推动创新创业快速发展，为促进高质量发展、推动大众创业万众创新上水平提供了有力支撑，取得了积极成效。”</w:t>
      </w:r>
    </w:p>
    <w:p w14:paraId="1326D023" w14:textId="5B0B4E4C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Microsoft YaHei UI" w:eastAsia="Microsoft YaHei UI" w:hAnsi="Microsoft YaHei UI" w:hint="eastAsia"/>
          <w:color w:val="333333"/>
          <w:spacing w:val="8"/>
        </w:rPr>
      </w:pPr>
      <w:r w:rsidRPr="00A442F5">
        <w:rPr>
          <w:rFonts w:ascii="Microsoft YaHei UI" w:eastAsia="Microsoft YaHei UI" w:hAnsi="Microsoft YaHei UI"/>
          <w:noProof/>
          <w:color w:val="333333"/>
          <w:spacing w:val="8"/>
        </w:rPr>
        <w:lastRenderedPageBreak/>
        <w:drawing>
          <wp:inline distT="0" distB="0" distL="0" distR="0" wp14:anchorId="073725C6" wp14:editId="73698976">
            <wp:extent cx="5274310" cy="3515995"/>
            <wp:effectExtent l="0" t="0" r="2540" b="8255"/>
            <wp:docPr id="3" name="图片 3" descr="C:\Users\133yss\AppData\Local\Temp\WeChat Files\66c031d956102b4be562daca1c6203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3yss\AppData\Local\Temp\WeChat Files\66c031d956102b4be562daca1c62033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0B8017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科技部火炬中心主任张志宏</w:t>
      </w:r>
    </w:p>
    <w:p w14:paraId="7B3DE717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/>
          <w:noProof/>
          <w:color w:val="333333"/>
          <w:spacing w:val="8"/>
        </w:rPr>
        <mc:AlternateContent>
          <mc:Choice Requires="wps">
            <w:drawing>
              <wp:inline distT="0" distB="0" distL="0" distR="0" wp14:anchorId="52CD8DAA" wp14:editId="32C09105">
                <wp:extent cx="6667500" cy="4448175"/>
                <wp:effectExtent l="0" t="0" r="0" b="0"/>
                <wp:docPr id="1" name="AutoShape 1" descr="https://mmbiz.qpic.cn/mmbiz_jpg/lMNGicmQuQknSIVP4iaCibSQIarllET1KaliaU2Ut97TK58MXFUsYJGmhRG5LbUCNpzPtkPq20MJncdl6TPOTHgsmA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444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A1442" id="AutoShape 1" o:spid="_x0000_s1026" alt="https://mmbiz.qpic.cn/mmbiz_jpg/lMNGicmQuQknSIVP4iaCibSQIarllET1KaliaU2Ut97TK58MXFUsYJGmhRG5LbUCNpzPtkPq20MJncdl6TPOTHgsmA/640?wx_fmt=jpeg&amp;tp=webp&amp;wxfrom=5&amp;wx_lazy=1&amp;wx_co=1" style="width:525pt;height:3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C1TgMAAH8GAAAOAAAAZHJzL2Uyb0RvYy54bWysVU1z2zYQvXem/wHDQ28SSZWiRNW0x9GH&#10;48R25FrKtCcPBIIiYuLDAGTKzuS/dwFKiuxcOml54GAX4Nu3uw/Lk7Mtr9ET1YZJkQdxNwoQFUQW&#10;TKzzYLmYdYYBMhaLAtdS0Dx4piY4O/31l5NGjWhPVrIuqEYAIsyoUXlQWatGYWhIRTk2XamogM1S&#10;ao4tmHodFho3gM7rsBdFadhIXSgtCTUGvJN2Mzj1+GVJif1UloZaVOcBcLP+rf175d7h6QkerTVW&#10;FSM7GvgnWHDMBAQ9QE2wxWij2Q9QnBEtjSxtl0geyrJkhPocIJs4epPNXYUV9blAcYw6lMn8f7Dk&#10;5mmuESugdwESmEOLzjdW+sgIXAU1BMrl2mKgL5yv2Ev3UTHSJaK17r+odVhf31wwwm83tw/i7vLz&#10;PGF4zFZ3t5dY1/V0EX/ENcPL3tJmg8XH/vD6r9nS/P3hgld/XvSvVsvxjXqZ24f5Yy+6/iBIUaeL&#10;+afF+7Xh52GaRGfN9r7kNv+i6Po3zNUfVuUNXSm/bralljzv74z7Gr885/HeIjKPXZMboA+53qm5&#10;dm0y6kqSB4OEHFdYrOm5USCVtgh7l9ayqSguoNoeInyF4QwDaGjVXMsCyoahbF4CwIe7GNBctPVK&#10;ez4ojW4tIuBM03TQj0CQBPaSJBnGg76jGeLR/nOljb2gkiO3yAMN/Dw8froytj26P+KiCTljde3l&#10;XItXDsBsPRAcPnV7joZX59csyqbD6TDpJL102kmiyaRzPhsnnXQGjCa/T8bjSfzNxY2TUcWKggoX&#10;Zn9T4uTfKXF3Z1uNH+6KkTUrHJyjZPR6Na41esJwU2f+2RXk6Fj4moavF+TyJqW4l0Tvellnlg4H&#10;nWSW9DvZIBp2ojh7l6VRkiWT2euUrpig/z0l1ORB1u/1fZeOSL/JLfLPj7nhEWcWZmHNeB4MD4fw&#10;yGlwKgrfWotZ3a6PSuHofy8FtHvfaK9YJ9JW/ytZPINgtQQ5gfRgasOikvolQA1MwDwwjxusaYDq&#10;SwGiz+IkcSPTG0l/0ANDH++sjnewIACVBzZA7XJs2zG7UZqtK4gU+8II6eZLybyE3SVqWQF/Z8CU&#10;85nsJrIbo8e2P/X9v3H6DwAAAP//AwBQSwMEFAAGAAgAAAAhAFv+6OHcAAAABgEAAA8AAABkcnMv&#10;ZG93bnJldi54bWxMj0FLw0AQhe9C/8Myghexuwq1EjMppSAWEUpT7XmbHZNgdjbNbpP47916sZcH&#10;jze89026GG0jeup87RjhfqpAEBfO1FwifOxe7p5A+KDZ6MYxIfyQh0U2uUp1YtzAW+rzUIpYwj7R&#10;CFUIbSKlLyqy2k9dSxyzL9dZHaLtSmk6PcRy28gHpR6l1TXHhUq3tKqo+M5PFmEoNv1+9/4qN7f7&#10;tePj+rjKP98Qb67H5TOIQGP4P4YzfkSHLDId3ImNFw1CfCT86TlTMxX9AWGu1AxklspL/OwXAAD/&#10;/wMAUEsBAi0AFAAGAAgAAAAhALaDOJL+AAAA4QEAABMAAAAAAAAAAAAAAAAAAAAAAFtDb250ZW50&#10;X1R5cGVzXS54bWxQSwECLQAUAAYACAAAACEAOP0h/9YAAACUAQAACwAAAAAAAAAAAAAAAAAvAQAA&#10;X3JlbHMvLnJlbHNQSwECLQAUAAYACAAAACEA15WAtU4DAAB/BgAADgAAAAAAAAAAAAAAAAAuAgAA&#10;ZHJzL2Uyb0RvYy54bWxQSwECLQAUAAYACAAAACEAW/7o4dwAAAAGAQAADwAAAAAAAAAAAAAAAACo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14:paraId="10D75D69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科技部火炬中心副主任盛延林</w:t>
      </w:r>
    </w:p>
    <w:p w14:paraId="312748F5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4B26A13D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</w:rPr>
        <w:t>打造新时代双创升级版</w:t>
      </w:r>
    </w:p>
    <w:p w14:paraId="240490E1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5E36DAE8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“大众创业、万众创新”是我国加快落实创新驱动发展战略的重要举措。这一理念逐渐在国际上形成共识，联合国据此将每年的4月21日设立为“世界创意和创新日”。2018第七届大赛在第一个“世界创意和创新日”前夕启动，将进一步把蓬勃发展的大众创新创业推向深入。</w:t>
      </w:r>
    </w:p>
    <w:p w14:paraId="7978E7F2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2E671DCF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科技部关于举办2018年第七届大赛的通知已向社会发布，短时间内引起广泛关注，企业报名积极踊跃。大赛以“科技创新，成就大业”为主题，始终坚持“政府引导、公益支持、市场机制”的办赛理念，采用“赛马场上选骏马，市场对接配资源”的模式，聚合政府、市场等各类资源支持创新创业，进一步激发全社会创新创业热情，扶持中小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微企业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创新发展，积极打造大众创业、万众创新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的众扶平台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，促进大众创业、万众创新上水平。</w:t>
      </w:r>
    </w:p>
    <w:p w14:paraId="44EF6172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2E7A24B0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有意参赛的企业可登陆中国创新创业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大赛官网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www.cxcyds.com 统一注册报名。企业注册截止时间为6月10日，报名截止时间为6月15日。</w:t>
      </w:r>
    </w:p>
    <w:p w14:paraId="1EDE3859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4E2481F4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为提高参赛企业质量，突出科技型创业，第七届大赛要求入围全国总决赛的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成长组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企业必须获得全国科技型中小企业信息库入库登记编号。</w:t>
      </w:r>
    </w:p>
    <w:p w14:paraId="699A3C63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5D0B9E7F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lastRenderedPageBreak/>
        <w:t>会议对2018第七届大赛的组织工作进行了全面部署。第七届大赛赛事将继续采用逐级遴选的方式，通过地方赛、全国总决赛的竞技模式选拔优秀企业。</w:t>
      </w:r>
    </w:p>
    <w:p w14:paraId="21CC43A2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344B5AFE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大赛是全国各地科技管理部门促进大众创业万众创新的重要抓手。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地方赛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在服务当地企业发展壮大、营造良好创新创业氛围方面成效显著。随着西藏自治区举办独立地方赛，第七届大赛将首次实现对全国所有省、自治区、直辖市、计划单列市和新疆生产建设兵团的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地方赛全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覆盖。</w:t>
      </w:r>
    </w:p>
    <w:p w14:paraId="49EEA481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6329C7B8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全国总决赛是来自全国各地的优秀创新创业者竞技交流、比学赶帮的舞台。许多城市都将举办全国行业总决赛作为打造城市发展新名片、吸引优秀人才和企业的良好机会。为使参赛企业都能通过参赛有多方面的收获，第七届大赛选定由杭州、宁波、洛阳、广州、深圳和重庆分别举办互联网、新材料、先进制造、生物医药、电子信息、新能源及节能环保6个行业总决赛。</w:t>
      </w:r>
    </w:p>
    <w:p w14:paraId="54DFDC66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2B1706E1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大赛汇聚了多项政策重点支持大赛的优秀企业，包括：推荐给众多国家级投资基金；合作银行给予贷款授信支持；推荐参加“创新人才推进计划”等相关计划的评选；推荐参加国家级展览交流活动等。</w:t>
      </w:r>
    </w:p>
    <w:p w14:paraId="2D6FA6B4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2F5B0D60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为了让参赛企业在大赛平台上获得多元化服务，全国总决赛期间还将组织一系列创业服务活动，包含培训辅导、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融资路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演、展览展示、大小企业对接等。</w:t>
      </w:r>
    </w:p>
    <w:p w14:paraId="531CE860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170B962D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lastRenderedPageBreak/>
        <w:t>为给企业和团队提供更深入、更专业的服务，第七届大赛将继续举办专业赛事，促进创新方法能力提升、港澳台创业交流、军民融合深度发展、大中小企业融通创新，以及新能源汽车、第三代半导体等专业领域创新创业。</w:t>
      </w:r>
    </w:p>
    <w:p w14:paraId="328CF405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647A3C14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</w:rPr>
        <w:t>大赛培植壮大新动能</w:t>
      </w:r>
    </w:p>
    <w:p w14:paraId="405FCA6B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35E54E14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前六届中国创新创业大赛累积参赛企业和团队达12万余家，培育出了一大批“明星企业”，既见证了贝达药业、仁和科技、星云电子、正海生物等参赛企业在创业板上市，也推出了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旷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视科技、九天微星、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云洲智能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无人船、林东新能源等新生代创业力量，为我国经济社会发展带来崭新动力。</w:t>
      </w:r>
    </w:p>
    <w:p w14:paraId="38F11BA0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14BD921C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2017年举办的第六届大赛，共收到28147家企业报名参赛、同场竞技，使大赛成为国内最大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的众创空间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。大赛还不断聚集创新创业资源，不断拓展创新创业服务，成为国内最强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</w:rPr>
        <w:t>的众扶平台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</w:rPr>
        <w:t>。</w:t>
      </w:r>
    </w:p>
    <w:p w14:paraId="479AEC80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1D6FCA69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据权威发布，自2016年起，中央财政共通过“以奖代补”的形式支持大赛选出的优秀企业935家，总额达到3亿元。</w:t>
      </w:r>
    </w:p>
    <w:p w14:paraId="64B4E4CD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0ABA7154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为将行业龙头骨干企业的优质资源引入大众创新创业，促进大中小企业融通发展，大赛在行业赛期间举办的“大企业对接会”活动，共发布200多个需求，组织近50家行业龙头骨干企业与550多家参赛企业进行对接。至少达</w:t>
      </w:r>
      <w:r>
        <w:rPr>
          <w:rFonts w:ascii="Microsoft YaHei UI" w:eastAsia="Microsoft YaHei UI" w:hAnsi="Microsoft YaHei UI" w:hint="eastAsia"/>
          <w:color w:val="333333"/>
          <w:spacing w:val="8"/>
        </w:rPr>
        <w:lastRenderedPageBreak/>
        <w:t>成研发合作26项，产品供应10项，投资并购2项，还有大量对接项目在进一步的商谈和落实当中。</w:t>
      </w:r>
    </w:p>
    <w:p w14:paraId="2D9A69BA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17D6BF9E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据调查，参与2017年第六届大赛的创投评委实际投资307家参赛企业，总金额达到83亿元。</w:t>
      </w:r>
    </w:p>
    <w:p w14:paraId="2481C8F9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2207B141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据大赛的合作伙伴招商银行透露，招商银行对第六届大赛的132家参赛企业提供了贷款授信，总额超过23亿元。六年来，招商银行共为超过11000家参赛企业提供金融服务，对超过1500家企业授信，总额超过223亿元。</w:t>
      </w:r>
    </w:p>
    <w:p w14:paraId="1C27D851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</w:p>
    <w:p w14:paraId="3FA25CC3" w14:textId="77777777" w:rsidR="00A442F5" w:rsidRDefault="00A442F5" w:rsidP="00A442F5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来源 | 中国创新创业大赛</w:t>
      </w:r>
    </w:p>
    <w:p w14:paraId="33CC333D" w14:textId="77777777" w:rsidR="00677463" w:rsidRPr="00A442F5" w:rsidRDefault="00677463"/>
    <w:sectPr w:rsidR="00677463" w:rsidRPr="00A44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03"/>
    <w:rsid w:val="00041C80"/>
    <w:rsid w:val="00495A9E"/>
    <w:rsid w:val="00677463"/>
    <w:rsid w:val="00690110"/>
    <w:rsid w:val="00A442F5"/>
    <w:rsid w:val="00B97525"/>
    <w:rsid w:val="00D6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33A0"/>
  <w15:chartTrackingRefBased/>
  <w15:docId w15:val="{AD123D93-99DB-436A-BC53-058A202C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4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2018-12-27T14:08:00Z</dcterms:created>
  <dcterms:modified xsi:type="dcterms:W3CDTF">2018-12-27T14:09:00Z</dcterms:modified>
</cp:coreProperties>
</file>