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B1ACE0" w14:textId="77777777" w:rsidR="00EE6E7F" w:rsidRPr="006A5C9C" w:rsidRDefault="005C24FE" w:rsidP="00D55DC1">
      <w:pPr>
        <w:pStyle w:val="VTexteinzeilig"/>
        <w:spacing w:line="360" w:lineRule="auto"/>
        <w:rPr>
          <w:rFonts w:ascii="Arial" w:hAnsi="Arial" w:cs="Arial"/>
          <w:lang w:val="de-DE"/>
        </w:rPr>
      </w:pPr>
      <w:r w:rsidRPr="006A5C9C">
        <w:rPr>
          <w:rFonts w:ascii="Arial" w:hAnsi="Arial" w:cs="Arial"/>
          <w:lang w:val="de-DE"/>
        </w:rPr>
        <w:drawing>
          <wp:anchor distT="0" distB="0" distL="114300" distR="114300" simplePos="0" relativeHeight="251657215" behindDoc="0" locked="0" layoutInCell="1" allowOverlap="1" wp14:anchorId="601F8EC2" wp14:editId="59AE0C70">
            <wp:simplePos x="0" y="0"/>
            <wp:positionH relativeFrom="margin">
              <wp:align>right</wp:align>
            </wp:positionH>
            <wp:positionV relativeFrom="paragraph">
              <wp:posOffset>-2540</wp:posOffset>
            </wp:positionV>
            <wp:extent cx="2072640" cy="577804"/>
            <wp:effectExtent l="0" t="0" r="3810" b="0"/>
            <wp:wrapNone/>
            <wp:docPr id="5" name="Grafik 5" descr="P:\InfosIntern\Vorlagen\Logos\WBH-Logo-final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nfosIntern\Vorlagen\Logos\WBH-Logo-final_RGB.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a:stretch/>
                  </pic:blipFill>
                  <pic:spPr bwMode="auto">
                    <a:xfrm>
                      <a:off x="0" y="0"/>
                      <a:ext cx="2072640" cy="57780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E6E7F" w:rsidRPr="006A5C9C">
        <w:rPr>
          <w:rFonts w:ascii="Arial" w:hAnsi="Arial" w:cs="Arial"/>
          <w:lang w:val="de-DE"/>
        </w:rPr>
        <w:t>Wilhelm Büchner Hochschule</w:t>
      </w:r>
    </w:p>
    <w:p w14:paraId="1A41FE25" w14:textId="77777777" w:rsidR="00EE6E7F" w:rsidRPr="006A5C9C" w:rsidRDefault="00EE6E7F" w:rsidP="00D55DC1">
      <w:pPr>
        <w:pStyle w:val="VTexteinzeilig"/>
        <w:spacing w:line="360" w:lineRule="auto"/>
        <w:rPr>
          <w:rFonts w:ascii="Arial" w:hAnsi="Arial" w:cs="Arial"/>
          <w:lang w:val="de-DE"/>
        </w:rPr>
      </w:pPr>
      <w:r w:rsidRPr="006A5C9C">
        <w:rPr>
          <w:rFonts w:ascii="Arial" w:hAnsi="Arial" w:cs="Arial"/>
          <w:lang w:val="de-DE"/>
        </w:rPr>
        <w:t>University of Applied Sciences</w:t>
      </w:r>
    </w:p>
    <w:p w14:paraId="70BF9327" w14:textId="77777777" w:rsidR="00EE6E7F" w:rsidRPr="006A5C9C" w:rsidRDefault="00CE0EA4" w:rsidP="00D55DC1">
      <w:pPr>
        <w:pStyle w:val="VTexteinzeilig"/>
        <w:spacing w:line="360" w:lineRule="auto"/>
        <w:rPr>
          <w:rFonts w:ascii="Arial" w:hAnsi="Arial" w:cs="Arial"/>
          <w:lang w:val="de-DE"/>
        </w:rPr>
      </w:pPr>
      <w:r w:rsidRPr="006A5C9C">
        <w:rPr>
          <w:rFonts w:ascii="Arial" w:hAnsi="Arial" w:cs="Arial"/>
          <w:lang w:val="de-DE"/>
        </w:rPr>
        <w:t>Hilpertstraße 31</w:t>
      </w:r>
    </w:p>
    <w:p w14:paraId="007D247A" w14:textId="77777777" w:rsidR="00FE77A2" w:rsidRPr="006A5C9C" w:rsidRDefault="00CE0EA4" w:rsidP="00D55DC1">
      <w:pPr>
        <w:pStyle w:val="VTexteinzeilig"/>
        <w:spacing w:line="360" w:lineRule="auto"/>
        <w:rPr>
          <w:rFonts w:ascii="Arial" w:hAnsi="Arial" w:cs="Arial"/>
          <w:lang w:val="de-DE"/>
        </w:rPr>
      </w:pPr>
      <w:r w:rsidRPr="006A5C9C">
        <w:rPr>
          <w:rFonts w:ascii="Arial" w:hAnsi="Arial" w:cs="Arial"/>
          <w:lang w:val="de-DE"/>
        </w:rPr>
        <w:t>64295 Darmsta</w:t>
      </w:r>
      <w:r w:rsidR="00EE6E7F" w:rsidRPr="006A5C9C">
        <w:rPr>
          <w:rFonts w:ascii="Arial" w:hAnsi="Arial" w:cs="Arial"/>
          <w:lang w:val="de-DE"/>
        </w:rPr>
        <w:t>dt</w:t>
      </w:r>
    </w:p>
    <w:p w14:paraId="038CADFE" w14:textId="77777777" w:rsidR="00D0437C" w:rsidRPr="006A5C9C" w:rsidRDefault="00D0437C" w:rsidP="00D0437C">
      <w:pPr>
        <w:pStyle w:val="VTitelArbeit12pt"/>
        <w:rPr>
          <w:rFonts w:cs="Arial"/>
        </w:rPr>
      </w:pPr>
    </w:p>
    <w:p w14:paraId="46FBA40E" w14:textId="7B0E8F43" w:rsidR="00D0437C" w:rsidRPr="006A5C9C" w:rsidRDefault="00D0437C" w:rsidP="00D0437C">
      <w:pPr>
        <w:pStyle w:val="VTitelArbeit12pt"/>
        <w:rPr>
          <w:rFonts w:cs="Arial"/>
        </w:rPr>
      </w:pPr>
    </w:p>
    <w:p w14:paraId="789AE94F" w14:textId="77777777" w:rsidR="0019117B" w:rsidRPr="006A5C9C" w:rsidRDefault="0019117B" w:rsidP="00D0437C">
      <w:pPr>
        <w:pStyle w:val="VTitelArbeit12pt"/>
        <w:rPr>
          <w:rFonts w:cs="Arial"/>
        </w:rPr>
      </w:pPr>
    </w:p>
    <w:p w14:paraId="249E0B01" w14:textId="77777777" w:rsidR="00ED0C20" w:rsidRPr="006A5C9C" w:rsidRDefault="00ED0C20" w:rsidP="00D0437C">
      <w:pPr>
        <w:pStyle w:val="VTitelArbeit12pt"/>
        <w:rPr>
          <w:rFonts w:cs="Arial"/>
        </w:rPr>
      </w:pPr>
      <w:r w:rsidRPr="006A5C9C">
        <w:rPr>
          <w:rFonts w:cs="Arial"/>
        </w:rPr>
        <w:t xml:space="preserve">Fachbereich Wirtschaftsingenieurwesen und </w:t>
      </w:r>
    </w:p>
    <w:p w14:paraId="5E18D9D0" w14:textId="77777777" w:rsidR="00FE77A2" w:rsidRPr="006A5C9C" w:rsidRDefault="00ED0C20" w:rsidP="00D0437C">
      <w:pPr>
        <w:pStyle w:val="VTitelArbeit12pt"/>
        <w:rPr>
          <w:rFonts w:cs="Arial"/>
        </w:rPr>
      </w:pPr>
      <w:r w:rsidRPr="006A5C9C">
        <w:rPr>
          <w:rFonts w:cs="Arial"/>
        </w:rPr>
        <w:t>Technologiemanagement</w:t>
      </w:r>
    </w:p>
    <w:p w14:paraId="7A68E018" w14:textId="77777777" w:rsidR="00FE77A2" w:rsidRPr="006A5C9C" w:rsidRDefault="00FE77A2" w:rsidP="00D55DC1">
      <w:pPr>
        <w:pStyle w:val="VTitelArbeit12pt"/>
        <w:rPr>
          <w:rFonts w:cs="Arial"/>
        </w:rPr>
      </w:pPr>
    </w:p>
    <w:p w14:paraId="0E268297" w14:textId="77777777" w:rsidR="00FE77A2" w:rsidRPr="006A5C9C" w:rsidRDefault="00FE77A2" w:rsidP="00D55DC1">
      <w:pPr>
        <w:pStyle w:val="VTitelArbeit12pt"/>
        <w:rPr>
          <w:rFonts w:cs="Arial"/>
        </w:rPr>
      </w:pPr>
    </w:p>
    <w:p w14:paraId="766C86C3" w14:textId="0BF9EE56" w:rsidR="005B6AA8" w:rsidRPr="006A5C9C" w:rsidRDefault="00CA7D68" w:rsidP="00D55DC1">
      <w:pPr>
        <w:pStyle w:val="VTitel16pt"/>
        <w:rPr>
          <w:rFonts w:cs="Arial"/>
          <w:sz w:val="44"/>
          <w:szCs w:val="24"/>
        </w:rPr>
      </w:pPr>
      <w:r w:rsidRPr="006A5C9C">
        <w:rPr>
          <w:rFonts w:cs="Arial"/>
          <w:sz w:val="44"/>
          <w:szCs w:val="24"/>
        </w:rPr>
        <w:t>Payments in Europe</w:t>
      </w:r>
      <w:r w:rsidR="00D0437C" w:rsidRPr="006A5C9C">
        <w:rPr>
          <w:rFonts w:cs="Arial"/>
          <w:sz w:val="44"/>
          <w:szCs w:val="24"/>
        </w:rPr>
        <w:t>: a review</w:t>
      </w:r>
    </w:p>
    <w:p w14:paraId="4EC847BB" w14:textId="2260C1D5" w:rsidR="006B573A" w:rsidRPr="006A5C9C" w:rsidRDefault="00C74B36" w:rsidP="00D55DC1">
      <w:pPr>
        <w:pStyle w:val="VTitelArbeit12pt"/>
        <w:rPr>
          <w:rFonts w:cs="Arial"/>
        </w:rPr>
      </w:pPr>
      <w:r w:rsidRPr="006A5C9C">
        <w:rPr>
          <w:rFonts w:cs="Arial"/>
        </w:rPr>
        <w:t>H-</w:t>
      </w:r>
      <w:r w:rsidR="00CA7D68" w:rsidRPr="006A5C9C">
        <w:rPr>
          <w:rFonts w:cs="Arial"/>
        </w:rPr>
        <w:t>NVMV</w:t>
      </w:r>
      <w:r w:rsidR="00D0437C" w:rsidRPr="006A5C9C">
        <w:rPr>
          <w:rFonts w:cs="Arial"/>
        </w:rPr>
        <w:t>01</w:t>
      </w:r>
    </w:p>
    <w:p w14:paraId="17B164BF" w14:textId="494454C6" w:rsidR="00D0437C" w:rsidRPr="006A5C9C" w:rsidRDefault="00D0437C" w:rsidP="00D0437C">
      <w:pPr>
        <w:pStyle w:val="VTitelArbeit12pt"/>
        <w:rPr>
          <w:rFonts w:cs="Arial"/>
        </w:rPr>
      </w:pPr>
    </w:p>
    <w:p w14:paraId="5D7517A1" w14:textId="77777777" w:rsidR="00D0437C" w:rsidRPr="006A5C9C" w:rsidRDefault="00D0437C" w:rsidP="00D0437C">
      <w:pPr>
        <w:pStyle w:val="VTitelArbeit12pt"/>
        <w:rPr>
          <w:rFonts w:cs="Arial"/>
        </w:rPr>
      </w:pPr>
    </w:p>
    <w:p w14:paraId="0B72AC30" w14:textId="77777777" w:rsidR="00D0437C" w:rsidRPr="006A5C9C" w:rsidRDefault="00D0437C" w:rsidP="00D0437C">
      <w:pPr>
        <w:pStyle w:val="VTitelArbeit12pt"/>
        <w:rPr>
          <w:rFonts w:cs="Arial"/>
        </w:rPr>
      </w:pPr>
    </w:p>
    <w:p w14:paraId="71C18917" w14:textId="2D33CBD2" w:rsidR="00EE6E7F" w:rsidRPr="006A5C9C" w:rsidRDefault="00EE6E7F" w:rsidP="00994BEB">
      <w:pPr>
        <w:spacing w:before="0" w:line="360" w:lineRule="auto"/>
        <w:jc w:val="left"/>
        <w:rPr>
          <w:rFonts w:ascii="Arial" w:hAnsi="Arial" w:cs="Arial"/>
          <w:sz w:val="22"/>
          <w:szCs w:val="22"/>
        </w:rPr>
      </w:pPr>
      <w:r w:rsidRPr="006A5C9C">
        <w:rPr>
          <w:rFonts w:ascii="Arial" w:hAnsi="Arial" w:cs="Arial"/>
          <w:sz w:val="22"/>
          <w:szCs w:val="22"/>
        </w:rPr>
        <w:t>Name:</w:t>
      </w:r>
      <w:r w:rsidR="00994BEB" w:rsidRPr="006A5C9C">
        <w:rPr>
          <w:rFonts w:ascii="Arial" w:hAnsi="Arial" w:cs="Arial"/>
          <w:sz w:val="22"/>
          <w:szCs w:val="22"/>
        </w:rPr>
        <w:tab/>
      </w:r>
      <w:r w:rsidR="00994BEB" w:rsidRPr="006A5C9C">
        <w:rPr>
          <w:rFonts w:ascii="Arial" w:hAnsi="Arial" w:cs="Arial"/>
          <w:sz w:val="22"/>
          <w:szCs w:val="22"/>
        </w:rPr>
        <w:tab/>
      </w:r>
      <w:r w:rsidR="00994BEB" w:rsidRPr="006A5C9C">
        <w:rPr>
          <w:rFonts w:ascii="Arial" w:hAnsi="Arial" w:cs="Arial"/>
          <w:sz w:val="22"/>
          <w:szCs w:val="22"/>
        </w:rPr>
        <w:tab/>
        <w:t>Lucas Konstantin Bärenfänger</w:t>
      </w:r>
      <w:r w:rsidR="00994BEB" w:rsidRPr="006A5C9C">
        <w:rPr>
          <w:rFonts w:ascii="Arial" w:hAnsi="Arial" w:cs="Arial"/>
          <w:sz w:val="22"/>
          <w:szCs w:val="22"/>
        </w:rPr>
        <w:br/>
      </w:r>
      <w:r w:rsidR="00994BEB" w:rsidRPr="006A5C9C">
        <w:rPr>
          <w:rFonts w:ascii="Arial" w:hAnsi="Arial" w:cs="Arial"/>
          <w:sz w:val="22"/>
          <w:szCs w:val="22"/>
        </w:rPr>
        <w:tab/>
      </w:r>
      <w:r w:rsidR="00994BEB" w:rsidRPr="006A5C9C">
        <w:rPr>
          <w:rFonts w:ascii="Arial" w:hAnsi="Arial" w:cs="Arial"/>
          <w:sz w:val="22"/>
          <w:szCs w:val="22"/>
        </w:rPr>
        <w:tab/>
      </w:r>
      <w:r w:rsidR="00994BEB" w:rsidRPr="006A5C9C">
        <w:rPr>
          <w:rFonts w:ascii="Arial" w:hAnsi="Arial" w:cs="Arial"/>
          <w:sz w:val="22"/>
          <w:szCs w:val="22"/>
        </w:rPr>
        <w:tab/>
      </w:r>
      <w:hyperlink r:id="rId9" w:history="1">
        <w:r w:rsidR="00994BEB" w:rsidRPr="006A5C9C">
          <w:rPr>
            <w:rStyle w:val="Hyperlink"/>
            <w:rFonts w:cs="Arial"/>
            <w:color w:val="0366D6"/>
            <w:szCs w:val="22"/>
          </w:rPr>
          <w:t>blockrookie.com</w:t>
        </w:r>
      </w:hyperlink>
    </w:p>
    <w:p w14:paraId="28B52667" w14:textId="2C47C697" w:rsidR="00EE6E7F" w:rsidRPr="006A5C9C" w:rsidRDefault="00EE6E7F" w:rsidP="00994BEB">
      <w:pPr>
        <w:pStyle w:val="VText"/>
        <w:jc w:val="left"/>
        <w:rPr>
          <w:rFonts w:cs="Arial"/>
          <w:szCs w:val="22"/>
        </w:rPr>
      </w:pPr>
      <w:r w:rsidRPr="006A5C9C">
        <w:rPr>
          <w:rFonts w:cs="Arial"/>
          <w:szCs w:val="22"/>
        </w:rPr>
        <w:t>Anschrift:</w:t>
      </w:r>
      <w:r w:rsidR="00994BEB" w:rsidRPr="006A5C9C">
        <w:rPr>
          <w:rFonts w:cs="Arial"/>
          <w:szCs w:val="22"/>
        </w:rPr>
        <w:tab/>
      </w:r>
      <w:r w:rsidR="00994BEB" w:rsidRPr="006A5C9C">
        <w:rPr>
          <w:rFonts w:cs="Arial"/>
          <w:szCs w:val="22"/>
        </w:rPr>
        <w:tab/>
        <w:t>Am Trauben 54</w:t>
      </w:r>
      <w:r w:rsidR="00994BEB" w:rsidRPr="006A5C9C">
        <w:rPr>
          <w:rFonts w:cs="Arial"/>
          <w:szCs w:val="22"/>
        </w:rPr>
        <w:br/>
      </w:r>
      <w:r w:rsidR="00994BEB" w:rsidRPr="006A5C9C">
        <w:rPr>
          <w:rFonts w:cs="Arial"/>
          <w:szCs w:val="22"/>
        </w:rPr>
        <w:tab/>
      </w:r>
      <w:r w:rsidR="00994BEB" w:rsidRPr="006A5C9C">
        <w:rPr>
          <w:rFonts w:cs="Arial"/>
          <w:szCs w:val="22"/>
        </w:rPr>
        <w:tab/>
      </w:r>
      <w:r w:rsidR="00994BEB" w:rsidRPr="006A5C9C">
        <w:rPr>
          <w:rFonts w:cs="Arial"/>
          <w:szCs w:val="22"/>
        </w:rPr>
        <w:tab/>
        <w:t>63303 Dreieich</w:t>
      </w:r>
    </w:p>
    <w:p w14:paraId="488EF863" w14:textId="39DAD771" w:rsidR="00EE6E7F" w:rsidRPr="006A5C9C" w:rsidRDefault="00EE6E7F" w:rsidP="00994BEB">
      <w:pPr>
        <w:pStyle w:val="VText"/>
        <w:jc w:val="left"/>
        <w:rPr>
          <w:rFonts w:cs="Arial"/>
          <w:szCs w:val="22"/>
        </w:rPr>
      </w:pPr>
      <w:r w:rsidRPr="006A5C9C">
        <w:rPr>
          <w:rFonts w:cs="Arial"/>
          <w:szCs w:val="22"/>
        </w:rPr>
        <w:t>Matrikelnummer:</w:t>
      </w:r>
      <w:r w:rsidR="00994BEB" w:rsidRPr="006A5C9C">
        <w:rPr>
          <w:rFonts w:cs="Arial"/>
          <w:szCs w:val="22"/>
        </w:rPr>
        <w:tab/>
        <w:t>903656</w:t>
      </w:r>
    </w:p>
    <w:p w14:paraId="2FDBC5EF" w14:textId="6ABF8628" w:rsidR="00EE6E7F" w:rsidRPr="006A5C9C" w:rsidRDefault="00EE6E7F" w:rsidP="00994BEB">
      <w:pPr>
        <w:pStyle w:val="VText"/>
        <w:jc w:val="left"/>
        <w:rPr>
          <w:rFonts w:cs="Arial"/>
          <w:szCs w:val="22"/>
        </w:rPr>
      </w:pPr>
      <w:r w:rsidRPr="006A5C9C">
        <w:rPr>
          <w:rFonts w:cs="Arial"/>
          <w:szCs w:val="22"/>
        </w:rPr>
        <w:t xml:space="preserve">Studiengang: </w:t>
      </w:r>
      <w:r w:rsidR="00994BEB" w:rsidRPr="006A5C9C">
        <w:rPr>
          <w:rFonts w:cs="Arial"/>
          <w:szCs w:val="22"/>
        </w:rPr>
        <w:tab/>
      </w:r>
      <w:r w:rsidR="00994BEB" w:rsidRPr="006A5C9C">
        <w:rPr>
          <w:rFonts w:cs="Arial"/>
          <w:szCs w:val="22"/>
        </w:rPr>
        <w:tab/>
      </w:r>
      <w:r w:rsidR="000E271B" w:rsidRPr="006A5C9C">
        <w:rPr>
          <w:rFonts w:cs="Arial"/>
          <w:szCs w:val="22"/>
        </w:rPr>
        <w:t>M.Sc.</w:t>
      </w:r>
      <w:r w:rsidR="00EC6377" w:rsidRPr="006A5C9C">
        <w:rPr>
          <w:rFonts w:cs="Arial"/>
          <w:szCs w:val="22"/>
        </w:rPr>
        <w:t xml:space="preserve"> </w:t>
      </w:r>
      <w:r w:rsidRPr="006A5C9C">
        <w:rPr>
          <w:rFonts w:cs="Arial"/>
          <w:szCs w:val="22"/>
        </w:rPr>
        <w:t>Technologie- und Innovationsmanagement</w:t>
      </w:r>
    </w:p>
    <w:p w14:paraId="1D451EBE" w14:textId="14805542" w:rsidR="00EE6E7F" w:rsidRPr="006A5C9C" w:rsidRDefault="00EE6E7F" w:rsidP="00994BEB">
      <w:pPr>
        <w:pStyle w:val="VText"/>
        <w:jc w:val="left"/>
        <w:rPr>
          <w:rFonts w:cs="Arial"/>
          <w:szCs w:val="22"/>
        </w:rPr>
      </w:pPr>
      <w:r w:rsidRPr="006A5C9C">
        <w:rPr>
          <w:rFonts w:cs="Arial"/>
          <w:szCs w:val="22"/>
        </w:rPr>
        <w:t>Betreu</w:t>
      </w:r>
      <w:r w:rsidR="001926A0" w:rsidRPr="006A5C9C">
        <w:rPr>
          <w:rFonts w:cs="Arial"/>
          <w:szCs w:val="22"/>
        </w:rPr>
        <w:t>er</w:t>
      </w:r>
      <w:r w:rsidRPr="006A5C9C">
        <w:rPr>
          <w:rFonts w:cs="Arial"/>
          <w:szCs w:val="22"/>
        </w:rPr>
        <w:t>:</w:t>
      </w:r>
      <w:r w:rsidR="00994BEB" w:rsidRPr="006A5C9C">
        <w:rPr>
          <w:rFonts w:cs="Arial"/>
          <w:szCs w:val="22"/>
        </w:rPr>
        <w:tab/>
      </w:r>
      <w:r w:rsidR="00994BEB" w:rsidRPr="006A5C9C">
        <w:rPr>
          <w:rFonts w:cs="Arial"/>
          <w:szCs w:val="22"/>
        </w:rPr>
        <w:tab/>
        <w:t>Michael Best</w:t>
      </w:r>
    </w:p>
    <w:p w14:paraId="5A286960" w14:textId="47F7080F" w:rsidR="00EC2913" w:rsidRPr="006A5C9C" w:rsidRDefault="00EE6E7F" w:rsidP="00994BEB">
      <w:pPr>
        <w:pStyle w:val="VText"/>
        <w:jc w:val="left"/>
        <w:rPr>
          <w:rFonts w:cs="Arial"/>
          <w:szCs w:val="22"/>
        </w:rPr>
      </w:pPr>
      <w:r w:rsidRPr="006A5C9C">
        <w:rPr>
          <w:rFonts w:cs="Arial"/>
          <w:szCs w:val="22"/>
        </w:rPr>
        <w:t>Abgabe:</w:t>
      </w:r>
      <w:r w:rsidR="00994BEB" w:rsidRPr="006A5C9C">
        <w:rPr>
          <w:rFonts w:cs="Arial"/>
          <w:szCs w:val="22"/>
        </w:rPr>
        <w:tab/>
      </w:r>
      <w:r w:rsidR="001926A0" w:rsidRPr="006A5C9C">
        <w:rPr>
          <w:rFonts w:cs="Arial"/>
          <w:szCs w:val="22"/>
        </w:rPr>
        <w:tab/>
      </w:r>
      <w:r w:rsidR="006A5C9C" w:rsidRPr="006A5C9C">
        <w:rPr>
          <w:rFonts w:cs="Arial"/>
          <w:szCs w:val="22"/>
        </w:rPr>
        <w:t>19</w:t>
      </w:r>
      <w:r w:rsidR="00B60AB0" w:rsidRPr="006A5C9C">
        <w:rPr>
          <w:rFonts w:cs="Arial"/>
          <w:szCs w:val="22"/>
        </w:rPr>
        <w:t>.</w:t>
      </w:r>
      <w:r w:rsidR="00CA7D68" w:rsidRPr="006A5C9C">
        <w:rPr>
          <w:rFonts w:cs="Arial"/>
          <w:szCs w:val="22"/>
        </w:rPr>
        <w:t>10</w:t>
      </w:r>
      <w:r w:rsidR="00B60AB0" w:rsidRPr="006A5C9C">
        <w:rPr>
          <w:rFonts w:cs="Arial"/>
          <w:szCs w:val="22"/>
        </w:rPr>
        <w:t>.2020</w:t>
      </w:r>
    </w:p>
    <w:p w14:paraId="50A9977D" w14:textId="0FA604C3" w:rsidR="00994BEB" w:rsidRPr="006A5C9C" w:rsidRDefault="00994BEB" w:rsidP="00994BEB">
      <w:pPr>
        <w:pStyle w:val="VText"/>
        <w:jc w:val="left"/>
        <w:rPr>
          <w:rFonts w:cs="Arial"/>
          <w:szCs w:val="22"/>
        </w:rPr>
      </w:pPr>
      <w:r w:rsidRPr="006A5C9C">
        <w:rPr>
          <w:rFonts w:cs="Arial"/>
          <w:szCs w:val="22"/>
        </w:rPr>
        <w:t>Lizenz:</w:t>
      </w:r>
      <w:r w:rsidRPr="006A5C9C">
        <w:rPr>
          <w:rFonts w:cs="Arial"/>
          <w:szCs w:val="22"/>
        </w:rPr>
        <w:tab/>
      </w:r>
      <w:r w:rsidRPr="006A5C9C">
        <w:rPr>
          <w:rFonts w:cs="Arial"/>
          <w:szCs w:val="22"/>
        </w:rPr>
        <w:tab/>
      </w:r>
      <w:r w:rsidRPr="006A5C9C">
        <w:rPr>
          <w:rFonts w:cs="Arial"/>
          <w:szCs w:val="22"/>
        </w:rPr>
        <w:tab/>
      </w:r>
      <w:r w:rsidR="008C0FA9" w:rsidRPr="006A5C9C">
        <w:fldChar w:fldCharType="begin"/>
      </w:r>
      <w:r w:rsidR="008C0FA9" w:rsidRPr="006A5C9C">
        <w:instrText xml:space="preserve"> HYPERLINK "https://creativecommons.org/licenses/by/4.0/" </w:instrText>
      </w:r>
      <w:r w:rsidR="008C0FA9" w:rsidRPr="006A5C9C">
        <w:fldChar w:fldCharType="separate"/>
      </w:r>
      <w:r w:rsidR="00D0437C" w:rsidRPr="006A5C9C">
        <w:rPr>
          <w:rStyle w:val="Hyperlink"/>
          <w:rFonts w:cs="Arial"/>
          <w:color w:val="0366D6"/>
          <w:szCs w:val="22"/>
        </w:rPr>
        <w:t>CC BY 4.0</w:t>
      </w:r>
      <w:r w:rsidR="008C0FA9" w:rsidRPr="006A5C9C">
        <w:rPr>
          <w:rStyle w:val="Hyperlink"/>
          <w:rFonts w:cs="Arial"/>
          <w:color w:val="0366D6"/>
          <w:szCs w:val="22"/>
        </w:rPr>
        <w:fldChar w:fldCharType="end"/>
      </w:r>
    </w:p>
    <w:p w14:paraId="2B3147BB" w14:textId="46650F55" w:rsidR="00D0437C" w:rsidRPr="006A5C9C" w:rsidRDefault="00D0437C" w:rsidP="00994BEB">
      <w:pPr>
        <w:pStyle w:val="VText"/>
        <w:jc w:val="left"/>
        <w:rPr>
          <w:rFonts w:cs="Arial"/>
          <w:color w:val="0366D6"/>
          <w:szCs w:val="22"/>
          <w:u w:val="single"/>
        </w:rPr>
        <w:sectPr w:rsidR="00D0437C" w:rsidRPr="006A5C9C" w:rsidSect="000D2333">
          <w:headerReference w:type="default" r:id="rId10"/>
          <w:headerReference w:type="first" r:id="rId11"/>
          <w:footerReference w:type="first" r:id="rId12"/>
          <w:pgSz w:w="11906" w:h="16838" w:code="9"/>
          <w:pgMar w:top="1134" w:right="2268" w:bottom="1134" w:left="1418" w:header="1134" w:footer="720" w:gutter="0"/>
          <w:pgNumType w:fmt="upperRoman"/>
          <w:cols w:space="720"/>
          <w:titlePg/>
        </w:sectPr>
      </w:pPr>
      <w:r w:rsidRPr="006A5C9C">
        <w:rPr>
          <w:rFonts w:cs="Arial"/>
          <w:szCs w:val="22"/>
        </w:rPr>
        <w:t>Repository:</w:t>
      </w:r>
      <w:r w:rsidRPr="006A5C9C">
        <w:rPr>
          <w:rFonts w:cs="Arial"/>
          <w:szCs w:val="22"/>
        </w:rPr>
        <w:tab/>
      </w:r>
      <w:r w:rsidRPr="006A5C9C">
        <w:rPr>
          <w:rFonts w:cs="Arial"/>
          <w:szCs w:val="22"/>
        </w:rPr>
        <w:tab/>
      </w:r>
      <w:hyperlink r:id="rId13" w:history="1">
        <w:r w:rsidR="00CA7D68" w:rsidRPr="006A5C9C">
          <w:rPr>
            <w:rStyle w:val="Hyperlink"/>
            <w:rFonts w:cs="Arial"/>
            <w:color w:val="0366D6"/>
            <w:szCs w:val="22"/>
          </w:rPr>
          <w:t>https://github.com/blockrookie/payments-in-europe-paper</w:t>
        </w:r>
      </w:hyperlink>
    </w:p>
    <w:p w14:paraId="10B2AD89" w14:textId="6546F19B" w:rsidR="002327A5" w:rsidRPr="006A5C9C" w:rsidRDefault="002327A5" w:rsidP="00B60AB0">
      <w:pPr>
        <w:pStyle w:val="VVerzeichnisberschrift"/>
        <w:spacing w:before="120"/>
      </w:pPr>
      <w:bookmarkStart w:id="0" w:name="_Toc46002495"/>
      <w:bookmarkStart w:id="1" w:name="_Toc46002885"/>
      <w:bookmarkStart w:id="2" w:name="_Toc46074011"/>
      <w:bookmarkStart w:id="3" w:name="_Toc46076178"/>
      <w:bookmarkStart w:id="4" w:name="_Toc53958259"/>
      <w:r w:rsidRPr="006A5C9C">
        <w:lastRenderedPageBreak/>
        <w:t>Eidesstattliche Erklärung</w:t>
      </w:r>
      <w:bookmarkEnd w:id="0"/>
      <w:bookmarkEnd w:id="1"/>
      <w:bookmarkEnd w:id="2"/>
      <w:bookmarkEnd w:id="3"/>
      <w:bookmarkEnd w:id="4"/>
    </w:p>
    <w:p w14:paraId="31B8155F" w14:textId="1A9681F0" w:rsidR="002327A5" w:rsidRPr="006A5C9C" w:rsidRDefault="002327A5" w:rsidP="002327A5">
      <w:pPr>
        <w:pStyle w:val="VText"/>
      </w:pPr>
      <w:r w:rsidRPr="006A5C9C">
        <w:t>Name</w:t>
      </w:r>
      <w:r w:rsidR="00B60AB0" w:rsidRPr="006A5C9C">
        <w:t>:</w:t>
      </w:r>
      <w:r w:rsidR="000E271B" w:rsidRPr="006A5C9C">
        <w:tab/>
      </w:r>
      <w:r w:rsidR="000E271B" w:rsidRPr="006A5C9C">
        <w:tab/>
      </w:r>
      <w:r w:rsidR="000E271B" w:rsidRPr="006A5C9C">
        <w:tab/>
      </w:r>
      <w:r w:rsidR="006B57DA" w:rsidRPr="006A5C9C">
        <w:tab/>
      </w:r>
      <w:r w:rsidR="000E271B" w:rsidRPr="006A5C9C">
        <w:t>Lucas Konstantin Bärenfänger</w:t>
      </w:r>
    </w:p>
    <w:p w14:paraId="73FC8BDF" w14:textId="7D78B3CC" w:rsidR="002327A5" w:rsidRPr="006A5C9C" w:rsidRDefault="002327A5" w:rsidP="002327A5">
      <w:pPr>
        <w:pStyle w:val="VText"/>
      </w:pPr>
      <w:r w:rsidRPr="006A5C9C">
        <w:t>Matrikelnummer</w:t>
      </w:r>
      <w:r w:rsidR="00B60AB0" w:rsidRPr="006A5C9C">
        <w:t>:</w:t>
      </w:r>
      <w:r w:rsidR="000E271B" w:rsidRPr="006A5C9C">
        <w:tab/>
      </w:r>
      <w:r w:rsidR="006B57DA" w:rsidRPr="006A5C9C">
        <w:tab/>
      </w:r>
      <w:r w:rsidR="000E271B" w:rsidRPr="006A5C9C">
        <w:t>903656</w:t>
      </w:r>
    </w:p>
    <w:p w14:paraId="3A8ECDAB" w14:textId="12C48188" w:rsidR="002327A5" w:rsidRPr="006A5C9C" w:rsidRDefault="002327A5" w:rsidP="002327A5">
      <w:pPr>
        <w:pStyle w:val="VText"/>
      </w:pPr>
      <w:r w:rsidRPr="006A5C9C">
        <w:t>Hiermit erkläre ich, dass ich diese Arbeit selbstständig abgefasst und keine anderen als die angegebenen Quellen und Hilfsmittel benutzt habe. Ich bin mit einer Plagiatsprüfung einverstanden.</w:t>
      </w:r>
    </w:p>
    <w:p w14:paraId="58FB79E4" w14:textId="6F520A05" w:rsidR="000E271B" w:rsidRPr="006A5C9C" w:rsidRDefault="002327A5" w:rsidP="002327A5">
      <w:pPr>
        <w:pStyle w:val="VText"/>
      </w:pPr>
      <w:r w:rsidRPr="006A5C9C">
        <w:t>Die Arbeit wurde bisher keiner anderen Prüfungsbehörde vorgelegt und auch noch nicht veröffentlicht.</w:t>
      </w:r>
    </w:p>
    <w:p w14:paraId="3DD78FFA" w14:textId="7931D441" w:rsidR="00B60AB0" w:rsidRPr="006A5C9C" w:rsidRDefault="000E271B" w:rsidP="000E271B">
      <w:pPr>
        <w:pStyle w:val="VText"/>
        <w:jc w:val="left"/>
        <w:sectPr w:rsidR="00B60AB0" w:rsidRPr="006A5C9C" w:rsidSect="00B60AB0">
          <w:headerReference w:type="default" r:id="rId14"/>
          <w:footerReference w:type="default" r:id="rId15"/>
          <w:pgSz w:w="11906" w:h="16838" w:code="9"/>
          <w:pgMar w:top="1848" w:right="2268" w:bottom="1134" w:left="1418" w:header="1134" w:footer="720" w:gutter="0"/>
          <w:cols w:space="720"/>
        </w:sectPr>
      </w:pPr>
      <w:r w:rsidRPr="006A5C9C">
        <w:t xml:space="preserve">Dreieich, </w:t>
      </w:r>
      <w:r w:rsidR="006A5C9C" w:rsidRPr="006A5C9C">
        <w:t>19</w:t>
      </w:r>
      <w:r w:rsidRPr="006A5C9C">
        <w:t>.</w:t>
      </w:r>
      <w:r w:rsidR="00CA7D68" w:rsidRPr="006A5C9C">
        <w:t>10</w:t>
      </w:r>
      <w:r w:rsidRPr="006A5C9C">
        <w:t>.2020</w:t>
      </w:r>
      <w:r w:rsidRPr="006A5C9C">
        <w:tab/>
      </w:r>
      <w:r w:rsidRPr="006A5C9C">
        <w:tab/>
      </w:r>
      <w:r w:rsidRPr="006A5C9C">
        <w:br/>
      </w:r>
      <w:r w:rsidR="002327A5" w:rsidRPr="006A5C9C">
        <w:rPr>
          <w:bCs/>
        </w:rPr>
        <w:t>......................................................................................................................................</w:t>
      </w:r>
      <w:r w:rsidR="00B60AB0" w:rsidRPr="006A5C9C">
        <w:rPr>
          <w:b/>
        </w:rPr>
        <w:br/>
      </w:r>
      <w:r w:rsidR="002327A5" w:rsidRPr="006A5C9C">
        <w:t>Ort, Datum</w:t>
      </w:r>
      <w:r w:rsidR="002327A5" w:rsidRPr="006A5C9C">
        <w:tab/>
      </w:r>
      <w:r w:rsidR="00B60AB0" w:rsidRPr="006A5C9C">
        <w:tab/>
      </w:r>
      <w:r w:rsidR="00B60AB0" w:rsidRPr="006A5C9C">
        <w:tab/>
      </w:r>
      <w:r w:rsidR="002327A5" w:rsidRPr="006A5C9C">
        <w:t>Unterschrif</w:t>
      </w:r>
      <w:r w:rsidRPr="006A5C9C">
        <w:t>t</w:t>
      </w:r>
    </w:p>
    <w:p w14:paraId="66778AA4" w14:textId="77777777" w:rsidR="001D6F4C" w:rsidRDefault="002327A5" w:rsidP="00B575B8">
      <w:pPr>
        <w:pStyle w:val="VVerzeichnisberschrift"/>
        <w:spacing w:before="120"/>
        <w:rPr>
          <w:noProof/>
        </w:rPr>
      </w:pPr>
      <w:bookmarkStart w:id="5" w:name="_Toc46002886"/>
      <w:bookmarkStart w:id="6" w:name="_Toc46074012"/>
      <w:bookmarkStart w:id="7" w:name="_Toc46076179"/>
      <w:bookmarkStart w:id="8" w:name="_Toc53958260"/>
      <w:r w:rsidRPr="00CA7D68">
        <w:lastRenderedPageBreak/>
        <w:t>Table of contents</w:t>
      </w:r>
      <w:bookmarkEnd w:id="5"/>
      <w:bookmarkEnd w:id="6"/>
      <w:bookmarkEnd w:id="7"/>
      <w:bookmarkEnd w:id="8"/>
      <w:r w:rsidRPr="000E271B">
        <w:rPr>
          <w:lang w:val="en-US"/>
        </w:rPr>
        <w:fldChar w:fldCharType="begin"/>
      </w:r>
      <w:r w:rsidRPr="00CA7D68">
        <w:instrText xml:space="preserve"> TOC \o "1-4" \h \z \u </w:instrText>
      </w:r>
      <w:r w:rsidRPr="000E271B">
        <w:rPr>
          <w:lang w:val="en-US"/>
        </w:rPr>
        <w:fldChar w:fldCharType="separate"/>
      </w:r>
    </w:p>
    <w:p w14:paraId="130EA320" w14:textId="72294D9E" w:rsidR="001D6F4C" w:rsidRDefault="008C0FA9">
      <w:pPr>
        <w:pStyle w:val="TOC1"/>
        <w:rPr>
          <w:rFonts w:asciiTheme="minorHAnsi" w:eastAsiaTheme="minorEastAsia" w:hAnsiTheme="minorHAnsi" w:cstheme="minorBidi"/>
          <w:szCs w:val="22"/>
        </w:rPr>
      </w:pPr>
      <w:hyperlink w:anchor="_Toc53958259" w:history="1">
        <w:r w:rsidR="001D6F4C" w:rsidRPr="00B45E6A">
          <w:rPr>
            <w:rStyle w:val="Hyperlink"/>
          </w:rPr>
          <w:t>Eidesstattliche Erklärung</w:t>
        </w:r>
        <w:r w:rsidR="001D6F4C">
          <w:rPr>
            <w:webHidden/>
          </w:rPr>
          <w:tab/>
        </w:r>
        <w:r w:rsidR="001D6F4C">
          <w:rPr>
            <w:webHidden/>
          </w:rPr>
          <w:fldChar w:fldCharType="begin"/>
        </w:r>
        <w:r w:rsidR="001D6F4C">
          <w:rPr>
            <w:webHidden/>
          </w:rPr>
          <w:instrText xml:space="preserve"> PAGEREF _Toc53958259 \h </w:instrText>
        </w:r>
        <w:r w:rsidR="001D6F4C">
          <w:rPr>
            <w:webHidden/>
          </w:rPr>
        </w:r>
        <w:r w:rsidR="001D6F4C">
          <w:rPr>
            <w:webHidden/>
          </w:rPr>
          <w:fldChar w:fldCharType="separate"/>
        </w:r>
        <w:r w:rsidR="00216E15">
          <w:rPr>
            <w:webHidden/>
          </w:rPr>
          <w:t>2</w:t>
        </w:r>
        <w:r w:rsidR="001D6F4C">
          <w:rPr>
            <w:webHidden/>
          </w:rPr>
          <w:fldChar w:fldCharType="end"/>
        </w:r>
      </w:hyperlink>
    </w:p>
    <w:p w14:paraId="3394CB88" w14:textId="72858F12" w:rsidR="001D6F4C" w:rsidRDefault="008C0FA9">
      <w:pPr>
        <w:pStyle w:val="TOC1"/>
        <w:rPr>
          <w:rFonts w:asciiTheme="minorHAnsi" w:eastAsiaTheme="minorEastAsia" w:hAnsiTheme="minorHAnsi" w:cstheme="minorBidi"/>
          <w:szCs w:val="22"/>
        </w:rPr>
      </w:pPr>
      <w:hyperlink w:anchor="_Toc53958260" w:history="1">
        <w:r w:rsidR="001D6F4C" w:rsidRPr="00B45E6A">
          <w:rPr>
            <w:rStyle w:val="Hyperlink"/>
          </w:rPr>
          <w:t>Table of contents</w:t>
        </w:r>
        <w:r w:rsidR="001D6F4C">
          <w:rPr>
            <w:webHidden/>
          </w:rPr>
          <w:tab/>
        </w:r>
        <w:r w:rsidR="001D6F4C">
          <w:rPr>
            <w:webHidden/>
          </w:rPr>
          <w:fldChar w:fldCharType="begin"/>
        </w:r>
        <w:r w:rsidR="001D6F4C">
          <w:rPr>
            <w:webHidden/>
          </w:rPr>
          <w:instrText xml:space="preserve"> PAGEREF _Toc53958260 \h </w:instrText>
        </w:r>
        <w:r w:rsidR="001D6F4C">
          <w:rPr>
            <w:webHidden/>
          </w:rPr>
        </w:r>
        <w:r w:rsidR="001D6F4C">
          <w:rPr>
            <w:webHidden/>
          </w:rPr>
          <w:fldChar w:fldCharType="separate"/>
        </w:r>
        <w:r w:rsidR="00216E15">
          <w:rPr>
            <w:webHidden/>
          </w:rPr>
          <w:t>3</w:t>
        </w:r>
        <w:r w:rsidR="001D6F4C">
          <w:rPr>
            <w:webHidden/>
          </w:rPr>
          <w:fldChar w:fldCharType="end"/>
        </w:r>
      </w:hyperlink>
    </w:p>
    <w:p w14:paraId="6E50F021" w14:textId="7B43358F" w:rsidR="001D6F4C" w:rsidRDefault="008C0FA9">
      <w:pPr>
        <w:pStyle w:val="TOC1"/>
        <w:rPr>
          <w:rFonts w:asciiTheme="minorHAnsi" w:eastAsiaTheme="minorEastAsia" w:hAnsiTheme="minorHAnsi" w:cstheme="minorBidi"/>
          <w:szCs w:val="22"/>
        </w:rPr>
      </w:pPr>
      <w:hyperlink w:anchor="_Toc53958261" w:history="1">
        <w:r w:rsidR="001D6F4C" w:rsidRPr="00B45E6A">
          <w:rPr>
            <w:rStyle w:val="Hyperlink"/>
            <w:lang w:val="en-US"/>
          </w:rPr>
          <w:t>1.</w:t>
        </w:r>
        <w:r w:rsidR="001D6F4C">
          <w:rPr>
            <w:rFonts w:asciiTheme="minorHAnsi" w:eastAsiaTheme="minorEastAsia" w:hAnsiTheme="minorHAnsi" w:cstheme="minorBidi"/>
            <w:szCs w:val="22"/>
          </w:rPr>
          <w:tab/>
        </w:r>
        <w:r w:rsidR="001D6F4C" w:rsidRPr="00B45E6A">
          <w:rPr>
            <w:rStyle w:val="Hyperlink"/>
            <w:lang w:val="en-US"/>
          </w:rPr>
          <w:t>Introduction</w:t>
        </w:r>
        <w:r w:rsidR="001D6F4C">
          <w:rPr>
            <w:webHidden/>
          </w:rPr>
          <w:tab/>
        </w:r>
        <w:r w:rsidR="001D6F4C">
          <w:rPr>
            <w:webHidden/>
          </w:rPr>
          <w:fldChar w:fldCharType="begin"/>
        </w:r>
        <w:r w:rsidR="001D6F4C">
          <w:rPr>
            <w:webHidden/>
          </w:rPr>
          <w:instrText xml:space="preserve"> PAGEREF _Toc53958261 \h </w:instrText>
        </w:r>
        <w:r w:rsidR="001D6F4C">
          <w:rPr>
            <w:webHidden/>
          </w:rPr>
        </w:r>
        <w:r w:rsidR="001D6F4C">
          <w:rPr>
            <w:webHidden/>
          </w:rPr>
          <w:fldChar w:fldCharType="separate"/>
        </w:r>
        <w:r w:rsidR="00216E15">
          <w:rPr>
            <w:webHidden/>
          </w:rPr>
          <w:t>4</w:t>
        </w:r>
        <w:r w:rsidR="001D6F4C">
          <w:rPr>
            <w:webHidden/>
          </w:rPr>
          <w:fldChar w:fldCharType="end"/>
        </w:r>
      </w:hyperlink>
    </w:p>
    <w:p w14:paraId="32190605" w14:textId="03E25C17" w:rsidR="001D6F4C" w:rsidRDefault="008C0FA9">
      <w:pPr>
        <w:pStyle w:val="TOC1"/>
        <w:rPr>
          <w:rFonts w:asciiTheme="minorHAnsi" w:eastAsiaTheme="minorEastAsia" w:hAnsiTheme="minorHAnsi" w:cstheme="minorBidi"/>
          <w:szCs w:val="22"/>
        </w:rPr>
      </w:pPr>
      <w:hyperlink w:anchor="_Toc53958262" w:history="1">
        <w:r w:rsidR="001D6F4C" w:rsidRPr="00B45E6A">
          <w:rPr>
            <w:rStyle w:val="Hyperlink"/>
            <w:lang w:val="en-US"/>
          </w:rPr>
          <w:t>2.</w:t>
        </w:r>
        <w:r w:rsidR="001D6F4C">
          <w:rPr>
            <w:rFonts w:asciiTheme="minorHAnsi" w:eastAsiaTheme="minorEastAsia" w:hAnsiTheme="minorHAnsi" w:cstheme="minorBidi"/>
            <w:szCs w:val="22"/>
          </w:rPr>
          <w:tab/>
        </w:r>
        <w:r w:rsidR="001D6F4C" w:rsidRPr="00B45E6A">
          <w:rPr>
            <w:rStyle w:val="Hyperlink"/>
            <w:lang w:val="en-US"/>
          </w:rPr>
          <w:t>Institutions and legislation</w:t>
        </w:r>
        <w:r w:rsidR="001D6F4C">
          <w:rPr>
            <w:webHidden/>
          </w:rPr>
          <w:tab/>
        </w:r>
        <w:r w:rsidR="001D6F4C">
          <w:rPr>
            <w:webHidden/>
          </w:rPr>
          <w:fldChar w:fldCharType="begin"/>
        </w:r>
        <w:r w:rsidR="001D6F4C">
          <w:rPr>
            <w:webHidden/>
          </w:rPr>
          <w:instrText xml:space="preserve"> PAGEREF _Toc53958262 \h </w:instrText>
        </w:r>
        <w:r w:rsidR="001D6F4C">
          <w:rPr>
            <w:webHidden/>
          </w:rPr>
        </w:r>
        <w:r w:rsidR="001D6F4C">
          <w:rPr>
            <w:webHidden/>
          </w:rPr>
          <w:fldChar w:fldCharType="separate"/>
        </w:r>
        <w:r w:rsidR="00216E15">
          <w:rPr>
            <w:webHidden/>
          </w:rPr>
          <w:t>5</w:t>
        </w:r>
        <w:r w:rsidR="001D6F4C">
          <w:rPr>
            <w:webHidden/>
          </w:rPr>
          <w:fldChar w:fldCharType="end"/>
        </w:r>
      </w:hyperlink>
    </w:p>
    <w:p w14:paraId="0508B42E" w14:textId="21E12491" w:rsidR="001D6F4C" w:rsidRDefault="008C0FA9">
      <w:pPr>
        <w:pStyle w:val="TOC1"/>
        <w:rPr>
          <w:rFonts w:asciiTheme="minorHAnsi" w:eastAsiaTheme="minorEastAsia" w:hAnsiTheme="minorHAnsi" w:cstheme="minorBidi"/>
          <w:szCs w:val="22"/>
        </w:rPr>
      </w:pPr>
      <w:hyperlink w:anchor="_Toc53958263" w:history="1">
        <w:r w:rsidR="001D6F4C" w:rsidRPr="00B45E6A">
          <w:rPr>
            <w:rStyle w:val="Hyperlink"/>
            <w:lang w:val="en-US"/>
          </w:rPr>
          <w:t>3.</w:t>
        </w:r>
        <w:r w:rsidR="001D6F4C">
          <w:rPr>
            <w:rFonts w:asciiTheme="minorHAnsi" w:eastAsiaTheme="minorEastAsia" w:hAnsiTheme="minorHAnsi" w:cstheme="minorBidi"/>
            <w:szCs w:val="22"/>
          </w:rPr>
          <w:tab/>
        </w:r>
        <w:r w:rsidR="001D6F4C" w:rsidRPr="00B45E6A">
          <w:rPr>
            <w:rStyle w:val="Hyperlink"/>
            <w:lang w:val="en-US"/>
          </w:rPr>
          <w:t>The Payments Services Directive</w:t>
        </w:r>
        <w:r w:rsidR="001D6F4C">
          <w:rPr>
            <w:webHidden/>
          </w:rPr>
          <w:tab/>
        </w:r>
        <w:r w:rsidR="001D6F4C">
          <w:rPr>
            <w:webHidden/>
          </w:rPr>
          <w:fldChar w:fldCharType="begin"/>
        </w:r>
        <w:r w:rsidR="001D6F4C">
          <w:rPr>
            <w:webHidden/>
          </w:rPr>
          <w:instrText xml:space="preserve"> PAGEREF _Toc53958263 \h </w:instrText>
        </w:r>
        <w:r w:rsidR="001D6F4C">
          <w:rPr>
            <w:webHidden/>
          </w:rPr>
        </w:r>
        <w:r w:rsidR="001D6F4C">
          <w:rPr>
            <w:webHidden/>
          </w:rPr>
          <w:fldChar w:fldCharType="separate"/>
        </w:r>
        <w:r w:rsidR="00216E15">
          <w:rPr>
            <w:webHidden/>
          </w:rPr>
          <w:t>9</w:t>
        </w:r>
        <w:r w:rsidR="001D6F4C">
          <w:rPr>
            <w:webHidden/>
          </w:rPr>
          <w:fldChar w:fldCharType="end"/>
        </w:r>
      </w:hyperlink>
    </w:p>
    <w:p w14:paraId="39F4EB54" w14:textId="40504332" w:rsidR="001D6F4C" w:rsidRDefault="008C0FA9">
      <w:pPr>
        <w:pStyle w:val="TOC2"/>
        <w:rPr>
          <w:rFonts w:asciiTheme="minorHAnsi" w:eastAsiaTheme="minorEastAsia" w:hAnsiTheme="minorHAnsi" w:cstheme="minorBidi"/>
          <w:szCs w:val="22"/>
        </w:rPr>
      </w:pPr>
      <w:hyperlink w:anchor="_Toc53958264" w:history="1">
        <w:r w:rsidR="001D6F4C" w:rsidRPr="00B45E6A">
          <w:rPr>
            <w:rStyle w:val="Hyperlink"/>
            <w:lang w:val="en-US"/>
          </w:rPr>
          <w:t>3.1</w:t>
        </w:r>
        <w:r w:rsidR="001D6F4C">
          <w:rPr>
            <w:rFonts w:asciiTheme="minorHAnsi" w:eastAsiaTheme="minorEastAsia" w:hAnsiTheme="minorHAnsi" w:cstheme="minorBidi"/>
            <w:szCs w:val="22"/>
          </w:rPr>
          <w:tab/>
        </w:r>
        <w:r w:rsidR="001D6F4C" w:rsidRPr="00B45E6A">
          <w:rPr>
            <w:rStyle w:val="Hyperlink"/>
            <w:lang w:val="en-US"/>
          </w:rPr>
          <w:t>The PSD of 2007</w:t>
        </w:r>
        <w:r w:rsidR="001D6F4C">
          <w:rPr>
            <w:webHidden/>
          </w:rPr>
          <w:tab/>
        </w:r>
        <w:r w:rsidR="001D6F4C">
          <w:rPr>
            <w:webHidden/>
          </w:rPr>
          <w:fldChar w:fldCharType="begin"/>
        </w:r>
        <w:r w:rsidR="001D6F4C">
          <w:rPr>
            <w:webHidden/>
          </w:rPr>
          <w:instrText xml:space="preserve"> PAGEREF _Toc53958264 \h </w:instrText>
        </w:r>
        <w:r w:rsidR="001D6F4C">
          <w:rPr>
            <w:webHidden/>
          </w:rPr>
        </w:r>
        <w:r w:rsidR="001D6F4C">
          <w:rPr>
            <w:webHidden/>
          </w:rPr>
          <w:fldChar w:fldCharType="separate"/>
        </w:r>
        <w:r w:rsidR="00216E15">
          <w:rPr>
            <w:webHidden/>
          </w:rPr>
          <w:t>9</w:t>
        </w:r>
        <w:r w:rsidR="001D6F4C">
          <w:rPr>
            <w:webHidden/>
          </w:rPr>
          <w:fldChar w:fldCharType="end"/>
        </w:r>
      </w:hyperlink>
    </w:p>
    <w:p w14:paraId="03F4CC36" w14:textId="30D4CF60" w:rsidR="001D6F4C" w:rsidRDefault="008C0FA9">
      <w:pPr>
        <w:pStyle w:val="TOC2"/>
        <w:rPr>
          <w:rFonts w:asciiTheme="minorHAnsi" w:eastAsiaTheme="minorEastAsia" w:hAnsiTheme="minorHAnsi" w:cstheme="minorBidi"/>
          <w:szCs w:val="22"/>
        </w:rPr>
      </w:pPr>
      <w:hyperlink w:anchor="_Toc53958265" w:history="1">
        <w:r w:rsidR="001D6F4C" w:rsidRPr="00B45E6A">
          <w:rPr>
            <w:rStyle w:val="Hyperlink"/>
            <w:lang w:val="en-US"/>
          </w:rPr>
          <w:t>3.2</w:t>
        </w:r>
        <w:r w:rsidR="001D6F4C">
          <w:rPr>
            <w:rFonts w:asciiTheme="minorHAnsi" w:eastAsiaTheme="minorEastAsia" w:hAnsiTheme="minorHAnsi" w:cstheme="minorBidi"/>
            <w:szCs w:val="22"/>
          </w:rPr>
          <w:tab/>
        </w:r>
        <w:r w:rsidR="001D6F4C" w:rsidRPr="00B45E6A">
          <w:rPr>
            <w:rStyle w:val="Hyperlink"/>
            <w:lang w:val="en-US"/>
          </w:rPr>
          <w:t>The PSD2 of 2015</w:t>
        </w:r>
        <w:r w:rsidR="001D6F4C">
          <w:rPr>
            <w:webHidden/>
          </w:rPr>
          <w:tab/>
        </w:r>
        <w:r w:rsidR="001D6F4C">
          <w:rPr>
            <w:webHidden/>
          </w:rPr>
          <w:fldChar w:fldCharType="begin"/>
        </w:r>
        <w:r w:rsidR="001D6F4C">
          <w:rPr>
            <w:webHidden/>
          </w:rPr>
          <w:instrText xml:space="preserve"> PAGEREF _Toc53958265 \h </w:instrText>
        </w:r>
        <w:r w:rsidR="001D6F4C">
          <w:rPr>
            <w:webHidden/>
          </w:rPr>
        </w:r>
        <w:r w:rsidR="001D6F4C">
          <w:rPr>
            <w:webHidden/>
          </w:rPr>
          <w:fldChar w:fldCharType="separate"/>
        </w:r>
        <w:r w:rsidR="00216E15">
          <w:rPr>
            <w:webHidden/>
          </w:rPr>
          <w:t>13</w:t>
        </w:r>
        <w:r w:rsidR="001D6F4C">
          <w:rPr>
            <w:webHidden/>
          </w:rPr>
          <w:fldChar w:fldCharType="end"/>
        </w:r>
      </w:hyperlink>
    </w:p>
    <w:p w14:paraId="614AED29" w14:textId="64DE65A4" w:rsidR="001D6F4C" w:rsidRDefault="008C0FA9">
      <w:pPr>
        <w:pStyle w:val="TOC1"/>
        <w:rPr>
          <w:rFonts w:asciiTheme="minorHAnsi" w:eastAsiaTheme="minorEastAsia" w:hAnsiTheme="minorHAnsi" w:cstheme="minorBidi"/>
          <w:szCs w:val="22"/>
        </w:rPr>
      </w:pPr>
      <w:hyperlink w:anchor="_Toc53958266" w:history="1">
        <w:r w:rsidR="001D6F4C" w:rsidRPr="00B45E6A">
          <w:rPr>
            <w:rStyle w:val="Hyperlink"/>
            <w:lang w:val="en-US"/>
          </w:rPr>
          <w:t>4.</w:t>
        </w:r>
        <w:r w:rsidR="001D6F4C">
          <w:rPr>
            <w:rFonts w:asciiTheme="minorHAnsi" w:eastAsiaTheme="minorEastAsia" w:hAnsiTheme="minorHAnsi" w:cstheme="minorBidi"/>
            <w:szCs w:val="22"/>
          </w:rPr>
          <w:tab/>
        </w:r>
        <w:r w:rsidR="001D6F4C" w:rsidRPr="00B45E6A">
          <w:rPr>
            <w:rStyle w:val="Hyperlink"/>
            <w:lang w:val="en-US"/>
          </w:rPr>
          <w:t>The Single Euro Payments Area</w:t>
        </w:r>
        <w:r w:rsidR="001D6F4C">
          <w:rPr>
            <w:webHidden/>
          </w:rPr>
          <w:tab/>
        </w:r>
        <w:r w:rsidR="001D6F4C">
          <w:rPr>
            <w:webHidden/>
          </w:rPr>
          <w:fldChar w:fldCharType="begin"/>
        </w:r>
        <w:r w:rsidR="001D6F4C">
          <w:rPr>
            <w:webHidden/>
          </w:rPr>
          <w:instrText xml:space="preserve"> PAGEREF _Toc53958266 \h </w:instrText>
        </w:r>
        <w:r w:rsidR="001D6F4C">
          <w:rPr>
            <w:webHidden/>
          </w:rPr>
        </w:r>
        <w:r w:rsidR="001D6F4C">
          <w:rPr>
            <w:webHidden/>
          </w:rPr>
          <w:fldChar w:fldCharType="separate"/>
        </w:r>
        <w:r w:rsidR="00216E15">
          <w:rPr>
            <w:webHidden/>
          </w:rPr>
          <w:t>18</w:t>
        </w:r>
        <w:r w:rsidR="001D6F4C">
          <w:rPr>
            <w:webHidden/>
          </w:rPr>
          <w:fldChar w:fldCharType="end"/>
        </w:r>
      </w:hyperlink>
    </w:p>
    <w:p w14:paraId="12792AEB" w14:textId="468A2417" w:rsidR="001D6F4C" w:rsidRDefault="008C0FA9">
      <w:pPr>
        <w:pStyle w:val="TOC2"/>
        <w:rPr>
          <w:rFonts w:asciiTheme="minorHAnsi" w:eastAsiaTheme="minorEastAsia" w:hAnsiTheme="minorHAnsi" w:cstheme="minorBidi"/>
          <w:szCs w:val="22"/>
        </w:rPr>
      </w:pPr>
      <w:hyperlink w:anchor="_Toc53958267" w:history="1">
        <w:r w:rsidR="001D6F4C" w:rsidRPr="00B45E6A">
          <w:rPr>
            <w:rStyle w:val="Hyperlink"/>
            <w:lang w:val="en-US"/>
          </w:rPr>
          <w:t>4.1</w:t>
        </w:r>
        <w:r w:rsidR="001D6F4C">
          <w:rPr>
            <w:rFonts w:asciiTheme="minorHAnsi" w:eastAsiaTheme="minorEastAsia" w:hAnsiTheme="minorHAnsi" w:cstheme="minorBidi"/>
            <w:szCs w:val="22"/>
          </w:rPr>
          <w:tab/>
        </w:r>
        <w:r w:rsidR="001D6F4C" w:rsidRPr="00B45E6A">
          <w:rPr>
            <w:rStyle w:val="Hyperlink"/>
            <w:lang w:val="en-US"/>
          </w:rPr>
          <w:t>The SEPA project</w:t>
        </w:r>
        <w:r w:rsidR="001D6F4C">
          <w:rPr>
            <w:webHidden/>
          </w:rPr>
          <w:tab/>
        </w:r>
        <w:r w:rsidR="001D6F4C">
          <w:rPr>
            <w:webHidden/>
          </w:rPr>
          <w:fldChar w:fldCharType="begin"/>
        </w:r>
        <w:r w:rsidR="001D6F4C">
          <w:rPr>
            <w:webHidden/>
          </w:rPr>
          <w:instrText xml:space="preserve"> PAGEREF _Toc53958267 \h </w:instrText>
        </w:r>
        <w:r w:rsidR="001D6F4C">
          <w:rPr>
            <w:webHidden/>
          </w:rPr>
        </w:r>
        <w:r w:rsidR="001D6F4C">
          <w:rPr>
            <w:webHidden/>
          </w:rPr>
          <w:fldChar w:fldCharType="separate"/>
        </w:r>
        <w:r w:rsidR="00216E15">
          <w:rPr>
            <w:webHidden/>
          </w:rPr>
          <w:t>18</w:t>
        </w:r>
        <w:r w:rsidR="001D6F4C">
          <w:rPr>
            <w:webHidden/>
          </w:rPr>
          <w:fldChar w:fldCharType="end"/>
        </w:r>
      </w:hyperlink>
    </w:p>
    <w:p w14:paraId="4D7037DC" w14:textId="185D584D" w:rsidR="001D6F4C" w:rsidRDefault="008C0FA9">
      <w:pPr>
        <w:pStyle w:val="TOC2"/>
        <w:rPr>
          <w:rFonts w:asciiTheme="minorHAnsi" w:eastAsiaTheme="minorEastAsia" w:hAnsiTheme="minorHAnsi" w:cstheme="minorBidi"/>
          <w:szCs w:val="22"/>
        </w:rPr>
      </w:pPr>
      <w:hyperlink w:anchor="_Toc53958268" w:history="1">
        <w:r w:rsidR="001D6F4C" w:rsidRPr="00B45E6A">
          <w:rPr>
            <w:rStyle w:val="Hyperlink"/>
            <w:lang w:val="en-US"/>
          </w:rPr>
          <w:t>4.2</w:t>
        </w:r>
        <w:r w:rsidR="001D6F4C">
          <w:rPr>
            <w:rFonts w:asciiTheme="minorHAnsi" w:eastAsiaTheme="minorEastAsia" w:hAnsiTheme="minorHAnsi" w:cstheme="minorBidi"/>
            <w:szCs w:val="22"/>
          </w:rPr>
          <w:tab/>
        </w:r>
        <w:r w:rsidR="001D6F4C" w:rsidRPr="00B45E6A">
          <w:rPr>
            <w:rStyle w:val="Hyperlink"/>
            <w:lang w:val="en-US"/>
          </w:rPr>
          <w:t>Clearing and settlement</w:t>
        </w:r>
        <w:r w:rsidR="001D6F4C">
          <w:rPr>
            <w:webHidden/>
          </w:rPr>
          <w:tab/>
        </w:r>
        <w:r w:rsidR="001D6F4C">
          <w:rPr>
            <w:webHidden/>
          </w:rPr>
          <w:fldChar w:fldCharType="begin"/>
        </w:r>
        <w:r w:rsidR="001D6F4C">
          <w:rPr>
            <w:webHidden/>
          </w:rPr>
          <w:instrText xml:space="preserve"> PAGEREF _Toc53958268 \h </w:instrText>
        </w:r>
        <w:r w:rsidR="001D6F4C">
          <w:rPr>
            <w:webHidden/>
          </w:rPr>
        </w:r>
        <w:r w:rsidR="001D6F4C">
          <w:rPr>
            <w:webHidden/>
          </w:rPr>
          <w:fldChar w:fldCharType="separate"/>
        </w:r>
        <w:r w:rsidR="00216E15">
          <w:rPr>
            <w:webHidden/>
          </w:rPr>
          <w:t>20</w:t>
        </w:r>
        <w:r w:rsidR="001D6F4C">
          <w:rPr>
            <w:webHidden/>
          </w:rPr>
          <w:fldChar w:fldCharType="end"/>
        </w:r>
      </w:hyperlink>
    </w:p>
    <w:p w14:paraId="651BDF7E" w14:textId="41C0317B" w:rsidR="001D6F4C" w:rsidRDefault="008C0FA9">
      <w:pPr>
        <w:pStyle w:val="TOC2"/>
        <w:rPr>
          <w:rFonts w:asciiTheme="minorHAnsi" w:eastAsiaTheme="minorEastAsia" w:hAnsiTheme="minorHAnsi" w:cstheme="minorBidi"/>
          <w:szCs w:val="22"/>
        </w:rPr>
      </w:pPr>
      <w:hyperlink w:anchor="_Toc53958269" w:history="1">
        <w:r w:rsidR="001D6F4C" w:rsidRPr="00B45E6A">
          <w:rPr>
            <w:rStyle w:val="Hyperlink"/>
            <w:lang w:val="en-US"/>
          </w:rPr>
          <w:t>4.3</w:t>
        </w:r>
        <w:r w:rsidR="001D6F4C">
          <w:rPr>
            <w:rFonts w:asciiTheme="minorHAnsi" w:eastAsiaTheme="minorEastAsia" w:hAnsiTheme="minorHAnsi" w:cstheme="minorBidi"/>
            <w:szCs w:val="22"/>
          </w:rPr>
          <w:tab/>
        </w:r>
        <w:r w:rsidR="001D6F4C" w:rsidRPr="00B45E6A">
          <w:rPr>
            <w:rStyle w:val="Hyperlink"/>
            <w:lang w:val="en-US"/>
          </w:rPr>
          <w:t>SEPA Credit Transfer</w:t>
        </w:r>
        <w:r w:rsidR="001D6F4C">
          <w:rPr>
            <w:webHidden/>
          </w:rPr>
          <w:tab/>
        </w:r>
        <w:r w:rsidR="001D6F4C">
          <w:rPr>
            <w:webHidden/>
          </w:rPr>
          <w:fldChar w:fldCharType="begin"/>
        </w:r>
        <w:r w:rsidR="001D6F4C">
          <w:rPr>
            <w:webHidden/>
          </w:rPr>
          <w:instrText xml:space="preserve"> PAGEREF _Toc53958269 \h </w:instrText>
        </w:r>
        <w:r w:rsidR="001D6F4C">
          <w:rPr>
            <w:webHidden/>
          </w:rPr>
        </w:r>
        <w:r w:rsidR="001D6F4C">
          <w:rPr>
            <w:webHidden/>
          </w:rPr>
          <w:fldChar w:fldCharType="separate"/>
        </w:r>
        <w:r w:rsidR="00216E15">
          <w:rPr>
            <w:webHidden/>
          </w:rPr>
          <w:t>22</w:t>
        </w:r>
        <w:r w:rsidR="001D6F4C">
          <w:rPr>
            <w:webHidden/>
          </w:rPr>
          <w:fldChar w:fldCharType="end"/>
        </w:r>
      </w:hyperlink>
    </w:p>
    <w:p w14:paraId="7959C62D" w14:textId="2CD44C44" w:rsidR="001D6F4C" w:rsidRDefault="008C0FA9">
      <w:pPr>
        <w:pStyle w:val="TOC2"/>
        <w:rPr>
          <w:rFonts w:asciiTheme="minorHAnsi" w:eastAsiaTheme="minorEastAsia" w:hAnsiTheme="minorHAnsi" w:cstheme="minorBidi"/>
          <w:szCs w:val="22"/>
        </w:rPr>
      </w:pPr>
      <w:hyperlink w:anchor="_Toc53958270" w:history="1">
        <w:r w:rsidR="001D6F4C" w:rsidRPr="00B45E6A">
          <w:rPr>
            <w:rStyle w:val="Hyperlink"/>
            <w:lang w:val="en-US"/>
          </w:rPr>
          <w:t>4.4</w:t>
        </w:r>
        <w:r w:rsidR="001D6F4C">
          <w:rPr>
            <w:rFonts w:asciiTheme="minorHAnsi" w:eastAsiaTheme="minorEastAsia" w:hAnsiTheme="minorHAnsi" w:cstheme="minorBidi"/>
            <w:szCs w:val="22"/>
          </w:rPr>
          <w:tab/>
        </w:r>
        <w:r w:rsidR="001D6F4C" w:rsidRPr="00B45E6A">
          <w:rPr>
            <w:rStyle w:val="Hyperlink"/>
            <w:lang w:val="en-US"/>
          </w:rPr>
          <w:t>SEPA Direct Debit</w:t>
        </w:r>
        <w:r w:rsidR="001D6F4C">
          <w:rPr>
            <w:webHidden/>
          </w:rPr>
          <w:tab/>
        </w:r>
        <w:r w:rsidR="001D6F4C">
          <w:rPr>
            <w:webHidden/>
          </w:rPr>
          <w:fldChar w:fldCharType="begin"/>
        </w:r>
        <w:r w:rsidR="001D6F4C">
          <w:rPr>
            <w:webHidden/>
          </w:rPr>
          <w:instrText xml:space="preserve"> PAGEREF _Toc53958270 \h </w:instrText>
        </w:r>
        <w:r w:rsidR="001D6F4C">
          <w:rPr>
            <w:webHidden/>
          </w:rPr>
        </w:r>
        <w:r w:rsidR="001D6F4C">
          <w:rPr>
            <w:webHidden/>
          </w:rPr>
          <w:fldChar w:fldCharType="separate"/>
        </w:r>
        <w:r w:rsidR="00216E15">
          <w:rPr>
            <w:webHidden/>
          </w:rPr>
          <w:t>26</w:t>
        </w:r>
        <w:r w:rsidR="001D6F4C">
          <w:rPr>
            <w:webHidden/>
          </w:rPr>
          <w:fldChar w:fldCharType="end"/>
        </w:r>
      </w:hyperlink>
    </w:p>
    <w:p w14:paraId="0414B1A6" w14:textId="012F6F84" w:rsidR="001D6F4C" w:rsidRDefault="008C0FA9">
      <w:pPr>
        <w:pStyle w:val="TOC1"/>
        <w:rPr>
          <w:rFonts w:asciiTheme="minorHAnsi" w:eastAsiaTheme="minorEastAsia" w:hAnsiTheme="minorHAnsi" w:cstheme="minorBidi"/>
          <w:szCs w:val="22"/>
        </w:rPr>
      </w:pPr>
      <w:hyperlink w:anchor="_Toc53958271" w:history="1">
        <w:r w:rsidR="001D6F4C" w:rsidRPr="00B45E6A">
          <w:rPr>
            <w:rStyle w:val="Hyperlink"/>
            <w:lang w:val="en-US"/>
          </w:rPr>
          <w:t>5.</w:t>
        </w:r>
        <w:r w:rsidR="001D6F4C">
          <w:rPr>
            <w:rFonts w:asciiTheme="minorHAnsi" w:eastAsiaTheme="minorEastAsia" w:hAnsiTheme="minorHAnsi" w:cstheme="minorBidi"/>
            <w:szCs w:val="22"/>
          </w:rPr>
          <w:tab/>
        </w:r>
        <w:r w:rsidR="001D6F4C" w:rsidRPr="00B45E6A">
          <w:rPr>
            <w:rStyle w:val="Hyperlink"/>
            <w:lang w:val="en-US"/>
          </w:rPr>
          <w:t>Conclusion</w:t>
        </w:r>
        <w:r w:rsidR="001D6F4C">
          <w:rPr>
            <w:webHidden/>
          </w:rPr>
          <w:tab/>
        </w:r>
        <w:r w:rsidR="001D6F4C">
          <w:rPr>
            <w:webHidden/>
          </w:rPr>
          <w:fldChar w:fldCharType="begin"/>
        </w:r>
        <w:r w:rsidR="001D6F4C">
          <w:rPr>
            <w:webHidden/>
          </w:rPr>
          <w:instrText xml:space="preserve"> PAGEREF _Toc53958271 \h </w:instrText>
        </w:r>
        <w:r w:rsidR="001D6F4C">
          <w:rPr>
            <w:webHidden/>
          </w:rPr>
        </w:r>
        <w:r w:rsidR="001D6F4C">
          <w:rPr>
            <w:webHidden/>
          </w:rPr>
          <w:fldChar w:fldCharType="separate"/>
        </w:r>
        <w:r w:rsidR="00216E15">
          <w:rPr>
            <w:webHidden/>
          </w:rPr>
          <w:t>32</w:t>
        </w:r>
        <w:r w:rsidR="001D6F4C">
          <w:rPr>
            <w:webHidden/>
          </w:rPr>
          <w:fldChar w:fldCharType="end"/>
        </w:r>
      </w:hyperlink>
    </w:p>
    <w:p w14:paraId="28EFE62D" w14:textId="0D0F5B9F" w:rsidR="001D6F4C" w:rsidRDefault="008C0FA9">
      <w:pPr>
        <w:pStyle w:val="TOC1"/>
        <w:rPr>
          <w:rFonts w:asciiTheme="minorHAnsi" w:eastAsiaTheme="minorEastAsia" w:hAnsiTheme="minorHAnsi" w:cstheme="minorBidi"/>
          <w:szCs w:val="22"/>
        </w:rPr>
      </w:pPr>
      <w:hyperlink w:anchor="_Toc53958272" w:history="1">
        <w:r w:rsidR="001D6F4C" w:rsidRPr="00B45E6A">
          <w:rPr>
            <w:rStyle w:val="Hyperlink"/>
            <w:lang w:val="en-US"/>
          </w:rPr>
          <w:t>References</w:t>
        </w:r>
        <w:r w:rsidR="001D6F4C">
          <w:rPr>
            <w:webHidden/>
          </w:rPr>
          <w:tab/>
        </w:r>
        <w:r w:rsidR="001D6F4C">
          <w:rPr>
            <w:webHidden/>
          </w:rPr>
          <w:fldChar w:fldCharType="begin"/>
        </w:r>
        <w:r w:rsidR="001D6F4C">
          <w:rPr>
            <w:webHidden/>
          </w:rPr>
          <w:instrText xml:space="preserve"> PAGEREF _Toc53958272 \h </w:instrText>
        </w:r>
        <w:r w:rsidR="001D6F4C">
          <w:rPr>
            <w:webHidden/>
          </w:rPr>
        </w:r>
        <w:r w:rsidR="001D6F4C">
          <w:rPr>
            <w:webHidden/>
          </w:rPr>
          <w:fldChar w:fldCharType="separate"/>
        </w:r>
        <w:r w:rsidR="00216E15">
          <w:rPr>
            <w:webHidden/>
          </w:rPr>
          <w:t>33</w:t>
        </w:r>
        <w:r w:rsidR="001D6F4C">
          <w:rPr>
            <w:webHidden/>
          </w:rPr>
          <w:fldChar w:fldCharType="end"/>
        </w:r>
      </w:hyperlink>
    </w:p>
    <w:p w14:paraId="60DAB1FF" w14:textId="3EA81DA7" w:rsidR="002327A5" w:rsidRPr="000114C5" w:rsidRDefault="002327A5" w:rsidP="002327A5">
      <w:pPr>
        <w:pStyle w:val="TOC1"/>
        <w:tabs>
          <w:tab w:val="right" w:leader="dot" w:pos="9060"/>
        </w:tabs>
        <w:rPr>
          <w:noProof w:val="0"/>
          <w:szCs w:val="22"/>
          <w:lang w:val="en-US"/>
        </w:rPr>
        <w:sectPr w:rsidR="002327A5" w:rsidRPr="000114C5" w:rsidSect="00B575B8">
          <w:headerReference w:type="default" r:id="rId16"/>
          <w:footerReference w:type="default" r:id="rId17"/>
          <w:pgSz w:w="11906" w:h="16838" w:code="9"/>
          <w:pgMar w:top="1848" w:right="2268" w:bottom="1134" w:left="1418" w:header="1134" w:footer="720" w:gutter="0"/>
          <w:cols w:space="720"/>
        </w:sectPr>
      </w:pPr>
      <w:r w:rsidRPr="000E271B">
        <w:rPr>
          <w:noProof w:val="0"/>
          <w:szCs w:val="22"/>
          <w:lang w:val="en-US"/>
        </w:rPr>
        <w:fldChar w:fldCharType="end"/>
      </w:r>
    </w:p>
    <w:p w14:paraId="3A928932" w14:textId="77777777" w:rsidR="00495ED2" w:rsidRPr="000114C5" w:rsidRDefault="00495ED2" w:rsidP="00B62D64">
      <w:pPr>
        <w:pStyle w:val="Heading1"/>
        <w:rPr>
          <w:lang w:val="en-US"/>
        </w:rPr>
      </w:pPr>
      <w:bookmarkStart w:id="9" w:name="_Toc53958261"/>
      <w:r w:rsidRPr="000114C5">
        <w:rPr>
          <w:lang w:val="en-US"/>
        </w:rPr>
        <w:lastRenderedPageBreak/>
        <w:t>Introduction</w:t>
      </w:r>
      <w:bookmarkEnd w:id="9"/>
    </w:p>
    <w:p w14:paraId="1980EFC6" w14:textId="77777777" w:rsidR="00B60482" w:rsidRPr="00B60482" w:rsidRDefault="00B60482" w:rsidP="00B60482">
      <w:pPr>
        <w:pStyle w:val="NormalWeb"/>
        <w:spacing w:before="240" w:beforeAutospacing="0" w:after="240" w:afterAutospacing="0" w:line="360" w:lineRule="auto"/>
        <w:jc w:val="both"/>
        <w:rPr>
          <w:rFonts w:ascii="Arial" w:hAnsi="Arial" w:cs="Arial"/>
          <w:color w:val="24292E"/>
          <w:sz w:val="22"/>
          <w:szCs w:val="22"/>
          <w:lang w:val="en-US"/>
        </w:rPr>
      </w:pPr>
      <w:r w:rsidRPr="00B60482">
        <w:rPr>
          <w:rFonts w:ascii="Arial" w:hAnsi="Arial" w:cs="Arial"/>
          <w:color w:val="24292E"/>
          <w:sz w:val="22"/>
          <w:szCs w:val="22"/>
          <w:lang w:val="en-US"/>
        </w:rPr>
        <w:t>In banking and financial services, payments are increasingly becoming the focus of interest. It can be argued that this trend is mainly attributable to two factors: Payment services represent a steady source of profit for financial institutions in prolonged low-interest periods. Moreover, the payments domain itself is being disrupted by all-digital payment solutions, based on, for example, blockchain technology.</w:t>
      </w:r>
    </w:p>
    <w:p w14:paraId="027B2FB6" w14:textId="77777777" w:rsidR="00B60482" w:rsidRPr="00B60482" w:rsidRDefault="00B60482" w:rsidP="00B60482">
      <w:pPr>
        <w:pStyle w:val="NormalWeb"/>
        <w:spacing w:before="0" w:beforeAutospacing="0" w:after="240" w:afterAutospacing="0" w:line="360" w:lineRule="auto"/>
        <w:jc w:val="both"/>
        <w:rPr>
          <w:rFonts w:ascii="Arial" w:hAnsi="Arial" w:cs="Arial"/>
          <w:color w:val="24292E"/>
          <w:sz w:val="22"/>
          <w:szCs w:val="22"/>
          <w:lang w:val="en-US"/>
        </w:rPr>
      </w:pPr>
      <w:r w:rsidRPr="00B60482">
        <w:rPr>
          <w:rFonts w:ascii="Arial" w:hAnsi="Arial" w:cs="Arial"/>
          <w:color w:val="24292E"/>
          <w:sz w:val="22"/>
          <w:szCs w:val="22"/>
          <w:lang w:val="en-US"/>
        </w:rPr>
        <w:t>The domain of payments is, however, an incredibly vast field that is all but trivial to understand. Today’s payment systems are the cumulative result of many years of regulation, private initiatives, technological innovation and other influences. It is, therefore, the goal of this paper to “cut through the noise” and provide a clear introduction into the existing payments landscape, providing innovators and entrepreneurs with the overview necessary to navigate this complex territory. Accordingly, the main contribution of this paper lies in the selection of topics being discussed—or not. This paper’s focus is the European payments sector—both because it can be considered fairly homogenized and, therefore, makes for a good subject of study as well as because most of what affects the payment markets of the individual European countries are, in fact, initiatives on a pan-European level. Consequently, however, card payments are beyond the scope of this paper, as prominent card payment schemes, e.g., MasterCard and Visa, are international schemes. Cash payments and other paper-based payment instruments such as cheques are excluded as well, as they are less relevant in the context of innovation and technology.</w:t>
      </w:r>
    </w:p>
    <w:p w14:paraId="02337AC7" w14:textId="58E5FDC6" w:rsidR="00D0437C" w:rsidRPr="000114C5" w:rsidRDefault="00B60482" w:rsidP="00B60482">
      <w:pPr>
        <w:pStyle w:val="NormalWeb"/>
        <w:spacing w:before="0" w:beforeAutospacing="0" w:after="240" w:afterAutospacing="0" w:line="360" w:lineRule="auto"/>
        <w:jc w:val="both"/>
        <w:rPr>
          <w:rFonts w:ascii="Arial" w:hAnsi="Arial" w:cs="Arial"/>
          <w:color w:val="24292E"/>
          <w:sz w:val="22"/>
          <w:szCs w:val="22"/>
          <w:lang w:val="en-US"/>
        </w:rPr>
        <w:sectPr w:rsidR="00D0437C" w:rsidRPr="000114C5" w:rsidSect="00B575B8">
          <w:headerReference w:type="default" r:id="rId18"/>
          <w:footerReference w:type="default" r:id="rId19"/>
          <w:pgSz w:w="11906" w:h="16838" w:code="9"/>
          <w:pgMar w:top="1848" w:right="2268" w:bottom="1134" w:left="1418" w:header="1134" w:footer="720" w:gutter="0"/>
          <w:cols w:space="720"/>
        </w:sectPr>
      </w:pPr>
      <w:r w:rsidRPr="00B60482">
        <w:rPr>
          <w:rFonts w:ascii="Arial" w:hAnsi="Arial" w:cs="Arial"/>
          <w:color w:val="24292E"/>
          <w:sz w:val="22"/>
          <w:szCs w:val="22"/>
          <w:lang w:val="en-US"/>
        </w:rPr>
        <w:t xml:space="preserve">Section 2 provides an overview of institutions and legislation relevant in the context of payments in Europe. The most important institutions of the European payments domain—public and private sector—are presented as well as the key EU Directives and Regulations. Section 3 addresses the most important of these regulatory initiatives—the EU Directive known as the Payment Services Directive (PSD). Both its original version of 2007 and the revised version of 2015 are discussed in terms of origin, goals and key provisions. Section 4 covers the Single Euro Payments Area (SEPA), the most important private-sector initiative in European payments. After the origins and objectives of the SEPA project are discussed, the two central payment instruments of the initiative, i.e., SEPA Credit Transfer (SCT) and SEPA Direct Debit (SDD), are introduced—only after briefly digressing into clearing and settlement </w:t>
      </w:r>
      <w:r w:rsidRPr="00B60482">
        <w:rPr>
          <w:rFonts w:ascii="Arial" w:hAnsi="Arial" w:cs="Arial"/>
          <w:color w:val="24292E"/>
          <w:sz w:val="22"/>
          <w:szCs w:val="22"/>
          <w:lang w:val="en-US"/>
        </w:rPr>
        <w:lastRenderedPageBreak/>
        <w:t>systems, however, as is necessary to understand the aforementioned payment instruments. Section 5 summarizes the findings</w:t>
      </w:r>
      <w:r w:rsidR="00495ED2" w:rsidRPr="000114C5">
        <w:rPr>
          <w:rFonts w:ascii="Arial" w:hAnsi="Arial" w:cs="Arial"/>
          <w:color w:val="24292E"/>
          <w:sz w:val="22"/>
          <w:szCs w:val="22"/>
          <w:lang w:val="en-US"/>
        </w:rPr>
        <w:t>.</w:t>
      </w:r>
    </w:p>
    <w:p w14:paraId="13F80CB8" w14:textId="6F0C83FC" w:rsidR="00146312" w:rsidRPr="000114C5" w:rsidRDefault="00B81625" w:rsidP="00B62D64">
      <w:pPr>
        <w:pStyle w:val="Heading1"/>
        <w:rPr>
          <w:lang w:val="en-US"/>
        </w:rPr>
      </w:pPr>
      <w:bookmarkStart w:id="10" w:name="_Toc53958262"/>
      <w:r>
        <w:rPr>
          <w:lang w:val="en-US"/>
        </w:rPr>
        <w:lastRenderedPageBreak/>
        <w:t>Institutions and legislation</w:t>
      </w:r>
      <w:bookmarkEnd w:id="10"/>
    </w:p>
    <w:p w14:paraId="2142773F" w14:textId="77777777" w:rsidR="00B81625" w:rsidRPr="00B81625" w:rsidRDefault="00B81625" w:rsidP="00B81625">
      <w:pPr>
        <w:pStyle w:val="NormalWeb"/>
        <w:spacing w:before="240" w:beforeAutospacing="0" w:after="240" w:afterAutospacing="0" w:line="360" w:lineRule="auto"/>
        <w:jc w:val="both"/>
        <w:rPr>
          <w:rFonts w:ascii="Arial" w:hAnsi="Arial" w:cs="Arial"/>
          <w:color w:val="24292E"/>
          <w:sz w:val="22"/>
          <w:szCs w:val="22"/>
          <w:lang w:val="en-US"/>
        </w:rPr>
      </w:pPr>
      <w:r w:rsidRPr="00B81625">
        <w:rPr>
          <w:rFonts w:ascii="Arial" w:hAnsi="Arial" w:cs="Arial"/>
          <w:color w:val="24292E"/>
          <w:sz w:val="22"/>
          <w:szCs w:val="22"/>
          <w:lang w:val="en-US"/>
        </w:rPr>
        <w:t xml:space="preserve">This section provides an overview of institutions and legislation relevant in the </w:t>
      </w:r>
      <w:proofErr w:type="gramStart"/>
      <w:r w:rsidRPr="00B81625">
        <w:rPr>
          <w:rFonts w:ascii="Arial" w:hAnsi="Arial" w:cs="Arial"/>
          <w:color w:val="24292E"/>
          <w:sz w:val="22"/>
          <w:szCs w:val="22"/>
          <w:lang w:val="en-US"/>
        </w:rPr>
        <w:t>payments</w:t>
      </w:r>
      <w:proofErr w:type="gramEnd"/>
      <w:r w:rsidRPr="00B81625">
        <w:rPr>
          <w:rFonts w:ascii="Arial" w:hAnsi="Arial" w:cs="Arial"/>
          <w:color w:val="24292E"/>
          <w:sz w:val="22"/>
          <w:szCs w:val="22"/>
          <w:lang w:val="en-US"/>
        </w:rPr>
        <w:t xml:space="preserve"> domain in Europe. It is based on the respective chapters of the report on “Payment and Securities Settlement Systems in the European Union” [</w:t>
      </w:r>
      <w:hyperlink r:id="rId20" w:anchor="r01" w:history="1">
        <w:r w:rsidRPr="001F69B9">
          <w:rPr>
            <w:rFonts w:ascii="Arial" w:hAnsi="Arial" w:cs="Arial"/>
            <w:color w:val="24292E"/>
            <w:sz w:val="22"/>
            <w:szCs w:val="22"/>
            <w:lang w:val="en-US"/>
          </w:rPr>
          <w:t>1</w:t>
        </w:r>
      </w:hyperlink>
      <w:r w:rsidRPr="00B81625">
        <w:rPr>
          <w:rFonts w:ascii="Arial" w:hAnsi="Arial" w:cs="Arial"/>
          <w:color w:val="24292E"/>
          <w:sz w:val="22"/>
          <w:szCs w:val="22"/>
          <w:lang w:val="en-US"/>
        </w:rPr>
        <w:t xml:space="preserve">] by the </w:t>
      </w:r>
      <w:r w:rsidRPr="00D96E69">
        <w:rPr>
          <w:rFonts w:ascii="Arial" w:hAnsi="Arial" w:cs="Arial"/>
          <w:b/>
          <w:bCs/>
          <w:color w:val="24292E"/>
          <w:sz w:val="22"/>
          <w:szCs w:val="22"/>
          <w:lang w:val="en-US"/>
        </w:rPr>
        <w:t>European Central Bank (ECB)</w:t>
      </w:r>
      <w:r w:rsidRPr="00B81625">
        <w:rPr>
          <w:rFonts w:ascii="Arial" w:hAnsi="Arial" w:cs="Arial"/>
          <w:color w:val="24292E"/>
          <w:sz w:val="22"/>
          <w:szCs w:val="22"/>
          <w:lang w:val="en-US"/>
        </w:rPr>
        <w:t xml:space="preserve">, which was published as the fourth edition of their so-called “Blue Book” in 2007. The information presented here has been updated and </w:t>
      </w:r>
      <w:proofErr w:type="gramStart"/>
      <w:r w:rsidRPr="00B81625">
        <w:rPr>
          <w:rFonts w:ascii="Arial" w:hAnsi="Arial" w:cs="Arial"/>
          <w:color w:val="24292E"/>
          <w:sz w:val="22"/>
          <w:szCs w:val="22"/>
          <w:lang w:val="en-US"/>
        </w:rPr>
        <w:t>extended</w:t>
      </w:r>
      <w:proofErr w:type="gramEnd"/>
      <w:r w:rsidRPr="00B81625">
        <w:rPr>
          <w:rFonts w:ascii="Arial" w:hAnsi="Arial" w:cs="Arial"/>
          <w:color w:val="24292E"/>
          <w:sz w:val="22"/>
          <w:szCs w:val="22"/>
          <w:lang w:val="en-US"/>
        </w:rPr>
        <w:t xml:space="preserve"> as necessary.</w:t>
      </w:r>
    </w:p>
    <w:p w14:paraId="0DE58188" w14:textId="77777777" w:rsidR="00B81625" w:rsidRPr="00B81625" w:rsidRDefault="00B81625" w:rsidP="00B81625">
      <w:pPr>
        <w:pStyle w:val="NormalWeb"/>
        <w:spacing w:before="0" w:beforeAutospacing="0" w:after="240" w:afterAutospacing="0" w:line="360" w:lineRule="auto"/>
        <w:jc w:val="both"/>
        <w:rPr>
          <w:rFonts w:ascii="Arial" w:hAnsi="Arial" w:cs="Arial"/>
          <w:color w:val="24292E"/>
          <w:sz w:val="22"/>
          <w:szCs w:val="22"/>
          <w:lang w:val="en-US"/>
        </w:rPr>
      </w:pPr>
      <w:r w:rsidRPr="00B81625">
        <w:rPr>
          <w:rFonts w:ascii="Arial" w:hAnsi="Arial" w:cs="Arial"/>
          <w:color w:val="24292E"/>
          <w:sz w:val="22"/>
          <w:szCs w:val="22"/>
          <w:lang w:val="en-US"/>
        </w:rPr>
        <w:t xml:space="preserve">As part of the effort to provide a “general institutional background,” the report states that different names exist “to clarify which central banks are meant in which context.” The name </w:t>
      </w:r>
      <w:proofErr w:type="spellStart"/>
      <w:r w:rsidRPr="00B81625">
        <w:rPr>
          <w:rFonts w:ascii="Arial" w:hAnsi="Arial" w:cs="Arial"/>
          <w:b/>
          <w:bCs/>
          <w:color w:val="24292E"/>
          <w:sz w:val="22"/>
          <w:szCs w:val="22"/>
          <w:lang w:val="en-US"/>
        </w:rPr>
        <w:t>Eurosystem</w:t>
      </w:r>
      <w:proofErr w:type="spellEnd"/>
      <w:r w:rsidRPr="00B81625">
        <w:rPr>
          <w:rFonts w:ascii="Arial" w:hAnsi="Arial" w:cs="Arial"/>
          <w:color w:val="24292E"/>
          <w:sz w:val="22"/>
          <w:szCs w:val="22"/>
          <w:lang w:val="en-US"/>
        </w:rPr>
        <w:t xml:space="preserve"> “comprises” the ECB as well as the </w:t>
      </w:r>
      <w:r w:rsidRPr="00B81625">
        <w:rPr>
          <w:rFonts w:ascii="Arial" w:hAnsi="Arial" w:cs="Arial"/>
          <w:b/>
          <w:bCs/>
          <w:color w:val="24292E"/>
          <w:sz w:val="22"/>
          <w:szCs w:val="22"/>
          <w:lang w:val="en-US"/>
        </w:rPr>
        <w:t>national central banks (NCBs)</w:t>
      </w:r>
      <w:r w:rsidRPr="00B81625">
        <w:rPr>
          <w:rFonts w:ascii="Arial" w:hAnsi="Arial" w:cs="Arial"/>
          <w:color w:val="24292E"/>
          <w:sz w:val="22"/>
          <w:szCs w:val="22"/>
          <w:lang w:val="en-US"/>
        </w:rPr>
        <w:t xml:space="preserve"> of the “EU Member States which have adopted the euro,” i.e., the NCBs of the </w:t>
      </w:r>
      <w:r w:rsidRPr="00B81625">
        <w:rPr>
          <w:rFonts w:ascii="Arial" w:hAnsi="Arial" w:cs="Arial"/>
          <w:b/>
          <w:bCs/>
          <w:color w:val="24292E"/>
          <w:sz w:val="22"/>
          <w:szCs w:val="22"/>
          <w:lang w:val="en-US"/>
        </w:rPr>
        <w:t>euro area</w:t>
      </w:r>
      <w:r w:rsidRPr="00B81625">
        <w:rPr>
          <w:rFonts w:ascii="Arial" w:hAnsi="Arial" w:cs="Arial"/>
          <w:color w:val="24292E"/>
          <w:sz w:val="22"/>
          <w:szCs w:val="22"/>
          <w:lang w:val="en-US"/>
        </w:rPr>
        <w:t xml:space="preserve">. The term </w:t>
      </w:r>
      <w:r w:rsidRPr="00B81625">
        <w:rPr>
          <w:rFonts w:ascii="Arial" w:hAnsi="Arial" w:cs="Arial"/>
          <w:b/>
          <w:bCs/>
          <w:color w:val="24292E"/>
          <w:sz w:val="22"/>
          <w:szCs w:val="22"/>
          <w:lang w:val="en-US"/>
        </w:rPr>
        <w:t>European System of Central Banks (ESCB)</w:t>
      </w:r>
      <w:r w:rsidRPr="00B81625">
        <w:rPr>
          <w:rFonts w:ascii="Arial" w:hAnsi="Arial" w:cs="Arial"/>
          <w:color w:val="24292E"/>
          <w:sz w:val="22"/>
          <w:szCs w:val="22"/>
          <w:lang w:val="en-US"/>
        </w:rPr>
        <w:t xml:space="preserve">, on the other hand, refers to the ECB as well as “the central banks of all EU Member States.” It is noted that those NCBs that are not part of the </w:t>
      </w:r>
      <w:proofErr w:type="spellStart"/>
      <w:r w:rsidRPr="00B81625">
        <w:rPr>
          <w:rFonts w:ascii="Arial" w:hAnsi="Arial" w:cs="Arial"/>
          <w:color w:val="24292E"/>
          <w:sz w:val="22"/>
          <w:szCs w:val="22"/>
          <w:lang w:val="en-US"/>
        </w:rPr>
        <w:t>Eurosystem</w:t>
      </w:r>
      <w:proofErr w:type="spellEnd"/>
      <w:r w:rsidRPr="00B81625">
        <w:rPr>
          <w:rFonts w:ascii="Arial" w:hAnsi="Arial" w:cs="Arial"/>
          <w:color w:val="24292E"/>
          <w:sz w:val="22"/>
          <w:szCs w:val="22"/>
          <w:lang w:val="en-US"/>
        </w:rPr>
        <w:t xml:space="preserve"> “conduct an independent monetary policy.”</w:t>
      </w:r>
    </w:p>
    <w:p w14:paraId="38A7097C" w14:textId="77777777" w:rsidR="00B81625" w:rsidRPr="00B81625" w:rsidRDefault="00B81625" w:rsidP="00B81625">
      <w:pPr>
        <w:pStyle w:val="NormalWeb"/>
        <w:spacing w:before="0" w:beforeAutospacing="0" w:after="240" w:afterAutospacing="0" w:line="360" w:lineRule="auto"/>
        <w:jc w:val="both"/>
        <w:rPr>
          <w:rFonts w:ascii="Arial" w:hAnsi="Arial" w:cs="Arial"/>
          <w:color w:val="24292E"/>
          <w:sz w:val="22"/>
          <w:szCs w:val="22"/>
          <w:lang w:val="en-US"/>
        </w:rPr>
      </w:pPr>
      <w:r w:rsidRPr="00B81625">
        <w:rPr>
          <w:rFonts w:ascii="Arial" w:hAnsi="Arial" w:cs="Arial"/>
          <w:color w:val="24292E"/>
          <w:sz w:val="22"/>
          <w:szCs w:val="22"/>
          <w:lang w:val="en-US"/>
        </w:rPr>
        <w:t xml:space="preserve">The report considers the promotion of the “smooth functioning of payment systems” as one of the “basic tasks” of the </w:t>
      </w:r>
      <w:proofErr w:type="spellStart"/>
      <w:r w:rsidRPr="00B81625">
        <w:rPr>
          <w:rFonts w:ascii="Arial" w:hAnsi="Arial" w:cs="Arial"/>
          <w:color w:val="24292E"/>
          <w:sz w:val="22"/>
          <w:szCs w:val="22"/>
          <w:lang w:val="en-US"/>
        </w:rPr>
        <w:t>Eurosystem</w:t>
      </w:r>
      <w:proofErr w:type="spellEnd"/>
      <w:r w:rsidRPr="00B81625">
        <w:rPr>
          <w:rFonts w:ascii="Arial" w:hAnsi="Arial" w:cs="Arial"/>
          <w:color w:val="24292E"/>
          <w:sz w:val="22"/>
          <w:szCs w:val="22"/>
          <w:lang w:val="en-US"/>
        </w:rPr>
        <w:t>. This is said to be “enshrined in the Treaty [establishing the European Community] and the Statute of the ESCB.” The latter is quoted to state that “the ECB and NCBs may provide facilities, and the ECB may make regulations, to ensure efficient and sound clearing and payment systems within the [European] Community and with other countries.” The Treaty is, further, interpreted as to also empower “[t]he Council of the European Union and the European Parliament [...] to adopt legal instruments,” including “rules relating to the banking industry and the provision of financial services.” Then, “main directives and regulations which have [and have had] an impact on payment [...] settlement systems” are presented—none of which, it is worth noting, resulted from the aforementioned legal competence of the ECB but from that of the Council of the European Union and the European Parliament:</w:t>
      </w:r>
    </w:p>
    <w:p w14:paraId="7B23B408" w14:textId="1D25C5B6" w:rsidR="00B81625" w:rsidRPr="00B81625" w:rsidRDefault="00B81625" w:rsidP="009627A4">
      <w:pPr>
        <w:pStyle w:val="NormalWeb"/>
        <w:numPr>
          <w:ilvl w:val="0"/>
          <w:numId w:val="8"/>
        </w:numPr>
        <w:spacing w:before="0" w:beforeAutospacing="0" w:after="120" w:afterAutospacing="0" w:line="360" w:lineRule="auto"/>
        <w:ind w:left="714" w:hanging="357"/>
        <w:jc w:val="both"/>
        <w:rPr>
          <w:rFonts w:ascii="Arial" w:hAnsi="Arial" w:cs="Arial"/>
          <w:color w:val="24292E"/>
          <w:sz w:val="22"/>
          <w:szCs w:val="22"/>
          <w:lang w:val="en-US"/>
        </w:rPr>
      </w:pPr>
      <w:r w:rsidRPr="00B81625">
        <w:rPr>
          <w:rFonts w:ascii="Arial" w:hAnsi="Arial" w:cs="Arial"/>
          <w:color w:val="24292E"/>
          <w:sz w:val="22"/>
          <w:szCs w:val="22"/>
          <w:lang w:val="en-US"/>
        </w:rPr>
        <w:t xml:space="preserve">The </w:t>
      </w:r>
      <w:r w:rsidRPr="00B81625">
        <w:rPr>
          <w:rFonts w:ascii="Arial" w:hAnsi="Arial" w:cs="Arial"/>
          <w:b/>
          <w:bCs/>
          <w:color w:val="24292E"/>
          <w:sz w:val="22"/>
          <w:szCs w:val="22"/>
          <w:lang w:val="en-US"/>
        </w:rPr>
        <w:t>Cross-Border Credit Transfers Directive</w:t>
      </w:r>
      <w:r w:rsidRPr="00B81625">
        <w:rPr>
          <w:rFonts w:ascii="Arial" w:hAnsi="Arial" w:cs="Arial"/>
          <w:color w:val="24292E"/>
          <w:sz w:val="22"/>
          <w:szCs w:val="22"/>
          <w:lang w:val="en-US"/>
        </w:rPr>
        <w:t xml:space="preserve">, formally, Directive 97/5/EC of 27 January 1997 on cross-border credit transfers, aimed at “enabling individuals and businesses to make credit transfers in euro rapidly, reliably and cheaply” throughout the EU. It was “repealed at the end of the transposition period” of the </w:t>
      </w:r>
      <w:r w:rsidRPr="00B81625">
        <w:rPr>
          <w:rFonts w:ascii="Arial" w:hAnsi="Arial" w:cs="Arial"/>
          <w:b/>
          <w:bCs/>
          <w:color w:val="24292E"/>
          <w:sz w:val="22"/>
          <w:szCs w:val="22"/>
          <w:lang w:val="en-US"/>
        </w:rPr>
        <w:t>Payment Services Directive (PSD)</w:t>
      </w:r>
      <w:r w:rsidRPr="00B81625">
        <w:rPr>
          <w:rFonts w:ascii="Arial" w:hAnsi="Arial" w:cs="Arial"/>
          <w:color w:val="24292E"/>
          <w:sz w:val="22"/>
          <w:szCs w:val="22"/>
          <w:lang w:val="en-US"/>
        </w:rPr>
        <w:t xml:space="preserve">, formally, </w:t>
      </w:r>
      <w:r w:rsidRPr="00B81625">
        <w:rPr>
          <w:rFonts w:ascii="Arial" w:hAnsi="Arial" w:cs="Arial"/>
          <w:color w:val="24292E"/>
          <w:sz w:val="22"/>
          <w:szCs w:val="22"/>
          <w:lang w:val="en-US"/>
        </w:rPr>
        <w:lastRenderedPageBreak/>
        <w:t xml:space="preserve">Directive 2007/64/EC of 13 November 2007 on payment services in the internal market, which, in turn, was replaced by the </w:t>
      </w:r>
      <w:r w:rsidRPr="00B81625">
        <w:rPr>
          <w:rFonts w:ascii="Arial" w:hAnsi="Arial" w:cs="Arial"/>
          <w:b/>
          <w:bCs/>
          <w:color w:val="24292E"/>
          <w:sz w:val="22"/>
          <w:szCs w:val="22"/>
          <w:lang w:val="en-US"/>
        </w:rPr>
        <w:t>Revised Payment Services Directive (PSD2)</w:t>
      </w:r>
      <w:r w:rsidRPr="00B81625">
        <w:rPr>
          <w:rFonts w:ascii="Arial" w:hAnsi="Arial" w:cs="Arial"/>
          <w:color w:val="24292E"/>
          <w:sz w:val="22"/>
          <w:szCs w:val="22"/>
          <w:lang w:val="en-US"/>
        </w:rPr>
        <w:t>, formally, Directive 2015/2366 of 25 November 2015 of the same name. Due to its importance in the context of this paper, the PSD—which encompasses far more than cross-border credit transfers—is covered in detail later in this paper.</w:t>
      </w:r>
    </w:p>
    <w:p w14:paraId="23BE9CE1" w14:textId="77777777" w:rsidR="00B81625" w:rsidRPr="00B81625" w:rsidRDefault="00B81625" w:rsidP="009627A4">
      <w:pPr>
        <w:pStyle w:val="NormalWeb"/>
        <w:numPr>
          <w:ilvl w:val="0"/>
          <w:numId w:val="8"/>
        </w:numPr>
        <w:spacing w:before="0" w:beforeAutospacing="0" w:after="120" w:afterAutospacing="0" w:line="360" w:lineRule="auto"/>
        <w:ind w:left="714" w:hanging="357"/>
        <w:jc w:val="both"/>
        <w:rPr>
          <w:rFonts w:ascii="Arial" w:hAnsi="Arial" w:cs="Arial"/>
          <w:color w:val="24292E"/>
          <w:sz w:val="22"/>
          <w:szCs w:val="22"/>
          <w:lang w:val="en-US"/>
        </w:rPr>
      </w:pPr>
      <w:r w:rsidRPr="00B81625">
        <w:rPr>
          <w:rFonts w:ascii="Arial" w:hAnsi="Arial" w:cs="Arial"/>
          <w:color w:val="24292E"/>
          <w:sz w:val="22"/>
          <w:szCs w:val="22"/>
          <w:lang w:val="en-US"/>
        </w:rPr>
        <w:t xml:space="preserve">The </w:t>
      </w:r>
      <w:r w:rsidRPr="00B81625">
        <w:rPr>
          <w:rFonts w:ascii="Arial" w:hAnsi="Arial" w:cs="Arial"/>
          <w:b/>
          <w:bCs/>
          <w:color w:val="24292E"/>
          <w:sz w:val="22"/>
          <w:szCs w:val="22"/>
          <w:lang w:val="en-US"/>
        </w:rPr>
        <w:t>Settlement Finality Directive (SFD)</w:t>
      </w:r>
      <w:r w:rsidRPr="00B81625">
        <w:rPr>
          <w:rFonts w:ascii="Arial" w:hAnsi="Arial" w:cs="Arial"/>
          <w:color w:val="24292E"/>
          <w:sz w:val="22"/>
          <w:szCs w:val="22"/>
          <w:lang w:val="en-US"/>
        </w:rPr>
        <w:t>, formally, Directive 98/26/EC of 19 May 1998 on settlement finality in payment and securities settlement systems, ensures that “the operations of payment and settlement systems are not stopped by the bankruptcy of a participant.” As such, one of the listed achievements of the SFD is the elimination of “the main legal risks to which payment [...] settlement systems are exposed.”</w:t>
      </w:r>
    </w:p>
    <w:p w14:paraId="629534E2" w14:textId="77777777" w:rsidR="00B81625" w:rsidRPr="00B81625" w:rsidRDefault="00B81625" w:rsidP="009627A4">
      <w:pPr>
        <w:pStyle w:val="NormalWeb"/>
        <w:numPr>
          <w:ilvl w:val="0"/>
          <w:numId w:val="8"/>
        </w:numPr>
        <w:spacing w:before="0" w:beforeAutospacing="0" w:after="120" w:afterAutospacing="0" w:line="360" w:lineRule="auto"/>
        <w:ind w:left="714" w:hanging="357"/>
        <w:jc w:val="both"/>
        <w:rPr>
          <w:rFonts w:ascii="Arial" w:hAnsi="Arial" w:cs="Arial"/>
          <w:color w:val="24292E"/>
          <w:sz w:val="22"/>
          <w:szCs w:val="22"/>
          <w:lang w:val="en-US"/>
        </w:rPr>
      </w:pPr>
      <w:r w:rsidRPr="00B81625">
        <w:rPr>
          <w:rFonts w:ascii="Arial" w:hAnsi="Arial" w:cs="Arial"/>
          <w:color w:val="24292E"/>
          <w:sz w:val="22"/>
          <w:szCs w:val="22"/>
          <w:lang w:val="en-US"/>
        </w:rPr>
        <w:t xml:space="preserve">The </w:t>
      </w:r>
      <w:r w:rsidRPr="00B81625">
        <w:rPr>
          <w:rFonts w:ascii="Arial" w:hAnsi="Arial" w:cs="Arial"/>
          <w:b/>
          <w:bCs/>
          <w:color w:val="24292E"/>
          <w:sz w:val="22"/>
          <w:szCs w:val="22"/>
          <w:lang w:val="en-US"/>
        </w:rPr>
        <w:t>E-Money Directive (EMD)</w:t>
      </w:r>
      <w:r w:rsidRPr="00B81625">
        <w:rPr>
          <w:rFonts w:ascii="Arial" w:hAnsi="Arial" w:cs="Arial"/>
          <w:color w:val="24292E"/>
          <w:sz w:val="22"/>
          <w:szCs w:val="22"/>
          <w:lang w:val="en-US"/>
        </w:rPr>
        <w:t>, formally, Directive 2000/46/EC of 18 September 2000 on the taking up, pursuit of and prudential supervision of the business of electronic money institutions, sets out to introduce “a minimum set of [...] rules for electronic money issuance” and safeguard “the financial integrity and the operations” of electronic money institutions (ELMIs), among other goals. The EMD was updated with, i.e., replaced by, Directive 2009/110/EC of 16 September 2009 of the same name.</w:t>
      </w:r>
    </w:p>
    <w:p w14:paraId="111AB771" w14:textId="77777777" w:rsidR="00B81625" w:rsidRPr="00B81625" w:rsidRDefault="00B81625" w:rsidP="009627A4">
      <w:pPr>
        <w:pStyle w:val="NormalWeb"/>
        <w:numPr>
          <w:ilvl w:val="0"/>
          <w:numId w:val="8"/>
        </w:numPr>
        <w:spacing w:before="0" w:beforeAutospacing="0" w:after="120" w:afterAutospacing="0" w:line="360" w:lineRule="auto"/>
        <w:ind w:left="714" w:hanging="357"/>
        <w:jc w:val="both"/>
        <w:rPr>
          <w:rFonts w:ascii="Arial" w:hAnsi="Arial" w:cs="Arial"/>
          <w:color w:val="24292E"/>
          <w:sz w:val="22"/>
          <w:szCs w:val="22"/>
          <w:lang w:val="en-US"/>
        </w:rPr>
      </w:pPr>
      <w:r w:rsidRPr="00B81625">
        <w:rPr>
          <w:rFonts w:ascii="Arial" w:hAnsi="Arial" w:cs="Arial"/>
          <w:color w:val="24292E"/>
          <w:sz w:val="22"/>
          <w:szCs w:val="22"/>
          <w:lang w:val="en-US"/>
        </w:rPr>
        <w:t xml:space="preserve">The </w:t>
      </w:r>
      <w:r w:rsidRPr="00B81625">
        <w:rPr>
          <w:rFonts w:ascii="Arial" w:hAnsi="Arial" w:cs="Arial"/>
          <w:b/>
          <w:bCs/>
          <w:color w:val="24292E"/>
          <w:sz w:val="22"/>
          <w:szCs w:val="22"/>
          <w:lang w:val="en-US"/>
        </w:rPr>
        <w:t>Regulation on Cross-Border Payments in Euro</w:t>
      </w:r>
      <w:r w:rsidRPr="00B81625">
        <w:rPr>
          <w:rFonts w:ascii="Arial" w:hAnsi="Arial" w:cs="Arial"/>
          <w:color w:val="24292E"/>
          <w:sz w:val="22"/>
          <w:szCs w:val="22"/>
          <w:lang w:val="en-US"/>
        </w:rPr>
        <w:t>, formally, Regulation (EC) No 2560/2001 on cross-border payments in euro, is credited with the stipulation of “the principle of equal charges by an individual credit institution for a cross-border transaction and a domestic transaction in euro within the European Union.” It has been replaced by Regulation (EC) No 924/2009 of 16 September 2009 on cross-border payments in the Community.</w:t>
      </w:r>
    </w:p>
    <w:p w14:paraId="48FC2EC3" w14:textId="77777777" w:rsidR="00B81625" w:rsidRPr="00B81625" w:rsidRDefault="00B81625" w:rsidP="009627A4">
      <w:pPr>
        <w:pStyle w:val="NormalWeb"/>
        <w:numPr>
          <w:ilvl w:val="0"/>
          <w:numId w:val="8"/>
        </w:numPr>
        <w:spacing w:before="0" w:beforeAutospacing="0" w:after="120" w:afterAutospacing="0" w:line="360" w:lineRule="auto"/>
        <w:ind w:left="714" w:hanging="357"/>
        <w:jc w:val="both"/>
        <w:rPr>
          <w:rFonts w:ascii="Arial" w:hAnsi="Arial" w:cs="Arial"/>
          <w:color w:val="24292E"/>
          <w:sz w:val="22"/>
          <w:szCs w:val="22"/>
          <w:lang w:val="en-US"/>
        </w:rPr>
      </w:pPr>
      <w:r w:rsidRPr="00B81625">
        <w:rPr>
          <w:rFonts w:ascii="Arial" w:hAnsi="Arial" w:cs="Arial"/>
          <w:color w:val="24292E"/>
          <w:sz w:val="22"/>
          <w:szCs w:val="22"/>
          <w:lang w:val="en-US"/>
        </w:rPr>
        <w:t xml:space="preserve">The </w:t>
      </w:r>
      <w:r w:rsidRPr="00B81625">
        <w:rPr>
          <w:rFonts w:ascii="Arial" w:hAnsi="Arial" w:cs="Arial"/>
          <w:b/>
          <w:bCs/>
          <w:color w:val="24292E"/>
          <w:sz w:val="22"/>
          <w:szCs w:val="22"/>
          <w:lang w:val="en-US"/>
        </w:rPr>
        <w:t>Collateral Directive</w:t>
      </w:r>
      <w:r w:rsidRPr="00B81625">
        <w:rPr>
          <w:rFonts w:ascii="Arial" w:hAnsi="Arial" w:cs="Arial"/>
          <w:color w:val="24292E"/>
          <w:sz w:val="22"/>
          <w:szCs w:val="22"/>
          <w:lang w:val="en-US"/>
        </w:rPr>
        <w:t>, formally, Directive 2002/47/EC of 6 June 2002 on financial collateral arrangements, defines collateral as “an asset or third-party claim that is accepted by the collateral-taker to secure an obligation on the part of the collateral-provider vis-à-vis the collateral-taker.” The Directive aims to ensure “the protection, validity and enforceability of the collateral agreement”</w:t>
      </w:r>
      <w:proofErr w:type="gramStart"/>
      <w:r w:rsidRPr="00B81625">
        <w:rPr>
          <w:rFonts w:ascii="Arial" w:hAnsi="Arial" w:cs="Arial"/>
          <w:color w:val="24292E"/>
          <w:sz w:val="22"/>
          <w:szCs w:val="22"/>
          <w:lang w:val="en-US"/>
        </w:rPr>
        <w:t>—“</w:t>
      </w:r>
      <w:proofErr w:type="gramEnd"/>
      <w:r w:rsidRPr="00B81625">
        <w:rPr>
          <w:rFonts w:ascii="Arial" w:hAnsi="Arial" w:cs="Arial"/>
          <w:color w:val="24292E"/>
          <w:sz w:val="22"/>
          <w:szCs w:val="22"/>
          <w:lang w:val="en-US"/>
        </w:rPr>
        <w:t>also in the event of the opening of insolvency proceedings.” Other goals include “the removal of the major obstacles to the (cross-border) use of collateral.”</w:t>
      </w:r>
    </w:p>
    <w:p w14:paraId="0D9AB7F9" w14:textId="77777777" w:rsidR="00B81625" w:rsidRPr="00B81625" w:rsidRDefault="00B81625" w:rsidP="009627A4">
      <w:pPr>
        <w:pStyle w:val="NormalWeb"/>
        <w:numPr>
          <w:ilvl w:val="0"/>
          <w:numId w:val="8"/>
        </w:numPr>
        <w:spacing w:before="0" w:beforeAutospacing="0" w:after="120" w:afterAutospacing="0" w:line="360" w:lineRule="auto"/>
        <w:ind w:left="714" w:hanging="357"/>
        <w:jc w:val="both"/>
        <w:rPr>
          <w:rFonts w:ascii="Arial" w:hAnsi="Arial" w:cs="Arial"/>
          <w:color w:val="24292E"/>
          <w:sz w:val="22"/>
          <w:szCs w:val="22"/>
          <w:lang w:val="en-US"/>
        </w:rPr>
      </w:pPr>
      <w:r w:rsidRPr="00B81625">
        <w:rPr>
          <w:rFonts w:ascii="Arial" w:hAnsi="Arial" w:cs="Arial"/>
          <w:color w:val="24292E"/>
          <w:sz w:val="22"/>
          <w:szCs w:val="22"/>
          <w:lang w:val="en-US"/>
        </w:rPr>
        <w:lastRenderedPageBreak/>
        <w:t xml:space="preserve">The </w:t>
      </w:r>
      <w:r w:rsidRPr="00B81625">
        <w:rPr>
          <w:rFonts w:ascii="Arial" w:hAnsi="Arial" w:cs="Arial"/>
          <w:b/>
          <w:bCs/>
          <w:color w:val="24292E"/>
          <w:sz w:val="22"/>
          <w:szCs w:val="22"/>
          <w:lang w:val="en-US"/>
        </w:rPr>
        <w:t>Markets in Financial Instruments Directive (MiFID)</w:t>
      </w:r>
      <w:r w:rsidRPr="00B81625">
        <w:rPr>
          <w:rFonts w:ascii="Arial" w:hAnsi="Arial" w:cs="Arial"/>
          <w:color w:val="24292E"/>
          <w:sz w:val="22"/>
          <w:szCs w:val="22"/>
          <w:lang w:val="en-US"/>
        </w:rPr>
        <w:t xml:space="preserve">, formally, Directive 2004/39/EC on markets in financial instruments, is credited with establishing—“for the first time”—“a comprehensive regulatory framework governing the </w:t>
      </w:r>
      <w:proofErr w:type="spellStart"/>
      <w:r w:rsidRPr="00B81625">
        <w:rPr>
          <w:rFonts w:ascii="Arial" w:hAnsi="Arial" w:cs="Arial"/>
          <w:color w:val="24292E"/>
          <w:sz w:val="22"/>
          <w:szCs w:val="22"/>
          <w:lang w:val="en-US"/>
        </w:rPr>
        <w:t>organi</w:t>
      </w:r>
      <w:proofErr w:type="spellEnd"/>
      <w:r w:rsidRPr="00B81625">
        <w:rPr>
          <w:rFonts w:ascii="Arial" w:hAnsi="Arial" w:cs="Arial"/>
          <w:color w:val="24292E"/>
          <w:sz w:val="22"/>
          <w:szCs w:val="22"/>
          <w:lang w:val="en-US"/>
        </w:rPr>
        <w:t>[z]ed execution of investor transactions by exchanges, other trading systems and investment firms.” As such, it “imposes” an obligation to “execute client orders on the terms that are most fav[o]</w:t>
      </w:r>
      <w:proofErr w:type="spellStart"/>
      <w:r w:rsidRPr="00B81625">
        <w:rPr>
          <w:rFonts w:ascii="Arial" w:hAnsi="Arial" w:cs="Arial"/>
          <w:color w:val="24292E"/>
          <w:sz w:val="22"/>
          <w:szCs w:val="22"/>
          <w:lang w:val="en-US"/>
        </w:rPr>
        <w:t>rable</w:t>
      </w:r>
      <w:proofErr w:type="spellEnd"/>
      <w:r w:rsidRPr="00B81625">
        <w:rPr>
          <w:rFonts w:ascii="Arial" w:hAnsi="Arial" w:cs="Arial"/>
          <w:color w:val="24292E"/>
          <w:sz w:val="22"/>
          <w:szCs w:val="22"/>
          <w:lang w:val="en-US"/>
        </w:rPr>
        <w:t xml:space="preserve"> to the client.” It was replaced by the </w:t>
      </w:r>
      <w:r w:rsidRPr="00B81625">
        <w:rPr>
          <w:rFonts w:ascii="Arial" w:hAnsi="Arial" w:cs="Arial"/>
          <w:b/>
          <w:bCs/>
          <w:color w:val="24292E"/>
          <w:sz w:val="22"/>
          <w:szCs w:val="22"/>
          <w:lang w:val="en-US"/>
        </w:rPr>
        <w:t>Revised Markets in Financial Instruments Directive (MiFID2)</w:t>
      </w:r>
      <w:r w:rsidRPr="00B81625">
        <w:rPr>
          <w:rFonts w:ascii="Arial" w:hAnsi="Arial" w:cs="Arial"/>
          <w:color w:val="24292E"/>
          <w:sz w:val="22"/>
          <w:szCs w:val="22"/>
          <w:lang w:val="en-US"/>
        </w:rPr>
        <w:t>, formally, Directive 2014/65/EU of 15 May 2014 of the same name.</w:t>
      </w:r>
    </w:p>
    <w:p w14:paraId="039089BA" w14:textId="4E55EE75" w:rsidR="00B81625" w:rsidRPr="00B81625" w:rsidRDefault="00B81625" w:rsidP="00B81625">
      <w:pPr>
        <w:pStyle w:val="NormalWeb"/>
        <w:numPr>
          <w:ilvl w:val="0"/>
          <w:numId w:val="8"/>
        </w:numPr>
        <w:spacing w:before="0" w:beforeAutospacing="0" w:after="240" w:afterAutospacing="0" w:line="360" w:lineRule="auto"/>
        <w:jc w:val="both"/>
        <w:rPr>
          <w:rFonts w:ascii="Arial" w:hAnsi="Arial" w:cs="Arial"/>
          <w:color w:val="24292E"/>
          <w:sz w:val="22"/>
          <w:szCs w:val="22"/>
          <w:lang w:val="en-US"/>
        </w:rPr>
      </w:pPr>
      <w:r w:rsidRPr="00B81625">
        <w:rPr>
          <w:rFonts w:ascii="Arial" w:hAnsi="Arial" w:cs="Arial"/>
          <w:color w:val="24292E"/>
          <w:sz w:val="22"/>
          <w:szCs w:val="22"/>
          <w:lang w:val="en-US"/>
        </w:rPr>
        <w:t xml:space="preserve">The </w:t>
      </w:r>
      <w:r w:rsidRPr="00B81625">
        <w:rPr>
          <w:rFonts w:ascii="Arial" w:hAnsi="Arial" w:cs="Arial"/>
          <w:b/>
          <w:bCs/>
          <w:color w:val="24292E"/>
          <w:sz w:val="22"/>
          <w:szCs w:val="22"/>
          <w:lang w:val="en-US"/>
        </w:rPr>
        <w:t>SEPA Regulation</w:t>
      </w:r>
      <w:r w:rsidRPr="00B81625">
        <w:rPr>
          <w:rFonts w:ascii="Arial" w:hAnsi="Arial" w:cs="Arial"/>
          <w:color w:val="24292E"/>
          <w:sz w:val="22"/>
          <w:szCs w:val="22"/>
          <w:lang w:val="en-US"/>
        </w:rPr>
        <w:t xml:space="preserve">, formally, Regulation (EU) No 260/2012 of 14 March 2012 establishing technical and business requirements for credit transfers and direct debits in euro, is part of the legal framework of the </w:t>
      </w:r>
      <w:r w:rsidRPr="00B81625">
        <w:rPr>
          <w:rFonts w:ascii="Arial" w:hAnsi="Arial" w:cs="Arial"/>
          <w:b/>
          <w:bCs/>
          <w:color w:val="24292E"/>
          <w:sz w:val="22"/>
          <w:szCs w:val="22"/>
          <w:lang w:val="en-US"/>
        </w:rPr>
        <w:t>Single Euro Payments Area (SEPA)</w:t>
      </w:r>
      <w:r w:rsidRPr="00B81625">
        <w:rPr>
          <w:rFonts w:ascii="Arial" w:hAnsi="Arial" w:cs="Arial"/>
          <w:color w:val="24292E"/>
          <w:sz w:val="22"/>
          <w:szCs w:val="22"/>
          <w:lang w:val="en-US"/>
        </w:rPr>
        <w:t>, which is described in detail later in this paper. The European Union’s web site [</w:t>
      </w:r>
      <w:r w:rsidRPr="001F69B9">
        <w:rPr>
          <w:rFonts w:ascii="Arial" w:hAnsi="Arial" w:cs="Arial"/>
          <w:sz w:val="22"/>
          <w:szCs w:val="22"/>
          <w:lang w:val="en-US"/>
        </w:rPr>
        <w:t>2</w:t>
      </w:r>
      <w:r w:rsidRPr="00B81625">
        <w:rPr>
          <w:rFonts w:ascii="Arial" w:hAnsi="Arial" w:cs="Arial"/>
          <w:color w:val="24292E"/>
          <w:sz w:val="22"/>
          <w:szCs w:val="22"/>
          <w:lang w:val="en-US"/>
        </w:rPr>
        <w:t>] summarizes that “[t]he SEPA regulation [...] sets the rules and a deadline in [...] 2014 [...] for euro area countries to make credit transfers and direct debits in euro under the same conditions.”</w:t>
      </w:r>
    </w:p>
    <w:p w14:paraId="5B0055DF" w14:textId="7AF1EA93" w:rsidR="00B81625" w:rsidRPr="00B81625" w:rsidRDefault="00B81625" w:rsidP="00B81625">
      <w:pPr>
        <w:pStyle w:val="NormalWeb"/>
        <w:spacing w:before="0" w:beforeAutospacing="0" w:after="240" w:afterAutospacing="0" w:line="360" w:lineRule="auto"/>
        <w:jc w:val="both"/>
        <w:rPr>
          <w:rFonts w:ascii="Arial" w:hAnsi="Arial" w:cs="Arial"/>
          <w:color w:val="24292E"/>
          <w:sz w:val="22"/>
          <w:szCs w:val="22"/>
          <w:lang w:val="en-US"/>
        </w:rPr>
      </w:pPr>
      <w:r w:rsidRPr="00B81625">
        <w:rPr>
          <w:rFonts w:ascii="Arial" w:hAnsi="Arial" w:cs="Arial"/>
          <w:color w:val="24292E"/>
          <w:sz w:val="22"/>
          <w:szCs w:val="22"/>
          <w:lang w:val="en-US"/>
        </w:rPr>
        <w:t xml:space="preserve">The report states that—in the effort of honoring the aforementioned tasks of the </w:t>
      </w:r>
      <w:proofErr w:type="spellStart"/>
      <w:r w:rsidRPr="00B81625">
        <w:rPr>
          <w:rFonts w:ascii="Arial" w:hAnsi="Arial" w:cs="Arial"/>
          <w:color w:val="24292E"/>
          <w:sz w:val="22"/>
          <w:szCs w:val="22"/>
          <w:lang w:val="en-US"/>
        </w:rPr>
        <w:t>Eurosystem</w:t>
      </w:r>
      <w:proofErr w:type="spellEnd"/>
      <w:r w:rsidRPr="00B81625">
        <w:rPr>
          <w:rFonts w:ascii="Arial" w:hAnsi="Arial" w:cs="Arial"/>
          <w:color w:val="24292E"/>
          <w:sz w:val="22"/>
          <w:szCs w:val="22"/>
          <w:lang w:val="en-US"/>
        </w:rPr>
        <w:t>, specifically, the smooth functioning of payment systems—the ECB and the respective NCBs have “traditionally been involved in payment, clearing and settlement systems” in a variety of ways, including as “participants,” “operators,” “promoters” and “overseers.” The fact that, on the one hand, “the payment and settlement services offered by the private sector are overseen by central banks,” and, on the other hand, they “also offer settlement services themselves and sometimes assume an operational role in payment systems,” is called the “dual role of regulator [...] and service provider,” which, in turn, is said to be “</w:t>
      </w:r>
      <w:proofErr w:type="spellStart"/>
      <w:r w:rsidRPr="00B81625">
        <w:rPr>
          <w:rFonts w:ascii="Arial" w:hAnsi="Arial" w:cs="Arial"/>
          <w:color w:val="24292E"/>
          <w:sz w:val="22"/>
          <w:szCs w:val="22"/>
          <w:lang w:val="en-US"/>
        </w:rPr>
        <w:t>emphasi</w:t>
      </w:r>
      <w:proofErr w:type="spellEnd"/>
      <w:r w:rsidRPr="00B81625">
        <w:rPr>
          <w:rFonts w:ascii="Arial" w:hAnsi="Arial" w:cs="Arial"/>
          <w:color w:val="24292E"/>
          <w:sz w:val="22"/>
          <w:szCs w:val="22"/>
          <w:lang w:val="en-US"/>
        </w:rPr>
        <w:t xml:space="preserve">[z]ed” in the Statute of the ESCB. With regards to the </w:t>
      </w:r>
      <w:proofErr w:type="spellStart"/>
      <w:r w:rsidRPr="00B81625">
        <w:rPr>
          <w:rFonts w:ascii="Arial" w:hAnsi="Arial" w:cs="Arial"/>
          <w:color w:val="24292E"/>
          <w:sz w:val="22"/>
          <w:szCs w:val="22"/>
          <w:lang w:val="en-US"/>
        </w:rPr>
        <w:t>Eurosystem’s</w:t>
      </w:r>
      <w:proofErr w:type="spellEnd"/>
      <w:r w:rsidRPr="00B81625">
        <w:rPr>
          <w:rFonts w:ascii="Arial" w:hAnsi="Arial" w:cs="Arial"/>
          <w:color w:val="24292E"/>
          <w:sz w:val="22"/>
          <w:szCs w:val="22"/>
          <w:lang w:val="en-US"/>
        </w:rPr>
        <w:t xml:space="preserve"> role as overseer, it is noted that “both large-value and retail payment systems” are covered by such oversight. Furthermore, it is noted that both “[s]</w:t>
      </w:r>
      <w:proofErr w:type="spellStart"/>
      <w:r w:rsidRPr="00B81625">
        <w:rPr>
          <w:rFonts w:ascii="Arial" w:hAnsi="Arial" w:cs="Arial"/>
          <w:color w:val="24292E"/>
          <w:sz w:val="22"/>
          <w:szCs w:val="22"/>
          <w:lang w:val="en-US"/>
        </w:rPr>
        <w:t>ystems</w:t>
      </w:r>
      <w:proofErr w:type="spellEnd"/>
      <w:r w:rsidRPr="00B81625">
        <w:rPr>
          <w:rFonts w:ascii="Arial" w:hAnsi="Arial" w:cs="Arial"/>
          <w:color w:val="24292E"/>
          <w:sz w:val="22"/>
          <w:szCs w:val="22"/>
          <w:lang w:val="en-US"/>
        </w:rPr>
        <w:t xml:space="preserve"> managed by the </w:t>
      </w:r>
      <w:proofErr w:type="spellStart"/>
      <w:r w:rsidRPr="00B81625">
        <w:rPr>
          <w:rFonts w:ascii="Arial" w:hAnsi="Arial" w:cs="Arial"/>
          <w:color w:val="24292E"/>
          <w:sz w:val="22"/>
          <w:szCs w:val="22"/>
          <w:lang w:val="en-US"/>
        </w:rPr>
        <w:t>Eurosystem</w:t>
      </w:r>
      <w:proofErr w:type="spellEnd"/>
      <w:r w:rsidRPr="00B81625">
        <w:rPr>
          <w:rFonts w:ascii="Arial" w:hAnsi="Arial" w:cs="Arial"/>
          <w:color w:val="24292E"/>
          <w:sz w:val="22"/>
          <w:szCs w:val="22"/>
          <w:lang w:val="en-US"/>
        </w:rPr>
        <w:t xml:space="preserve"> and privately operated” ones are “subject to the same standards.” With regards to the </w:t>
      </w:r>
      <w:proofErr w:type="spellStart"/>
      <w:r w:rsidRPr="00B81625">
        <w:rPr>
          <w:rFonts w:ascii="Arial" w:hAnsi="Arial" w:cs="Arial"/>
          <w:color w:val="24292E"/>
          <w:sz w:val="22"/>
          <w:szCs w:val="22"/>
          <w:lang w:val="en-US"/>
        </w:rPr>
        <w:t>Eurosystem’s</w:t>
      </w:r>
      <w:proofErr w:type="spellEnd"/>
      <w:r w:rsidRPr="00B81625">
        <w:rPr>
          <w:rFonts w:ascii="Arial" w:hAnsi="Arial" w:cs="Arial"/>
          <w:color w:val="24292E"/>
          <w:sz w:val="22"/>
          <w:szCs w:val="22"/>
          <w:lang w:val="en-US"/>
        </w:rPr>
        <w:t xml:space="preserve"> role as operator, it is stated that “[t]he main operational role of the </w:t>
      </w:r>
      <w:proofErr w:type="spellStart"/>
      <w:r w:rsidRPr="00B81625">
        <w:rPr>
          <w:rFonts w:ascii="Arial" w:hAnsi="Arial" w:cs="Arial"/>
          <w:color w:val="24292E"/>
          <w:sz w:val="22"/>
          <w:szCs w:val="22"/>
          <w:lang w:val="en-US"/>
        </w:rPr>
        <w:t>Eurosystem</w:t>
      </w:r>
      <w:proofErr w:type="spellEnd"/>
      <w:r w:rsidRPr="00B81625">
        <w:rPr>
          <w:rFonts w:ascii="Arial" w:hAnsi="Arial" w:cs="Arial"/>
          <w:color w:val="24292E"/>
          <w:sz w:val="22"/>
          <w:szCs w:val="22"/>
          <w:lang w:val="en-US"/>
        </w:rPr>
        <w:t xml:space="preserve"> lies in the provision of the TARGET system”—“the real-time gross settlement system for the euro.” Due to its importance in the context of the topic this paper, the TARGET system is covered later in this paper.</w:t>
      </w:r>
    </w:p>
    <w:p w14:paraId="36EB39C8" w14:textId="77777777" w:rsidR="00B81625" w:rsidRPr="00B81625" w:rsidRDefault="00B81625" w:rsidP="00B81625">
      <w:pPr>
        <w:pStyle w:val="NormalWeb"/>
        <w:spacing w:before="0" w:beforeAutospacing="0" w:after="240" w:afterAutospacing="0" w:line="360" w:lineRule="auto"/>
        <w:jc w:val="both"/>
        <w:rPr>
          <w:rFonts w:ascii="Arial" w:hAnsi="Arial" w:cs="Arial"/>
          <w:color w:val="24292E"/>
          <w:sz w:val="22"/>
          <w:szCs w:val="22"/>
          <w:lang w:val="en-US"/>
        </w:rPr>
      </w:pPr>
      <w:r w:rsidRPr="00B81625">
        <w:rPr>
          <w:rFonts w:ascii="Arial" w:hAnsi="Arial" w:cs="Arial"/>
          <w:color w:val="24292E"/>
          <w:sz w:val="22"/>
          <w:szCs w:val="22"/>
          <w:lang w:val="en-US"/>
        </w:rPr>
        <w:t xml:space="preserve">The report proceeds to present “other public and private sector bodies” relevant in the payments domain in Europe. Among the public sector bodies described are the three </w:t>
      </w:r>
      <w:r w:rsidRPr="00B81625">
        <w:rPr>
          <w:rFonts w:ascii="Arial" w:hAnsi="Arial" w:cs="Arial"/>
          <w:color w:val="24292E"/>
          <w:sz w:val="22"/>
          <w:szCs w:val="22"/>
          <w:lang w:val="en-US"/>
        </w:rPr>
        <w:lastRenderedPageBreak/>
        <w:t xml:space="preserve">main institutions of the EU, i.e., the European Commission, the Council of the European Union and the European Parliament. The tasks attributed to those in the context of payments include the “further </w:t>
      </w:r>
      <w:proofErr w:type="spellStart"/>
      <w:r w:rsidRPr="00B81625">
        <w:rPr>
          <w:rFonts w:ascii="Arial" w:hAnsi="Arial" w:cs="Arial"/>
          <w:color w:val="24292E"/>
          <w:sz w:val="22"/>
          <w:szCs w:val="22"/>
          <w:lang w:val="en-US"/>
        </w:rPr>
        <w:t>harmoni</w:t>
      </w:r>
      <w:proofErr w:type="spellEnd"/>
      <w:r w:rsidRPr="00B81625">
        <w:rPr>
          <w:rFonts w:ascii="Arial" w:hAnsi="Arial" w:cs="Arial"/>
          <w:color w:val="24292E"/>
          <w:sz w:val="22"/>
          <w:szCs w:val="22"/>
          <w:lang w:val="en-US"/>
        </w:rPr>
        <w:t>[z]</w:t>
      </w:r>
      <w:proofErr w:type="spellStart"/>
      <w:r w:rsidRPr="00B81625">
        <w:rPr>
          <w:rFonts w:ascii="Arial" w:hAnsi="Arial" w:cs="Arial"/>
          <w:color w:val="24292E"/>
          <w:sz w:val="22"/>
          <w:szCs w:val="22"/>
          <w:lang w:val="en-US"/>
        </w:rPr>
        <w:t>ation</w:t>
      </w:r>
      <w:proofErr w:type="spellEnd"/>
      <w:r w:rsidRPr="00B81625">
        <w:rPr>
          <w:rFonts w:ascii="Arial" w:hAnsi="Arial" w:cs="Arial"/>
          <w:color w:val="24292E"/>
          <w:sz w:val="22"/>
          <w:szCs w:val="22"/>
          <w:lang w:val="en-US"/>
        </w:rPr>
        <w:t xml:space="preserve"> of the laws within the European Union, including those which have an impact on payment systems” as well as the creation of “a single market with a level playing-field and equal opportunities throughout the EU.” As to the relevant private sector bodies, the following are introduced:</w:t>
      </w:r>
    </w:p>
    <w:p w14:paraId="79148B77" w14:textId="77777777" w:rsidR="00B81625" w:rsidRPr="00B81625" w:rsidRDefault="00B81625" w:rsidP="009627A4">
      <w:pPr>
        <w:pStyle w:val="NormalWeb"/>
        <w:numPr>
          <w:ilvl w:val="0"/>
          <w:numId w:val="9"/>
        </w:numPr>
        <w:spacing w:before="0" w:beforeAutospacing="0" w:after="120" w:afterAutospacing="0" w:line="360" w:lineRule="auto"/>
        <w:ind w:left="714" w:hanging="357"/>
        <w:jc w:val="both"/>
        <w:rPr>
          <w:rFonts w:ascii="Arial" w:hAnsi="Arial" w:cs="Arial"/>
          <w:color w:val="24292E"/>
          <w:sz w:val="22"/>
          <w:szCs w:val="22"/>
          <w:lang w:val="en-US"/>
        </w:rPr>
      </w:pPr>
      <w:r w:rsidRPr="00B81625">
        <w:rPr>
          <w:rFonts w:ascii="Arial" w:hAnsi="Arial" w:cs="Arial"/>
          <w:color w:val="24292E"/>
          <w:sz w:val="22"/>
          <w:szCs w:val="22"/>
          <w:lang w:val="en-US"/>
        </w:rPr>
        <w:t xml:space="preserve">The </w:t>
      </w:r>
      <w:r w:rsidRPr="00B81625">
        <w:rPr>
          <w:rFonts w:ascii="Arial" w:hAnsi="Arial" w:cs="Arial"/>
          <w:b/>
          <w:bCs/>
          <w:color w:val="24292E"/>
          <w:sz w:val="22"/>
          <w:szCs w:val="22"/>
          <w:lang w:val="en-US"/>
        </w:rPr>
        <w:t>European Association of Co-operative Banks (EACB)</w:t>
      </w:r>
      <w:r w:rsidRPr="00B81625">
        <w:rPr>
          <w:rFonts w:ascii="Arial" w:hAnsi="Arial" w:cs="Arial"/>
          <w:color w:val="24292E"/>
          <w:sz w:val="22"/>
          <w:szCs w:val="22"/>
          <w:lang w:val="en-US"/>
        </w:rPr>
        <w:t xml:space="preserve">, the </w:t>
      </w:r>
      <w:r w:rsidRPr="00B81625">
        <w:rPr>
          <w:rFonts w:ascii="Arial" w:hAnsi="Arial" w:cs="Arial"/>
          <w:b/>
          <w:bCs/>
          <w:color w:val="24292E"/>
          <w:sz w:val="22"/>
          <w:szCs w:val="22"/>
          <w:lang w:val="en-US"/>
        </w:rPr>
        <w:t>European Savings Banks Group (ESBG)</w:t>
      </w:r>
      <w:r w:rsidRPr="00B81625">
        <w:rPr>
          <w:rFonts w:ascii="Arial" w:hAnsi="Arial" w:cs="Arial"/>
          <w:color w:val="24292E"/>
          <w:sz w:val="22"/>
          <w:szCs w:val="22"/>
          <w:lang w:val="en-US"/>
        </w:rPr>
        <w:t xml:space="preserve"> and the </w:t>
      </w:r>
      <w:r w:rsidRPr="00B81625">
        <w:rPr>
          <w:rFonts w:ascii="Arial" w:hAnsi="Arial" w:cs="Arial"/>
          <w:b/>
          <w:bCs/>
          <w:color w:val="24292E"/>
          <w:sz w:val="22"/>
          <w:szCs w:val="22"/>
          <w:lang w:val="en-US"/>
        </w:rPr>
        <w:t>European Banking Federation (EBF)</w:t>
      </w:r>
      <w:r w:rsidRPr="00B81625">
        <w:rPr>
          <w:rFonts w:ascii="Arial" w:hAnsi="Arial" w:cs="Arial"/>
          <w:color w:val="24292E"/>
          <w:sz w:val="22"/>
          <w:szCs w:val="22"/>
          <w:lang w:val="en-US"/>
        </w:rPr>
        <w:t xml:space="preserve"> are considered European “banking federations and associations.” As “[m]</w:t>
      </w:r>
      <w:proofErr w:type="spellStart"/>
      <w:r w:rsidRPr="00B81625">
        <w:rPr>
          <w:rFonts w:ascii="Arial" w:hAnsi="Arial" w:cs="Arial"/>
          <w:color w:val="24292E"/>
          <w:sz w:val="22"/>
          <w:szCs w:val="22"/>
          <w:lang w:val="en-US"/>
        </w:rPr>
        <w:t>ost</w:t>
      </w:r>
      <w:proofErr w:type="spellEnd"/>
      <w:r w:rsidRPr="00B81625">
        <w:rPr>
          <w:rFonts w:ascii="Arial" w:hAnsi="Arial" w:cs="Arial"/>
          <w:color w:val="24292E"/>
          <w:sz w:val="22"/>
          <w:szCs w:val="22"/>
          <w:lang w:val="en-US"/>
        </w:rPr>
        <w:t xml:space="preserve"> banks in the EU are </w:t>
      </w:r>
      <w:proofErr w:type="spellStart"/>
      <w:r w:rsidRPr="00B81625">
        <w:rPr>
          <w:rFonts w:ascii="Arial" w:hAnsi="Arial" w:cs="Arial"/>
          <w:color w:val="24292E"/>
          <w:sz w:val="22"/>
          <w:szCs w:val="22"/>
          <w:lang w:val="en-US"/>
        </w:rPr>
        <w:t>organi</w:t>
      </w:r>
      <w:proofErr w:type="spellEnd"/>
      <w:r w:rsidRPr="00B81625">
        <w:rPr>
          <w:rFonts w:ascii="Arial" w:hAnsi="Arial" w:cs="Arial"/>
          <w:color w:val="24292E"/>
          <w:sz w:val="22"/>
          <w:szCs w:val="22"/>
          <w:lang w:val="en-US"/>
        </w:rPr>
        <w:t xml:space="preserve">[z]ed into national federations or associations,” it is explained, these then “cooperate at the European level” in the </w:t>
      </w:r>
      <w:proofErr w:type="gramStart"/>
      <w:r w:rsidRPr="00B81625">
        <w:rPr>
          <w:rFonts w:ascii="Arial" w:hAnsi="Arial" w:cs="Arial"/>
          <w:color w:val="24292E"/>
          <w:sz w:val="22"/>
          <w:szCs w:val="22"/>
          <w:lang w:val="en-US"/>
        </w:rPr>
        <w:t>aforementioned organizations</w:t>
      </w:r>
      <w:proofErr w:type="gramEnd"/>
      <w:r w:rsidRPr="00B81625">
        <w:rPr>
          <w:rFonts w:ascii="Arial" w:hAnsi="Arial" w:cs="Arial"/>
          <w:color w:val="24292E"/>
          <w:sz w:val="22"/>
          <w:szCs w:val="22"/>
          <w:lang w:val="en-US"/>
        </w:rPr>
        <w:t>.</w:t>
      </w:r>
    </w:p>
    <w:p w14:paraId="24373DF5" w14:textId="45E821B5" w:rsidR="00B81625" w:rsidRPr="00B81625" w:rsidRDefault="00B81625" w:rsidP="009627A4">
      <w:pPr>
        <w:pStyle w:val="NormalWeb"/>
        <w:numPr>
          <w:ilvl w:val="0"/>
          <w:numId w:val="9"/>
        </w:numPr>
        <w:spacing w:before="0" w:beforeAutospacing="0" w:after="120" w:afterAutospacing="0" w:line="360" w:lineRule="auto"/>
        <w:ind w:left="714" w:hanging="357"/>
        <w:jc w:val="both"/>
        <w:rPr>
          <w:rFonts w:ascii="Arial" w:hAnsi="Arial" w:cs="Arial"/>
          <w:color w:val="24292E"/>
          <w:sz w:val="22"/>
          <w:szCs w:val="22"/>
          <w:lang w:val="en-US"/>
        </w:rPr>
      </w:pPr>
      <w:r w:rsidRPr="00B81625">
        <w:rPr>
          <w:rFonts w:ascii="Arial" w:hAnsi="Arial" w:cs="Arial"/>
          <w:color w:val="24292E"/>
          <w:sz w:val="22"/>
          <w:szCs w:val="22"/>
          <w:lang w:val="en-US"/>
        </w:rPr>
        <w:t xml:space="preserve">The </w:t>
      </w:r>
      <w:r w:rsidRPr="00B81625">
        <w:rPr>
          <w:rFonts w:ascii="Arial" w:hAnsi="Arial" w:cs="Arial"/>
          <w:b/>
          <w:bCs/>
          <w:color w:val="24292E"/>
          <w:sz w:val="22"/>
          <w:szCs w:val="22"/>
          <w:lang w:val="en-US"/>
        </w:rPr>
        <w:t>European Payments Council (EPC)</w:t>
      </w:r>
      <w:r w:rsidRPr="00B81625">
        <w:rPr>
          <w:rFonts w:ascii="Arial" w:hAnsi="Arial" w:cs="Arial"/>
          <w:color w:val="24292E"/>
          <w:sz w:val="22"/>
          <w:szCs w:val="22"/>
          <w:lang w:val="en-US"/>
        </w:rPr>
        <w:t xml:space="preserve"> and the </w:t>
      </w:r>
      <w:r w:rsidRPr="00B81625">
        <w:rPr>
          <w:rFonts w:ascii="Arial" w:hAnsi="Arial" w:cs="Arial"/>
          <w:b/>
          <w:bCs/>
          <w:color w:val="24292E"/>
          <w:sz w:val="22"/>
          <w:szCs w:val="22"/>
          <w:lang w:val="en-US"/>
        </w:rPr>
        <w:t>Euro Banking Association (EBA)</w:t>
      </w:r>
      <w:r w:rsidRPr="00B81625">
        <w:rPr>
          <w:rFonts w:ascii="Arial" w:hAnsi="Arial" w:cs="Arial"/>
          <w:color w:val="24292E"/>
          <w:sz w:val="22"/>
          <w:szCs w:val="22"/>
          <w:lang w:val="en-US"/>
        </w:rPr>
        <w:t xml:space="preserve"> are considered the “most prominent fora in the payments market.” The EPC is described to have been set up as a “self-regulatory body” by the “European banking industry” in order “to manage the SEPA project,” which is covered in detail later in this paper. The EBA is described as a “cooperative undertaking of over 190 member banks from EU countries” as well as the United States, China, India and others. It “established” </w:t>
      </w:r>
      <w:r w:rsidRPr="00B81625">
        <w:rPr>
          <w:rFonts w:ascii="Arial" w:hAnsi="Arial" w:cs="Arial"/>
          <w:b/>
          <w:bCs/>
          <w:color w:val="24292E"/>
          <w:sz w:val="22"/>
          <w:szCs w:val="22"/>
          <w:lang w:val="en-US"/>
        </w:rPr>
        <w:t>EBA Clearing</w:t>
      </w:r>
      <w:r w:rsidRPr="00B81625">
        <w:rPr>
          <w:rFonts w:ascii="Arial" w:hAnsi="Arial" w:cs="Arial"/>
          <w:color w:val="24292E"/>
          <w:sz w:val="22"/>
          <w:szCs w:val="22"/>
          <w:lang w:val="en-US"/>
        </w:rPr>
        <w:t xml:space="preserve"> as a “separate entity,” which, as its name suggests, operates payment systems, some of which are covered later in this paper.</w:t>
      </w:r>
    </w:p>
    <w:p w14:paraId="76509EDE" w14:textId="77777777" w:rsidR="00B81625" w:rsidRPr="00B81625" w:rsidRDefault="00B81625" w:rsidP="00B81625">
      <w:pPr>
        <w:pStyle w:val="NormalWeb"/>
        <w:numPr>
          <w:ilvl w:val="0"/>
          <w:numId w:val="9"/>
        </w:numPr>
        <w:spacing w:before="0" w:beforeAutospacing="0" w:after="240" w:afterAutospacing="0" w:line="360" w:lineRule="auto"/>
        <w:jc w:val="both"/>
        <w:rPr>
          <w:rFonts w:ascii="Arial" w:hAnsi="Arial" w:cs="Arial"/>
          <w:color w:val="24292E"/>
          <w:sz w:val="22"/>
          <w:szCs w:val="22"/>
          <w:lang w:val="en-US"/>
        </w:rPr>
      </w:pPr>
      <w:r w:rsidRPr="00B81625">
        <w:rPr>
          <w:rFonts w:ascii="Arial" w:hAnsi="Arial" w:cs="Arial"/>
          <w:color w:val="24292E"/>
          <w:sz w:val="22"/>
          <w:szCs w:val="22"/>
          <w:lang w:val="en-US"/>
        </w:rPr>
        <w:t xml:space="preserve">The </w:t>
      </w:r>
      <w:r w:rsidRPr="00B81625">
        <w:rPr>
          <w:rFonts w:ascii="Arial" w:hAnsi="Arial" w:cs="Arial"/>
          <w:b/>
          <w:bCs/>
          <w:color w:val="24292E"/>
          <w:sz w:val="22"/>
          <w:szCs w:val="22"/>
          <w:lang w:val="en-US"/>
        </w:rPr>
        <w:t>Society for Worldwide Interbank Financial Telecommunication (SWIFT)</w:t>
      </w:r>
      <w:r w:rsidRPr="00B81625">
        <w:rPr>
          <w:rFonts w:ascii="Arial" w:hAnsi="Arial" w:cs="Arial"/>
          <w:color w:val="24292E"/>
          <w:sz w:val="22"/>
          <w:szCs w:val="22"/>
          <w:lang w:val="en-US"/>
        </w:rPr>
        <w:t xml:space="preserve"> is introduced as an “industry-owned cooperative founded [...] by 239 banks from 15 countries.” As to the SWIFT organization’s goals, the supply of “secure messaging services and interface software,” the contribution to “greater automation of financial transaction processes” and the provision of a “forum for financial institutions” are mentioned.</w:t>
      </w:r>
    </w:p>
    <w:p w14:paraId="572D5603" w14:textId="40C24449" w:rsidR="00495ED2" w:rsidRPr="000114C5" w:rsidRDefault="00B81625" w:rsidP="00B81625">
      <w:pPr>
        <w:pStyle w:val="NormalWeb"/>
        <w:spacing w:before="0" w:beforeAutospacing="0" w:after="240" w:afterAutospacing="0" w:line="360" w:lineRule="auto"/>
        <w:jc w:val="both"/>
        <w:rPr>
          <w:rFonts w:ascii="Arial" w:hAnsi="Arial" w:cs="Arial"/>
          <w:color w:val="24292E"/>
          <w:sz w:val="22"/>
          <w:szCs w:val="22"/>
          <w:lang w:val="en-US"/>
        </w:rPr>
        <w:sectPr w:rsidR="00495ED2" w:rsidRPr="000114C5" w:rsidSect="00B575B8">
          <w:headerReference w:type="default" r:id="rId21"/>
          <w:footerReference w:type="default" r:id="rId22"/>
          <w:pgSz w:w="11906" w:h="16838" w:code="9"/>
          <w:pgMar w:top="1848" w:right="2268" w:bottom="1134" w:left="1418" w:header="1134" w:footer="720" w:gutter="0"/>
          <w:cols w:space="720"/>
        </w:sectPr>
      </w:pPr>
      <w:r w:rsidRPr="00B81625">
        <w:rPr>
          <w:rFonts w:ascii="Arial" w:hAnsi="Arial" w:cs="Arial"/>
          <w:color w:val="24292E"/>
          <w:sz w:val="22"/>
          <w:szCs w:val="22"/>
          <w:lang w:val="en-US"/>
        </w:rPr>
        <w:t xml:space="preserve">It should be noted that there also is the </w:t>
      </w:r>
      <w:r w:rsidRPr="00B81625">
        <w:rPr>
          <w:rFonts w:ascii="Arial" w:hAnsi="Arial" w:cs="Arial"/>
          <w:b/>
          <w:bCs/>
          <w:color w:val="24292E"/>
          <w:sz w:val="22"/>
          <w:szCs w:val="22"/>
          <w:lang w:val="en-US"/>
        </w:rPr>
        <w:t>Bank for International Settlements (BIS)</w:t>
      </w:r>
      <w:r w:rsidRPr="00B81625">
        <w:rPr>
          <w:rFonts w:ascii="Arial" w:hAnsi="Arial" w:cs="Arial"/>
          <w:color w:val="24292E"/>
          <w:sz w:val="22"/>
          <w:szCs w:val="22"/>
          <w:lang w:val="en-US"/>
        </w:rPr>
        <w:t>, although the BIS is active globally—not just in Europe. The BIS is a financial organization owned by central banks that is sometimes referred to as the central bank of central banks.</w:t>
      </w:r>
    </w:p>
    <w:p w14:paraId="3EFD6250" w14:textId="78E19F47" w:rsidR="00495ED2" w:rsidRPr="000114C5" w:rsidRDefault="00B81625" w:rsidP="00B62D64">
      <w:pPr>
        <w:pStyle w:val="Heading1"/>
        <w:rPr>
          <w:lang w:val="en-US"/>
        </w:rPr>
      </w:pPr>
      <w:bookmarkStart w:id="11" w:name="_Toc53958263"/>
      <w:bookmarkStart w:id="12" w:name="_Toc152136238"/>
      <w:bookmarkStart w:id="13" w:name="_Toc152137512"/>
      <w:bookmarkStart w:id="14" w:name="_Ref31709095"/>
      <w:bookmarkStart w:id="15" w:name="_Ref31709126"/>
      <w:r>
        <w:rPr>
          <w:lang w:val="en-US"/>
        </w:rPr>
        <w:lastRenderedPageBreak/>
        <w:t>The Payments Services Directive</w:t>
      </w:r>
      <w:bookmarkEnd w:id="11"/>
    </w:p>
    <w:p w14:paraId="3A41FF32" w14:textId="5258D4EF" w:rsidR="000114C5" w:rsidRDefault="00B81625" w:rsidP="008714F9">
      <w:pPr>
        <w:pStyle w:val="NormalWeb"/>
        <w:spacing w:before="240" w:beforeAutospacing="0" w:after="240" w:afterAutospacing="0" w:line="360" w:lineRule="auto"/>
        <w:jc w:val="both"/>
        <w:rPr>
          <w:rFonts w:ascii="Arial" w:hAnsi="Arial" w:cs="Arial"/>
          <w:color w:val="24292E"/>
          <w:sz w:val="22"/>
          <w:szCs w:val="22"/>
          <w:lang w:val="en-US"/>
        </w:rPr>
      </w:pPr>
      <w:r w:rsidRPr="00B81625">
        <w:rPr>
          <w:rFonts w:ascii="Arial" w:hAnsi="Arial" w:cs="Arial"/>
          <w:color w:val="24292E"/>
          <w:sz w:val="22"/>
          <w:szCs w:val="22"/>
          <w:lang w:val="en-US"/>
        </w:rPr>
        <w:t xml:space="preserve">This section discusses </w:t>
      </w:r>
      <w:r w:rsidR="00FD03E6">
        <w:rPr>
          <w:rFonts w:ascii="Arial" w:hAnsi="Arial" w:cs="Arial"/>
          <w:color w:val="24292E"/>
          <w:sz w:val="22"/>
          <w:szCs w:val="22"/>
          <w:lang w:val="en-US"/>
        </w:rPr>
        <w:t>the</w:t>
      </w:r>
      <w:r w:rsidRPr="00B81625">
        <w:rPr>
          <w:rFonts w:ascii="Arial" w:hAnsi="Arial" w:cs="Arial"/>
          <w:color w:val="24292E"/>
          <w:sz w:val="22"/>
          <w:szCs w:val="22"/>
          <w:lang w:val="en-US"/>
        </w:rPr>
        <w:t xml:space="preserve"> Payment Services Directive, as it is the most important regulatory initiative with regards to payments in Europe. Both the original PSD of 2007 as well as the revised PSD2 of 2015 are addressed</w:t>
      </w:r>
      <w:r w:rsidR="000114C5" w:rsidRPr="000114C5">
        <w:rPr>
          <w:rFonts w:ascii="Arial" w:hAnsi="Arial" w:cs="Arial"/>
          <w:color w:val="24292E"/>
          <w:sz w:val="22"/>
          <w:szCs w:val="22"/>
          <w:lang w:val="en-US"/>
        </w:rPr>
        <w:t>.</w:t>
      </w:r>
    </w:p>
    <w:p w14:paraId="320E44DA" w14:textId="537943B7" w:rsidR="00B81625" w:rsidRPr="000114C5" w:rsidRDefault="00B81625" w:rsidP="008238EC">
      <w:pPr>
        <w:pStyle w:val="Heading2"/>
        <w:rPr>
          <w:lang w:val="en-US"/>
        </w:rPr>
      </w:pPr>
      <w:bookmarkStart w:id="16" w:name="_Toc53958264"/>
      <w:bookmarkStart w:id="17" w:name="_Hlk53954248"/>
      <w:r>
        <w:rPr>
          <w:lang w:val="en-US"/>
        </w:rPr>
        <w:t>The PSD of 2007</w:t>
      </w:r>
      <w:bookmarkEnd w:id="16"/>
    </w:p>
    <w:bookmarkEnd w:id="17"/>
    <w:p w14:paraId="020C06FC" w14:textId="13A102A8" w:rsidR="00C46345" w:rsidRPr="00C46345" w:rsidRDefault="00C46345" w:rsidP="00FD03E6">
      <w:pPr>
        <w:pStyle w:val="NormalWeb"/>
        <w:spacing w:before="240" w:beforeAutospacing="0" w:after="240" w:afterAutospacing="0" w:line="360" w:lineRule="auto"/>
        <w:jc w:val="both"/>
        <w:rPr>
          <w:rFonts w:ascii="Arial" w:hAnsi="Arial" w:cs="Arial"/>
          <w:color w:val="24292E"/>
          <w:sz w:val="22"/>
          <w:szCs w:val="22"/>
          <w:lang w:val="en-US"/>
        </w:rPr>
      </w:pPr>
      <w:r w:rsidRPr="00C46345">
        <w:rPr>
          <w:rFonts w:ascii="Arial" w:hAnsi="Arial" w:cs="Arial"/>
          <w:color w:val="24292E"/>
          <w:sz w:val="22"/>
          <w:szCs w:val="22"/>
          <w:lang w:val="en-US"/>
        </w:rPr>
        <w:t>This subsection introduces the PSD of 2007, formally, Directive 2007/64/EC of 13 November 2007 on payment services in the internal market. It is intended to provide context with regards to what it is and what its goals are as well as to give an overview of its key provisions. This subsection is, unless noted otherwise, based on the report “Banks Preparing for PSD” [</w:t>
      </w:r>
      <w:r w:rsidRPr="001F69B9">
        <w:rPr>
          <w:rFonts w:ascii="Arial" w:hAnsi="Arial" w:cs="Arial"/>
          <w:sz w:val="22"/>
          <w:szCs w:val="22"/>
          <w:lang w:val="en-US"/>
        </w:rPr>
        <w:t>3</w:t>
      </w:r>
      <w:r w:rsidRPr="00C46345">
        <w:rPr>
          <w:rFonts w:ascii="Arial" w:hAnsi="Arial" w:cs="Arial"/>
          <w:color w:val="24292E"/>
          <w:sz w:val="22"/>
          <w:szCs w:val="22"/>
          <w:lang w:val="en-US"/>
        </w:rPr>
        <w:t>], which was released by the EBA in 2008.</w:t>
      </w:r>
    </w:p>
    <w:p w14:paraId="2274B44F" w14:textId="77777777" w:rsidR="00C46345" w:rsidRPr="00C46345" w:rsidRDefault="00C46345" w:rsidP="008714F9">
      <w:pPr>
        <w:pStyle w:val="NormalWeb"/>
        <w:spacing w:before="0" w:beforeAutospacing="0" w:after="240" w:afterAutospacing="0" w:line="360" w:lineRule="auto"/>
        <w:jc w:val="both"/>
        <w:rPr>
          <w:rFonts w:ascii="Arial" w:hAnsi="Arial" w:cs="Arial"/>
          <w:color w:val="24292E"/>
          <w:sz w:val="22"/>
          <w:szCs w:val="22"/>
          <w:lang w:val="en-US"/>
        </w:rPr>
      </w:pPr>
      <w:r w:rsidRPr="00C46345">
        <w:rPr>
          <w:rFonts w:ascii="Arial" w:hAnsi="Arial" w:cs="Arial"/>
          <w:color w:val="24292E"/>
          <w:sz w:val="22"/>
          <w:szCs w:val="22"/>
          <w:lang w:val="en-US"/>
        </w:rPr>
        <w:t>The report states that the PSD provides—as its formal name suggests</w:t>
      </w:r>
      <w:proofErr w:type="gramStart"/>
      <w:r w:rsidRPr="00C46345">
        <w:rPr>
          <w:rFonts w:ascii="Arial" w:hAnsi="Arial" w:cs="Arial"/>
          <w:color w:val="24292E"/>
          <w:sz w:val="22"/>
          <w:szCs w:val="22"/>
          <w:lang w:val="en-US"/>
        </w:rPr>
        <w:t>—“</w:t>
      </w:r>
      <w:proofErr w:type="gramEnd"/>
      <w:r w:rsidRPr="00C46345">
        <w:rPr>
          <w:rFonts w:ascii="Arial" w:hAnsi="Arial" w:cs="Arial"/>
          <w:color w:val="24292E"/>
          <w:sz w:val="22"/>
          <w:szCs w:val="22"/>
          <w:lang w:val="en-US"/>
        </w:rPr>
        <w:t>a legal framework for payment services in the internal market of the EU/EEA.” As such, it was to be “implemented into national law by 1st November 2009 at the latest” by the “27 Member States” which, at the time, constituted the EU as well as the “three EEA countries” Iceland, Liechtenstein and Norway, which, at the time, have not been—and still are not—EU Member States. The report considers the PSD to be “one additional step in the EU’s efforts to achieve a single payments market.” Previous steps of such “[h]</w:t>
      </w:r>
      <w:proofErr w:type="spellStart"/>
      <w:r w:rsidRPr="00C46345">
        <w:rPr>
          <w:rFonts w:ascii="Arial" w:hAnsi="Arial" w:cs="Arial"/>
          <w:color w:val="24292E"/>
          <w:sz w:val="22"/>
          <w:szCs w:val="22"/>
          <w:lang w:val="en-US"/>
        </w:rPr>
        <w:t>armoni</w:t>
      </w:r>
      <w:proofErr w:type="spellEnd"/>
      <w:r w:rsidRPr="00C46345">
        <w:rPr>
          <w:rFonts w:ascii="Arial" w:hAnsi="Arial" w:cs="Arial"/>
          <w:color w:val="24292E"/>
          <w:sz w:val="22"/>
          <w:szCs w:val="22"/>
          <w:lang w:val="en-US"/>
        </w:rPr>
        <w:t>[z]</w:t>
      </w:r>
      <w:proofErr w:type="spellStart"/>
      <w:r w:rsidRPr="00C46345">
        <w:rPr>
          <w:rFonts w:ascii="Arial" w:hAnsi="Arial" w:cs="Arial"/>
          <w:color w:val="24292E"/>
          <w:sz w:val="22"/>
          <w:szCs w:val="22"/>
          <w:lang w:val="en-US"/>
        </w:rPr>
        <w:t>ation</w:t>
      </w:r>
      <w:proofErr w:type="spellEnd"/>
      <w:r w:rsidRPr="00C46345">
        <w:rPr>
          <w:rFonts w:ascii="Arial" w:hAnsi="Arial" w:cs="Arial"/>
          <w:color w:val="24292E"/>
          <w:sz w:val="22"/>
          <w:szCs w:val="22"/>
          <w:lang w:val="en-US"/>
        </w:rPr>
        <w:t xml:space="preserve"> efforts” are mentioned, namely the “introduction of the euro (in 1999 and 2002),” the “implementation of new payments-related legislation at EU level”—likely referring to the Cross-Border Credit Transfers Directive—and the “launching of the Single Euro Payments Area (SEPA) instruments (in 2008).”</w:t>
      </w:r>
    </w:p>
    <w:p w14:paraId="72360E78" w14:textId="77777777" w:rsidR="00C46345" w:rsidRPr="00C46345" w:rsidRDefault="00C46345" w:rsidP="008714F9">
      <w:pPr>
        <w:pStyle w:val="NormalWeb"/>
        <w:spacing w:before="0" w:beforeAutospacing="0" w:after="240" w:afterAutospacing="0" w:line="360" w:lineRule="auto"/>
        <w:jc w:val="both"/>
        <w:rPr>
          <w:rFonts w:ascii="Arial" w:hAnsi="Arial" w:cs="Arial"/>
          <w:color w:val="24292E"/>
          <w:sz w:val="22"/>
          <w:szCs w:val="22"/>
          <w:lang w:val="en-US"/>
        </w:rPr>
      </w:pPr>
      <w:r w:rsidRPr="00C46345">
        <w:rPr>
          <w:rFonts w:ascii="Arial" w:hAnsi="Arial" w:cs="Arial"/>
          <w:color w:val="24292E"/>
          <w:sz w:val="22"/>
          <w:szCs w:val="22"/>
          <w:lang w:val="en-US"/>
        </w:rPr>
        <w:t>The report enumerates “main objectives” of the PSD, including “establishing a single payment market in the EU” as well as “providing the regulatory framework” to this end. The creation of “a level playing field” and the subsequent enhancement of “competition” are also mentioned, as is the establishment of “consistent consumer protection and improv[ed] transparency.” Finally, the creation of “potential for more efficiency of EU payment systems” is listed.</w:t>
      </w:r>
    </w:p>
    <w:p w14:paraId="1ED60549" w14:textId="77777777" w:rsidR="00C46345" w:rsidRPr="00C46345" w:rsidRDefault="00C46345" w:rsidP="008714F9">
      <w:pPr>
        <w:pStyle w:val="NormalWeb"/>
        <w:spacing w:before="0" w:beforeAutospacing="0" w:after="240" w:afterAutospacing="0" w:line="360" w:lineRule="auto"/>
        <w:jc w:val="both"/>
        <w:rPr>
          <w:rFonts w:ascii="Arial" w:hAnsi="Arial" w:cs="Arial"/>
          <w:color w:val="24292E"/>
          <w:sz w:val="22"/>
          <w:szCs w:val="22"/>
          <w:lang w:val="en-US"/>
        </w:rPr>
      </w:pPr>
      <w:r w:rsidRPr="00C46345">
        <w:rPr>
          <w:rFonts w:ascii="Arial" w:hAnsi="Arial" w:cs="Arial"/>
          <w:color w:val="24292E"/>
          <w:sz w:val="22"/>
          <w:szCs w:val="22"/>
          <w:lang w:val="en-US"/>
        </w:rPr>
        <w:t>The report gives a short summary of each section of the Directive, which encompasses a total of 96 Articles:</w:t>
      </w:r>
    </w:p>
    <w:p w14:paraId="13958662" w14:textId="77777777" w:rsidR="00C46345" w:rsidRPr="00C46345" w:rsidRDefault="00C46345" w:rsidP="009627A4">
      <w:pPr>
        <w:pStyle w:val="NormalWeb"/>
        <w:numPr>
          <w:ilvl w:val="0"/>
          <w:numId w:val="11"/>
        </w:numPr>
        <w:spacing w:before="0" w:beforeAutospacing="0" w:after="120" w:afterAutospacing="0" w:line="360" w:lineRule="auto"/>
        <w:ind w:left="714" w:hanging="357"/>
        <w:jc w:val="both"/>
        <w:rPr>
          <w:rFonts w:ascii="Arial" w:hAnsi="Arial" w:cs="Arial"/>
          <w:color w:val="24292E"/>
          <w:sz w:val="22"/>
          <w:szCs w:val="22"/>
          <w:lang w:val="en-US"/>
        </w:rPr>
      </w:pPr>
      <w:r w:rsidRPr="00C46345">
        <w:rPr>
          <w:rFonts w:ascii="Arial" w:hAnsi="Arial" w:cs="Arial"/>
          <w:b/>
          <w:bCs/>
          <w:color w:val="24292E"/>
          <w:sz w:val="22"/>
          <w:szCs w:val="22"/>
          <w:lang w:val="en-US"/>
        </w:rPr>
        <w:lastRenderedPageBreak/>
        <w:t>Title I (“Subject Matter, Scope and Definitions”)</w:t>
      </w:r>
      <w:r w:rsidRPr="00C46345">
        <w:rPr>
          <w:rFonts w:ascii="Arial" w:hAnsi="Arial" w:cs="Arial"/>
          <w:color w:val="24292E"/>
          <w:sz w:val="22"/>
          <w:szCs w:val="22"/>
          <w:lang w:val="en-US"/>
        </w:rPr>
        <w:t>, encompassing Articles 1–4, is said to lay out “[w]hat the PSD covers” and provide “[d]</w:t>
      </w:r>
      <w:proofErr w:type="spellStart"/>
      <w:r w:rsidRPr="00C46345">
        <w:rPr>
          <w:rFonts w:ascii="Arial" w:hAnsi="Arial" w:cs="Arial"/>
          <w:color w:val="24292E"/>
          <w:sz w:val="22"/>
          <w:szCs w:val="22"/>
          <w:lang w:val="en-US"/>
        </w:rPr>
        <w:t>efinitions</w:t>
      </w:r>
      <w:proofErr w:type="spellEnd"/>
      <w:r w:rsidRPr="00C46345">
        <w:rPr>
          <w:rFonts w:ascii="Arial" w:hAnsi="Arial" w:cs="Arial"/>
          <w:color w:val="24292E"/>
          <w:sz w:val="22"/>
          <w:szCs w:val="22"/>
          <w:lang w:val="en-US"/>
        </w:rPr>
        <w:t>” of “[r]</w:t>
      </w:r>
      <w:proofErr w:type="spellStart"/>
      <w:r w:rsidRPr="00C46345">
        <w:rPr>
          <w:rFonts w:ascii="Arial" w:hAnsi="Arial" w:cs="Arial"/>
          <w:color w:val="24292E"/>
          <w:sz w:val="22"/>
          <w:szCs w:val="22"/>
          <w:lang w:val="en-US"/>
        </w:rPr>
        <w:t>egulated</w:t>
      </w:r>
      <w:proofErr w:type="spellEnd"/>
      <w:r w:rsidRPr="00C46345">
        <w:rPr>
          <w:rFonts w:ascii="Arial" w:hAnsi="Arial" w:cs="Arial"/>
          <w:color w:val="24292E"/>
          <w:sz w:val="22"/>
          <w:szCs w:val="22"/>
          <w:lang w:val="en-US"/>
        </w:rPr>
        <w:t xml:space="preserve"> entities,” “[t]</w:t>
      </w:r>
      <w:proofErr w:type="spellStart"/>
      <w:r w:rsidRPr="00C46345">
        <w:rPr>
          <w:rFonts w:ascii="Arial" w:hAnsi="Arial" w:cs="Arial"/>
          <w:color w:val="24292E"/>
          <w:sz w:val="22"/>
          <w:szCs w:val="22"/>
          <w:lang w:val="en-US"/>
        </w:rPr>
        <w:t>ransaction</w:t>
      </w:r>
      <w:proofErr w:type="spellEnd"/>
      <w:r w:rsidRPr="00C46345">
        <w:rPr>
          <w:rFonts w:ascii="Arial" w:hAnsi="Arial" w:cs="Arial"/>
          <w:color w:val="24292E"/>
          <w:sz w:val="22"/>
          <w:szCs w:val="22"/>
          <w:lang w:val="en-US"/>
        </w:rPr>
        <w:t xml:space="preserve"> types,” etc.</w:t>
      </w:r>
    </w:p>
    <w:p w14:paraId="6A510E4D" w14:textId="77777777" w:rsidR="00C46345" w:rsidRPr="00C46345" w:rsidRDefault="00C46345" w:rsidP="009627A4">
      <w:pPr>
        <w:pStyle w:val="NormalWeb"/>
        <w:numPr>
          <w:ilvl w:val="0"/>
          <w:numId w:val="11"/>
        </w:numPr>
        <w:spacing w:before="0" w:beforeAutospacing="0" w:after="120" w:afterAutospacing="0" w:line="360" w:lineRule="auto"/>
        <w:ind w:left="714" w:hanging="357"/>
        <w:jc w:val="both"/>
        <w:rPr>
          <w:rFonts w:ascii="Arial" w:hAnsi="Arial" w:cs="Arial"/>
          <w:color w:val="24292E"/>
          <w:sz w:val="22"/>
          <w:szCs w:val="22"/>
          <w:lang w:val="en-US"/>
        </w:rPr>
      </w:pPr>
      <w:r w:rsidRPr="00C46345">
        <w:rPr>
          <w:rFonts w:ascii="Arial" w:hAnsi="Arial" w:cs="Arial"/>
          <w:b/>
          <w:bCs/>
          <w:color w:val="24292E"/>
          <w:sz w:val="22"/>
          <w:szCs w:val="22"/>
          <w:lang w:val="en-US"/>
        </w:rPr>
        <w:t>Title II (“Payment Services Providers”)</w:t>
      </w:r>
      <w:r w:rsidRPr="00C46345">
        <w:rPr>
          <w:rFonts w:ascii="Arial" w:hAnsi="Arial" w:cs="Arial"/>
          <w:color w:val="24292E"/>
          <w:sz w:val="22"/>
          <w:szCs w:val="22"/>
          <w:lang w:val="en-US"/>
        </w:rPr>
        <w:t>, encompassing Articles 5–29, is described to cover the “regulatory regime” for payment service providers, “specifically [...] for payment institutions”—which are covered later in this subsection—, regarding “[r]</w:t>
      </w:r>
      <w:proofErr w:type="spellStart"/>
      <w:r w:rsidRPr="00C46345">
        <w:rPr>
          <w:rFonts w:ascii="Arial" w:hAnsi="Arial" w:cs="Arial"/>
          <w:color w:val="24292E"/>
          <w:sz w:val="22"/>
          <w:szCs w:val="22"/>
          <w:lang w:val="en-US"/>
        </w:rPr>
        <w:t>egistration</w:t>
      </w:r>
      <w:proofErr w:type="spellEnd"/>
      <w:r w:rsidRPr="00C46345">
        <w:rPr>
          <w:rFonts w:ascii="Arial" w:hAnsi="Arial" w:cs="Arial"/>
          <w:color w:val="24292E"/>
          <w:sz w:val="22"/>
          <w:szCs w:val="22"/>
          <w:lang w:val="en-US"/>
        </w:rPr>
        <w:t>/</w:t>
      </w:r>
      <w:proofErr w:type="spellStart"/>
      <w:r w:rsidRPr="00C46345">
        <w:rPr>
          <w:rFonts w:ascii="Arial" w:hAnsi="Arial" w:cs="Arial"/>
          <w:color w:val="24292E"/>
          <w:sz w:val="22"/>
          <w:szCs w:val="22"/>
          <w:lang w:val="en-US"/>
        </w:rPr>
        <w:t>authori</w:t>
      </w:r>
      <w:proofErr w:type="spellEnd"/>
      <w:r w:rsidRPr="00C46345">
        <w:rPr>
          <w:rFonts w:ascii="Arial" w:hAnsi="Arial" w:cs="Arial"/>
          <w:color w:val="24292E"/>
          <w:sz w:val="22"/>
          <w:szCs w:val="22"/>
          <w:lang w:val="en-US"/>
        </w:rPr>
        <w:t>[z]</w:t>
      </w:r>
      <w:proofErr w:type="spellStart"/>
      <w:r w:rsidRPr="00C46345">
        <w:rPr>
          <w:rFonts w:ascii="Arial" w:hAnsi="Arial" w:cs="Arial"/>
          <w:color w:val="24292E"/>
          <w:sz w:val="22"/>
          <w:szCs w:val="22"/>
          <w:lang w:val="en-US"/>
        </w:rPr>
        <w:t>ation</w:t>
      </w:r>
      <w:proofErr w:type="spellEnd"/>
      <w:r w:rsidRPr="00C46345">
        <w:rPr>
          <w:rFonts w:ascii="Arial" w:hAnsi="Arial" w:cs="Arial"/>
          <w:color w:val="24292E"/>
          <w:sz w:val="22"/>
          <w:szCs w:val="22"/>
          <w:lang w:val="en-US"/>
        </w:rPr>
        <w:t xml:space="preserve"> procedures,” “[c]</w:t>
      </w:r>
      <w:proofErr w:type="spellStart"/>
      <w:r w:rsidRPr="00C46345">
        <w:rPr>
          <w:rFonts w:ascii="Arial" w:hAnsi="Arial" w:cs="Arial"/>
          <w:color w:val="24292E"/>
          <w:sz w:val="22"/>
          <w:szCs w:val="22"/>
          <w:lang w:val="en-US"/>
        </w:rPr>
        <w:t>apital</w:t>
      </w:r>
      <w:proofErr w:type="spellEnd"/>
      <w:r w:rsidRPr="00C46345">
        <w:rPr>
          <w:rFonts w:ascii="Arial" w:hAnsi="Arial" w:cs="Arial"/>
          <w:color w:val="24292E"/>
          <w:sz w:val="22"/>
          <w:szCs w:val="22"/>
          <w:lang w:val="en-US"/>
        </w:rPr>
        <w:t xml:space="preserve"> requirements,” etc.</w:t>
      </w:r>
    </w:p>
    <w:p w14:paraId="429EA2B9" w14:textId="77777777" w:rsidR="00C46345" w:rsidRPr="00C46345" w:rsidRDefault="00C46345" w:rsidP="009627A4">
      <w:pPr>
        <w:pStyle w:val="NormalWeb"/>
        <w:numPr>
          <w:ilvl w:val="0"/>
          <w:numId w:val="11"/>
        </w:numPr>
        <w:spacing w:before="0" w:beforeAutospacing="0" w:after="120" w:afterAutospacing="0" w:line="360" w:lineRule="auto"/>
        <w:ind w:left="714" w:hanging="357"/>
        <w:jc w:val="both"/>
        <w:rPr>
          <w:rFonts w:ascii="Arial" w:hAnsi="Arial" w:cs="Arial"/>
          <w:color w:val="24292E"/>
          <w:sz w:val="22"/>
          <w:szCs w:val="22"/>
          <w:lang w:val="en-US"/>
        </w:rPr>
      </w:pPr>
      <w:r w:rsidRPr="00C46345">
        <w:rPr>
          <w:rFonts w:ascii="Arial" w:hAnsi="Arial" w:cs="Arial"/>
          <w:b/>
          <w:bCs/>
          <w:color w:val="24292E"/>
          <w:sz w:val="22"/>
          <w:szCs w:val="22"/>
          <w:lang w:val="en-US"/>
        </w:rPr>
        <w:t>Title III (“Transparency of Conditions and Information Requirements for Payment Services”)</w:t>
      </w:r>
      <w:r w:rsidRPr="00C46345">
        <w:rPr>
          <w:rFonts w:ascii="Arial" w:hAnsi="Arial" w:cs="Arial"/>
          <w:color w:val="24292E"/>
          <w:sz w:val="22"/>
          <w:szCs w:val="22"/>
          <w:lang w:val="en-US"/>
        </w:rPr>
        <w:t>, encompassing Articles 30–50, is summarized to set such “[c]</w:t>
      </w:r>
      <w:proofErr w:type="spellStart"/>
      <w:r w:rsidRPr="00C46345">
        <w:rPr>
          <w:rFonts w:ascii="Arial" w:hAnsi="Arial" w:cs="Arial"/>
          <w:color w:val="24292E"/>
          <w:sz w:val="22"/>
          <w:szCs w:val="22"/>
          <w:lang w:val="en-US"/>
        </w:rPr>
        <w:t>onditions</w:t>
      </w:r>
      <w:proofErr w:type="spellEnd"/>
      <w:r w:rsidRPr="00C46345">
        <w:rPr>
          <w:rFonts w:ascii="Arial" w:hAnsi="Arial" w:cs="Arial"/>
          <w:color w:val="24292E"/>
          <w:sz w:val="22"/>
          <w:szCs w:val="22"/>
          <w:lang w:val="en-US"/>
        </w:rPr>
        <w:t>” and “[r]</w:t>
      </w:r>
      <w:proofErr w:type="spellStart"/>
      <w:r w:rsidRPr="00C46345">
        <w:rPr>
          <w:rFonts w:ascii="Arial" w:hAnsi="Arial" w:cs="Arial"/>
          <w:color w:val="24292E"/>
          <w:sz w:val="22"/>
          <w:szCs w:val="22"/>
          <w:lang w:val="en-US"/>
        </w:rPr>
        <w:t>equirements</w:t>
      </w:r>
      <w:proofErr w:type="spellEnd"/>
      <w:r w:rsidRPr="00C46345">
        <w:rPr>
          <w:rFonts w:ascii="Arial" w:hAnsi="Arial" w:cs="Arial"/>
          <w:color w:val="24292E"/>
          <w:sz w:val="22"/>
          <w:szCs w:val="22"/>
          <w:lang w:val="en-US"/>
        </w:rPr>
        <w:t>” with regards to “[s]ingle transactions” and “[f]</w:t>
      </w:r>
      <w:proofErr w:type="spellStart"/>
      <w:r w:rsidRPr="00C46345">
        <w:rPr>
          <w:rFonts w:ascii="Arial" w:hAnsi="Arial" w:cs="Arial"/>
          <w:color w:val="24292E"/>
          <w:sz w:val="22"/>
          <w:szCs w:val="22"/>
          <w:lang w:val="en-US"/>
        </w:rPr>
        <w:t>ramework</w:t>
      </w:r>
      <w:proofErr w:type="spellEnd"/>
      <w:r w:rsidRPr="00C46345">
        <w:rPr>
          <w:rFonts w:ascii="Arial" w:hAnsi="Arial" w:cs="Arial"/>
          <w:color w:val="24292E"/>
          <w:sz w:val="22"/>
          <w:szCs w:val="22"/>
          <w:lang w:val="en-US"/>
        </w:rPr>
        <w:t xml:space="preserve"> contracts.”</w:t>
      </w:r>
    </w:p>
    <w:p w14:paraId="5AD56B9F" w14:textId="6E8577C1" w:rsidR="00C46345" w:rsidRPr="00C46345" w:rsidRDefault="00C46345" w:rsidP="009627A4">
      <w:pPr>
        <w:pStyle w:val="NormalWeb"/>
        <w:numPr>
          <w:ilvl w:val="0"/>
          <w:numId w:val="11"/>
        </w:numPr>
        <w:spacing w:before="0" w:beforeAutospacing="0" w:after="120" w:afterAutospacing="0" w:line="360" w:lineRule="auto"/>
        <w:ind w:left="714" w:hanging="357"/>
        <w:jc w:val="both"/>
        <w:rPr>
          <w:rFonts w:ascii="Arial" w:hAnsi="Arial" w:cs="Arial"/>
          <w:color w:val="24292E"/>
          <w:sz w:val="22"/>
          <w:szCs w:val="22"/>
          <w:lang w:val="en-US"/>
        </w:rPr>
      </w:pPr>
      <w:r w:rsidRPr="00C46345">
        <w:rPr>
          <w:rFonts w:ascii="Arial" w:hAnsi="Arial" w:cs="Arial"/>
          <w:b/>
          <w:bCs/>
          <w:color w:val="24292E"/>
          <w:sz w:val="22"/>
          <w:szCs w:val="22"/>
          <w:lang w:val="en-US"/>
        </w:rPr>
        <w:t>Title IV (“Rights and Obligations in Relation to the Provision and Use of Payment Services”)</w:t>
      </w:r>
      <w:r w:rsidRPr="00C46345">
        <w:rPr>
          <w:rFonts w:ascii="Arial" w:hAnsi="Arial" w:cs="Arial"/>
          <w:color w:val="24292E"/>
          <w:sz w:val="22"/>
          <w:szCs w:val="22"/>
          <w:lang w:val="en-US"/>
        </w:rPr>
        <w:t>, encompassing Articles 51–83, is said to define such “[r]</w:t>
      </w:r>
      <w:proofErr w:type="spellStart"/>
      <w:r w:rsidRPr="00C46345">
        <w:rPr>
          <w:rFonts w:ascii="Arial" w:hAnsi="Arial" w:cs="Arial"/>
          <w:color w:val="24292E"/>
          <w:sz w:val="22"/>
          <w:szCs w:val="22"/>
          <w:lang w:val="en-US"/>
        </w:rPr>
        <w:t>ights</w:t>
      </w:r>
      <w:proofErr w:type="spellEnd"/>
      <w:r w:rsidRPr="00C46345">
        <w:rPr>
          <w:rFonts w:ascii="Arial" w:hAnsi="Arial" w:cs="Arial"/>
          <w:color w:val="24292E"/>
          <w:sz w:val="22"/>
          <w:szCs w:val="22"/>
          <w:lang w:val="en-US"/>
        </w:rPr>
        <w:t xml:space="preserve"> and obligations” with a focus on the “[a]</w:t>
      </w:r>
      <w:proofErr w:type="spellStart"/>
      <w:r w:rsidRPr="00C46345">
        <w:rPr>
          <w:rFonts w:ascii="Arial" w:hAnsi="Arial" w:cs="Arial"/>
          <w:color w:val="24292E"/>
          <w:sz w:val="22"/>
          <w:szCs w:val="22"/>
          <w:lang w:val="en-US"/>
        </w:rPr>
        <w:t>uthori</w:t>
      </w:r>
      <w:proofErr w:type="spellEnd"/>
      <w:r w:rsidR="00FD03E6" w:rsidRPr="00C46345">
        <w:rPr>
          <w:rFonts w:ascii="Arial" w:hAnsi="Arial" w:cs="Arial"/>
          <w:color w:val="24292E"/>
          <w:sz w:val="22"/>
          <w:szCs w:val="22"/>
          <w:lang w:val="en-US"/>
        </w:rPr>
        <w:t>[</w:t>
      </w:r>
      <w:r w:rsidR="00FD03E6">
        <w:rPr>
          <w:rFonts w:ascii="Arial" w:hAnsi="Arial" w:cs="Arial"/>
          <w:color w:val="24292E"/>
          <w:sz w:val="22"/>
          <w:szCs w:val="22"/>
          <w:lang w:val="en-US"/>
        </w:rPr>
        <w:t>z</w:t>
      </w:r>
      <w:r w:rsidR="00FD03E6" w:rsidRPr="00C46345">
        <w:rPr>
          <w:rFonts w:ascii="Arial" w:hAnsi="Arial" w:cs="Arial"/>
          <w:color w:val="24292E"/>
          <w:sz w:val="22"/>
          <w:szCs w:val="22"/>
          <w:lang w:val="en-US"/>
        </w:rPr>
        <w:t>]</w:t>
      </w:r>
      <w:proofErr w:type="spellStart"/>
      <w:r w:rsidRPr="00C46345">
        <w:rPr>
          <w:rFonts w:ascii="Arial" w:hAnsi="Arial" w:cs="Arial"/>
          <w:color w:val="24292E"/>
          <w:sz w:val="22"/>
          <w:szCs w:val="22"/>
          <w:lang w:val="en-US"/>
        </w:rPr>
        <w:t>ation</w:t>
      </w:r>
      <w:proofErr w:type="spellEnd"/>
      <w:r w:rsidRPr="00C46345">
        <w:rPr>
          <w:rFonts w:ascii="Arial" w:hAnsi="Arial" w:cs="Arial"/>
          <w:color w:val="24292E"/>
          <w:sz w:val="22"/>
          <w:szCs w:val="22"/>
          <w:lang w:val="en-US"/>
        </w:rPr>
        <w:t xml:space="preserve"> of payment transactions” as well as on “[r]</w:t>
      </w:r>
      <w:proofErr w:type="spellStart"/>
      <w:r w:rsidRPr="00C46345">
        <w:rPr>
          <w:rFonts w:ascii="Arial" w:hAnsi="Arial" w:cs="Arial"/>
          <w:color w:val="24292E"/>
          <w:sz w:val="22"/>
          <w:szCs w:val="22"/>
          <w:lang w:val="en-US"/>
        </w:rPr>
        <w:t>efunds</w:t>
      </w:r>
      <w:proofErr w:type="spellEnd"/>
      <w:r w:rsidRPr="00C46345">
        <w:rPr>
          <w:rFonts w:ascii="Arial" w:hAnsi="Arial" w:cs="Arial"/>
          <w:color w:val="24292E"/>
          <w:sz w:val="22"/>
          <w:szCs w:val="22"/>
          <w:lang w:val="en-US"/>
        </w:rPr>
        <w:t>, refusal of payment orders” and the “[e]</w:t>
      </w:r>
      <w:proofErr w:type="spellStart"/>
      <w:r w:rsidRPr="00C46345">
        <w:rPr>
          <w:rFonts w:ascii="Arial" w:hAnsi="Arial" w:cs="Arial"/>
          <w:color w:val="24292E"/>
          <w:sz w:val="22"/>
          <w:szCs w:val="22"/>
          <w:lang w:val="en-US"/>
        </w:rPr>
        <w:t>xecution</w:t>
      </w:r>
      <w:proofErr w:type="spellEnd"/>
      <w:r w:rsidRPr="00C46345">
        <w:rPr>
          <w:rFonts w:ascii="Arial" w:hAnsi="Arial" w:cs="Arial"/>
          <w:color w:val="24292E"/>
          <w:sz w:val="22"/>
          <w:szCs w:val="22"/>
          <w:lang w:val="en-US"/>
        </w:rPr>
        <w:t xml:space="preserve"> of payment transactions.”</w:t>
      </w:r>
    </w:p>
    <w:p w14:paraId="488E997D" w14:textId="30628B8F" w:rsidR="00C46345" w:rsidRPr="00C46345" w:rsidRDefault="00C46345" w:rsidP="009627A4">
      <w:pPr>
        <w:pStyle w:val="NormalWeb"/>
        <w:numPr>
          <w:ilvl w:val="0"/>
          <w:numId w:val="11"/>
        </w:numPr>
        <w:spacing w:before="0" w:beforeAutospacing="0" w:after="120" w:afterAutospacing="0" w:line="360" w:lineRule="auto"/>
        <w:ind w:left="714" w:hanging="357"/>
        <w:jc w:val="both"/>
        <w:rPr>
          <w:rFonts w:ascii="Arial" w:hAnsi="Arial" w:cs="Arial"/>
          <w:color w:val="24292E"/>
          <w:sz w:val="22"/>
          <w:szCs w:val="22"/>
          <w:lang w:val="en-US"/>
        </w:rPr>
      </w:pPr>
      <w:r w:rsidRPr="00C46345">
        <w:rPr>
          <w:rFonts w:ascii="Arial" w:hAnsi="Arial" w:cs="Arial"/>
          <w:b/>
          <w:bCs/>
          <w:color w:val="24292E"/>
          <w:sz w:val="22"/>
          <w:szCs w:val="22"/>
          <w:lang w:val="en-US"/>
        </w:rPr>
        <w:t>Title V (“Implementing Measures and Payments Committee”)</w:t>
      </w:r>
      <w:r w:rsidRPr="00C46345">
        <w:rPr>
          <w:rFonts w:ascii="Arial" w:hAnsi="Arial" w:cs="Arial"/>
          <w:color w:val="24292E"/>
          <w:sz w:val="22"/>
          <w:szCs w:val="22"/>
          <w:lang w:val="en-US"/>
        </w:rPr>
        <w:t>, encompassing Articles 84–85, is not further commented on in the report. However, the respective Articles of the PSD [</w:t>
      </w:r>
      <w:r w:rsidR="00FD03E6">
        <w:rPr>
          <w:rFonts w:ascii="Arial" w:hAnsi="Arial" w:cs="Arial"/>
          <w:sz w:val="22"/>
          <w:szCs w:val="22"/>
          <w:lang w:val="en-US"/>
        </w:rPr>
        <w:t>4</w:t>
      </w:r>
      <w:r w:rsidRPr="00C46345">
        <w:rPr>
          <w:rFonts w:ascii="Arial" w:hAnsi="Arial" w:cs="Arial"/>
          <w:color w:val="24292E"/>
          <w:sz w:val="22"/>
          <w:szCs w:val="22"/>
          <w:lang w:val="en-US"/>
        </w:rPr>
        <w:t>] can be quoted directly as “to ensure the uniform application of this Directive.”</w:t>
      </w:r>
    </w:p>
    <w:p w14:paraId="21A32B60" w14:textId="77777777" w:rsidR="00C46345" w:rsidRPr="00C46345" w:rsidRDefault="00C46345" w:rsidP="008714F9">
      <w:pPr>
        <w:pStyle w:val="NormalWeb"/>
        <w:numPr>
          <w:ilvl w:val="0"/>
          <w:numId w:val="11"/>
        </w:numPr>
        <w:spacing w:before="0" w:beforeAutospacing="0" w:after="240" w:afterAutospacing="0" w:line="360" w:lineRule="auto"/>
        <w:jc w:val="both"/>
        <w:rPr>
          <w:rFonts w:ascii="Arial" w:hAnsi="Arial" w:cs="Arial"/>
          <w:color w:val="24292E"/>
          <w:sz w:val="22"/>
          <w:szCs w:val="22"/>
          <w:lang w:val="en-US"/>
        </w:rPr>
      </w:pPr>
      <w:r w:rsidRPr="00C46345">
        <w:rPr>
          <w:rFonts w:ascii="Arial" w:hAnsi="Arial" w:cs="Arial"/>
          <w:b/>
          <w:bCs/>
          <w:color w:val="24292E"/>
          <w:sz w:val="22"/>
          <w:szCs w:val="22"/>
          <w:lang w:val="en-US"/>
        </w:rPr>
        <w:t>Title VI (“Final Provisions”)</w:t>
      </w:r>
      <w:r w:rsidRPr="00C46345">
        <w:rPr>
          <w:rFonts w:ascii="Arial" w:hAnsi="Arial" w:cs="Arial"/>
          <w:color w:val="24292E"/>
          <w:sz w:val="22"/>
          <w:szCs w:val="22"/>
          <w:lang w:val="en-US"/>
        </w:rPr>
        <w:t>, encompassing Articles 86–96, is said to include stipulations on the PSD as a “[f]</w:t>
      </w:r>
      <w:proofErr w:type="spellStart"/>
      <w:r w:rsidRPr="00C46345">
        <w:rPr>
          <w:rFonts w:ascii="Arial" w:hAnsi="Arial" w:cs="Arial"/>
          <w:color w:val="24292E"/>
          <w:sz w:val="22"/>
          <w:szCs w:val="22"/>
          <w:lang w:val="en-US"/>
        </w:rPr>
        <w:t>ull</w:t>
      </w:r>
      <w:proofErr w:type="spellEnd"/>
      <w:r w:rsidRPr="00C46345">
        <w:rPr>
          <w:rFonts w:ascii="Arial" w:hAnsi="Arial" w:cs="Arial"/>
          <w:color w:val="24292E"/>
          <w:sz w:val="22"/>
          <w:szCs w:val="22"/>
          <w:lang w:val="en-US"/>
        </w:rPr>
        <w:t xml:space="preserve"> </w:t>
      </w:r>
      <w:proofErr w:type="spellStart"/>
      <w:r w:rsidRPr="00C46345">
        <w:rPr>
          <w:rFonts w:ascii="Arial" w:hAnsi="Arial" w:cs="Arial"/>
          <w:color w:val="24292E"/>
          <w:sz w:val="22"/>
          <w:szCs w:val="22"/>
          <w:lang w:val="en-US"/>
        </w:rPr>
        <w:t>harmoni</w:t>
      </w:r>
      <w:proofErr w:type="spellEnd"/>
      <w:r w:rsidRPr="00C46345">
        <w:rPr>
          <w:rFonts w:ascii="Arial" w:hAnsi="Arial" w:cs="Arial"/>
          <w:color w:val="24292E"/>
          <w:sz w:val="22"/>
          <w:szCs w:val="22"/>
          <w:lang w:val="en-US"/>
        </w:rPr>
        <w:t>[z]</w:t>
      </w:r>
      <w:proofErr w:type="spellStart"/>
      <w:r w:rsidRPr="00C46345">
        <w:rPr>
          <w:rFonts w:ascii="Arial" w:hAnsi="Arial" w:cs="Arial"/>
          <w:color w:val="24292E"/>
          <w:sz w:val="22"/>
          <w:szCs w:val="22"/>
          <w:lang w:val="en-US"/>
        </w:rPr>
        <w:t>ation</w:t>
      </w:r>
      <w:proofErr w:type="spellEnd"/>
      <w:r w:rsidRPr="00C46345">
        <w:rPr>
          <w:rFonts w:ascii="Arial" w:hAnsi="Arial" w:cs="Arial"/>
          <w:color w:val="24292E"/>
          <w:sz w:val="22"/>
          <w:szCs w:val="22"/>
          <w:lang w:val="en-US"/>
        </w:rPr>
        <w:t xml:space="preserve"> Directive.”</w:t>
      </w:r>
    </w:p>
    <w:p w14:paraId="0BC3C8FC" w14:textId="77777777" w:rsidR="00C46345" w:rsidRPr="00C46345" w:rsidRDefault="00C46345" w:rsidP="008714F9">
      <w:pPr>
        <w:pStyle w:val="NormalWeb"/>
        <w:spacing w:before="0" w:beforeAutospacing="0" w:after="240" w:afterAutospacing="0" w:line="360" w:lineRule="auto"/>
        <w:jc w:val="both"/>
        <w:rPr>
          <w:rFonts w:ascii="Arial" w:hAnsi="Arial" w:cs="Arial"/>
          <w:color w:val="24292E"/>
          <w:sz w:val="22"/>
          <w:szCs w:val="22"/>
          <w:lang w:val="en-US"/>
        </w:rPr>
      </w:pPr>
      <w:r w:rsidRPr="00C46345">
        <w:rPr>
          <w:rFonts w:ascii="Arial" w:hAnsi="Arial" w:cs="Arial"/>
          <w:color w:val="24292E"/>
          <w:sz w:val="22"/>
          <w:szCs w:val="22"/>
          <w:lang w:val="en-US"/>
        </w:rPr>
        <w:t xml:space="preserve">At this point, the report goes on to present a selection of “key provisions of the PSD.” </w:t>
      </w:r>
      <w:proofErr w:type="gramStart"/>
      <w:r w:rsidRPr="00C46345">
        <w:rPr>
          <w:rFonts w:ascii="Arial" w:hAnsi="Arial" w:cs="Arial"/>
          <w:color w:val="24292E"/>
          <w:sz w:val="22"/>
          <w:szCs w:val="22"/>
          <w:lang w:val="en-US"/>
        </w:rPr>
        <w:t>In the course of</w:t>
      </w:r>
      <w:proofErr w:type="gramEnd"/>
      <w:r w:rsidRPr="00C46345">
        <w:rPr>
          <w:rFonts w:ascii="Arial" w:hAnsi="Arial" w:cs="Arial"/>
          <w:color w:val="24292E"/>
          <w:sz w:val="22"/>
          <w:szCs w:val="22"/>
          <w:lang w:val="en-US"/>
        </w:rPr>
        <w:t xml:space="preserve"> this, a variety of terms that are explicitly defined in the PSD are used, yet the report does not cover such very definitions. Therefore, the following definitions are taken from the PSD directly—specifically, </w:t>
      </w:r>
      <w:r w:rsidRPr="00C46345">
        <w:rPr>
          <w:rFonts w:ascii="Arial" w:hAnsi="Arial" w:cs="Arial"/>
          <w:b/>
          <w:bCs/>
          <w:color w:val="24292E"/>
          <w:sz w:val="22"/>
          <w:szCs w:val="22"/>
          <w:lang w:val="en-US"/>
        </w:rPr>
        <w:t>Article 4 (“Definitions”)</w:t>
      </w:r>
      <w:r w:rsidRPr="00C46345">
        <w:rPr>
          <w:rFonts w:ascii="Arial" w:hAnsi="Arial" w:cs="Arial"/>
          <w:color w:val="24292E"/>
          <w:sz w:val="22"/>
          <w:szCs w:val="22"/>
          <w:lang w:val="en-US"/>
        </w:rPr>
        <w:t>—and not the report:</w:t>
      </w:r>
    </w:p>
    <w:p w14:paraId="71022D7B" w14:textId="77777777" w:rsidR="00C46345" w:rsidRPr="00C46345" w:rsidRDefault="00C46345" w:rsidP="009627A4">
      <w:pPr>
        <w:pStyle w:val="NormalWeb"/>
        <w:numPr>
          <w:ilvl w:val="0"/>
          <w:numId w:val="12"/>
        </w:numPr>
        <w:spacing w:before="0" w:beforeAutospacing="0" w:after="120" w:afterAutospacing="0" w:line="360" w:lineRule="auto"/>
        <w:ind w:left="714" w:hanging="357"/>
        <w:jc w:val="both"/>
        <w:rPr>
          <w:rFonts w:ascii="Arial" w:hAnsi="Arial" w:cs="Arial"/>
          <w:color w:val="24292E"/>
          <w:sz w:val="22"/>
          <w:szCs w:val="22"/>
          <w:lang w:val="en-US"/>
        </w:rPr>
      </w:pPr>
      <w:r w:rsidRPr="00C46345">
        <w:rPr>
          <w:rFonts w:ascii="Arial" w:hAnsi="Arial" w:cs="Arial"/>
          <w:color w:val="24292E"/>
          <w:sz w:val="22"/>
          <w:szCs w:val="22"/>
          <w:lang w:val="en-US"/>
        </w:rPr>
        <w:t xml:space="preserve">A </w:t>
      </w:r>
      <w:r w:rsidRPr="00C46345">
        <w:rPr>
          <w:rFonts w:ascii="Arial" w:hAnsi="Arial" w:cs="Arial"/>
          <w:b/>
          <w:bCs/>
          <w:color w:val="24292E"/>
          <w:sz w:val="22"/>
          <w:szCs w:val="22"/>
          <w:lang w:val="en-US"/>
        </w:rPr>
        <w:t>payment service</w:t>
      </w:r>
      <w:r w:rsidRPr="00C46345">
        <w:rPr>
          <w:rFonts w:ascii="Arial" w:hAnsi="Arial" w:cs="Arial"/>
          <w:color w:val="24292E"/>
          <w:sz w:val="22"/>
          <w:szCs w:val="22"/>
          <w:lang w:val="en-US"/>
        </w:rPr>
        <w:t xml:space="preserve"> is defined as “any business activity listed in the Annex.” The Annex lists seven such activities, including the “[e]</w:t>
      </w:r>
      <w:proofErr w:type="spellStart"/>
      <w:r w:rsidRPr="00C46345">
        <w:rPr>
          <w:rFonts w:ascii="Arial" w:hAnsi="Arial" w:cs="Arial"/>
          <w:color w:val="24292E"/>
          <w:sz w:val="22"/>
          <w:szCs w:val="22"/>
          <w:lang w:val="en-US"/>
        </w:rPr>
        <w:t>xecution</w:t>
      </w:r>
      <w:proofErr w:type="spellEnd"/>
      <w:r w:rsidRPr="00C46345">
        <w:rPr>
          <w:rFonts w:ascii="Arial" w:hAnsi="Arial" w:cs="Arial"/>
          <w:color w:val="24292E"/>
          <w:sz w:val="22"/>
          <w:szCs w:val="22"/>
          <w:lang w:val="en-US"/>
        </w:rPr>
        <w:t xml:space="preserve"> of payment transactions,” i.e., “credit transfers,” “direct debits” and “payment transactions through a payment card”—including such transactions “where the funds are </w:t>
      </w:r>
      <w:r w:rsidRPr="00C46345">
        <w:rPr>
          <w:rFonts w:ascii="Arial" w:hAnsi="Arial" w:cs="Arial"/>
          <w:color w:val="24292E"/>
          <w:sz w:val="22"/>
          <w:szCs w:val="22"/>
          <w:lang w:val="en-US"/>
        </w:rPr>
        <w:lastRenderedPageBreak/>
        <w:t>covered by a credit line”—, the “[</w:t>
      </w:r>
      <w:proofErr w:type="spellStart"/>
      <w:r w:rsidRPr="00C46345">
        <w:rPr>
          <w:rFonts w:ascii="Arial" w:hAnsi="Arial" w:cs="Arial"/>
          <w:color w:val="24292E"/>
          <w:sz w:val="22"/>
          <w:szCs w:val="22"/>
          <w:lang w:val="en-US"/>
        </w:rPr>
        <w:t>i</w:t>
      </w:r>
      <w:proofErr w:type="spellEnd"/>
      <w:r w:rsidRPr="00C46345">
        <w:rPr>
          <w:rFonts w:ascii="Arial" w:hAnsi="Arial" w:cs="Arial"/>
          <w:color w:val="24292E"/>
          <w:sz w:val="22"/>
          <w:szCs w:val="22"/>
          <w:lang w:val="en-US"/>
        </w:rPr>
        <w:t>]</w:t>
      </w:r>
      <w:proofErr w:type="spellStart"/>
      <w:r w:rsidRPr="00C46345">
        <w:rPr>
          <w:rFonts w:ascii="Arial" w:hAnsi="Arial" w:cs="Arial"/>
          <w:color w:val="24292E"/>
          <w:sz w:val="22"/>
          <w:szCs w:val="22"/>
          <w:lang w:val="en-US"/>
        </w:rPr>
        <w:t>ssuing</w:t>
      </w:r>
      <w:proofErr w:type="spellEnd"/>
      <w:r w:rsidRPr="00C46345">
        <w:rPr>
          <w:rFonts w:ascii="Arial" w:hAnsi="Arial" w:cs="Arial"/>
          <w:color w:val="24292E"/>
          <w:sz w:val="22"/>
          <w:szCs w:val="22"/>
          <w:lang w:val="en-US"/>
        </w:rPr>
        <w:t xml:space="preserve"> and/or acquiring of payment instruments” as well as “[m]</w:t>
      </w:r>
      <w:proofErr w:type="spellStart"/>
      <w:r w:rsidRPr="00C46345">
        <w:rPr>
          <w:rFonts w:ascii="Arial" w:hAnsi="Arial" w:cs="Arial"/>
          <w:color w:val="24292E"/>
          <w:sz w:val="22"/>
          <w:szCs w:val="22"/>
          <w:lang w:val="en-US"/>
        </w:rPr>
        <w:t>oney</w:t>
      </w:r>
      <w:proofErr w:type="spellEnd"/>
      <w:r w:rsidRPr="00C46345">
        <w:rPr>
          <w:rFonts w:ascii="Arial" w:hAnsi="Arial" w:cs="Arial"/>
          <w:color w:val="24292E"/>
          <w:sz w:val="22"/>
          <w:szCs w:val="22"/>
          <w:lang w:val="en-US"/>
        </w:rPr>
        <w:t xml:space="preserve"> remittance” services.</w:t>
      </w:r>
    </w:p>
    <w:p w14:paraId="7B97C1E3" w14:textId="77777777" w:rsidR="00C46345" w:rsidRPr="00C46345" w:rsidRDefault="00C46345" w:rsidP="009627A4">
      <w:pPr>
        <w:pStyle w:val="NormalWeb"/>
        <w:numPr>
          <w:ilvl w:val="0"/>
          <w:numId w:val="12"/>
        </w:numPr>
        <w:spacing w:before="0" w:beforeAutospacing="0" w:after="120" w:afterAutospacing="0" w:line="360" w:lineRule="auto"/>
        <w:ind w:left="714" w:hanging="357"/>
        <w:jc w:val="both"/>
        <w:rPr>
          <w:rFonts w:ascii="Arial" w:hAnsi="Arial" w:cs="Arial"/>
          <w:color w:val="24292E"/>
          <w:sz w:val="22"/>
          <w:szCs w:val="22"/>
          <w:lang w:val="en-US"/>
        </w:rPr>
      </w:pPr>
      <w:r w:rsidRPr="00C46345">
        <w:rPr>
          <w:rFonts w:ascii="Arial" w:hAnsi="Arial" w:cs="Arial"/>
          <w:color w:val="24292E"/>
          <w:sz w:val="22"/>
          <w:szCs w:val="22"/>
          <w:lang w:val="en-US"/>
        </w:rPr>
        <w:t xml:space="preserve">A </w:t>
      </w:r>
      <w:r w:rsidRPr="00C46345">
        <w:rPr>
          <w:rFonts w:ascii="Arial" w:hAnsi="Arial" w:cs="Arial"/>
          <w:b/>
          <w:bCs/>
          <w:color w:val="24292E"/>
          <w:sz w:val="22"/>
          <w:szCs w:val="22"/>
          <w:lang w:val="en-US"/>
        </w:rPr>
        <w:t>payment institution (PI)</w:t>
      </w:r>
      <w:r w:rsidRPr="00C46345">
        <w:rPr>
          <w:rFonts w:ascii="Arial" w:hAnsi="Arial" w:cs="Arial"/>
          <w:color w:val="24292E"/>
          <w:sz w:val="22"/>
          <w:szCs w:val="22"/>
          <w:lang w:val="en-US"/>
        </w:rPr>
        <w:t xml:space="preserve"> is defined as “a legal person that has been granted </w:t>
      </w:r>
      <w:proofErr w:type="spellStart"/>
      <w:r w:rsidRPr="00C46345">
        <w:rPr>
          <w:rFonts w:ascii="Arial" w:hAnsi="Arial" w:cs="Arial"/>
          <w:color w:val="24292E"/>
          <w:sz w:val="22"/>
          <w:szCs w:val="22"/>
          <w:lang w:val="en-US"/>
        </w:rPr>
        <w:t>authori</w:t>
      </w:r>
      <w:proofErr w:type="spellEnd"/>
      <w:r w:rsidRPr="00C46345">
        <w:rPr>
          <w:rFonts w:ascii="Arial" w:hAnsi="Arial" w:cs="Arial"/>
          <w:color w:val="24292E"/>
          <w:sz w:val="22"/>
          <w:szCs w:val="22"/>
          <w:lang w:val="en-US"/>
        </w:rPr>
        <w:t>[z]</w:t>
      </w:r>
      <w:proofErr w:type="spellStart"/>
      <w:r w:rsidRPr="00C46345">
        <w:rPr>
          <w:rFonts w:ascii="Arial" w:hAnsi="Arial" w:cs="Arial"/>
          <w:color w:val="24292E"/>
          <w:sz w:val="22"/>
          <w:szCs w:val="22"/>
          <w:lang w:val="en-US"/>
        </w:rPr>
        <w:t>ation</w:t>
      </w:r>
      <w:proofErr w:type="spellEnd"/>
      <w:r w:rsidRPr="00C46345">
        <w:rPr>
          <w:rFonts w:ascii="Arial" w:hAnsi="Arial" w:cs="Arial"/>
          <w:color w:val="24292E"/>
          <w:sz w:val="22"/>
          <w:szCs w:val="22"/>
          <w:lang w:val="en-US"/>
        </w:rPr>
        <w:t xml:space="preserve"> […] to provide and execute payment services.”</w:t>
      </w:r>
    </w:p>
    <w:p w14:paraId="07F62B90" w14:textId="40E5EA1A" w:rsidR="00C46345" w:rsidRPr="00C46345" w:rsidRDefault="00C46345" w:rsidP="009627A4">
      <w:pPr>
        <w:pStyle w:val="NormalWeb"/>
        <w:numPr>
          <w:ilvl w:val="0"/>
          <w:numId w:val="12"/>
        </w:numPr>
        <w:spacing w:before="0" w:beforeAutospacing="0" w:after="120" w:afterAutospacing="0" w:line="360" w:lineRule="auto"/>
        <w:ind w:left="714" w:hanging="357"/>
        <w:jc w:val="both"/>
        <w:rPr>
          <w:rFonts w:ascii="Arial" w:hAnsi="Arial" w:cs="Arial"/>
          <w:color w:val="24292E"/>
          <w:sz w:val="22"/>
          <w:szCs w:val="22"/>
          <w:lang w:val="en-US"/>
        </w:rPr>
      </w:pPr>
      <w:r w:rsidRPr="00C46345">
        <w:rPr>
          <w:rFonts w:ascii="Arial" w:hAnsi="Arial" w:cs="Arial"/>
          <w:color w:val="24292E"/>
          <w:sz w:val="22"/>
          <w:szCs w:val="22"/>
          <w:lang w:val="en-US"/>
        </w:rPr>
        <w:t xml:space="preserve">A </w:t>
      </w:r>
      <w:r w:rsidRPr="00C46345">
        <w:rPr>
          <w:rFonts w:ascii="Arial" w:hAnsi="Arial" w:cs="Arial"/>
          <w:b/>
          <w:bCs/>
          <w:color w:val="24292E"/>
          <w:sz w:val="22"/>
          <w:szCs w:val="22"/>
          <w:lang w:val="en-US"/>
        </w:rPr>
        <w:t>payment service provider (PSP)</w:t>
      </w:r>
      <w:r w:rsidRPr="00C46345">
        <w:rPr>
          <w:rFonts w:ascii="Arial" w:hAnsi="Arial" w:cs="Arial"/>
          <w:color w:val="24292E"/>
          <w:sz w:val="22"/>
          <w:szCs w:val="22"/>
          <w:lang w:val="en-US"/>
        </w:rPr>
        <w:t xml:space="preserve"> is defined as one of the “bodies referred to in Article 1(1)” as well as any legal or natural person “benefiting from the waiver under Article 26.” Article 1(1) lists “six categories of” PSPs, including “credit institutions,” “electronic money institutions,” “post office </w:t>
      </w:r>
      <w:proofErr w:type="spellStart"/>
      <w:r w:rsidRPr="00C46345">
        <w:rPr>
          <w:rFonts w:ascii="Arial" w:hAnsi="Arial" w:cs="Arial"/>
          <w:color w:val="24292E"/>
          <w:sz w:val="22"/>
          <w:szCs w:val="22"/>
          <w:lang w:val="en-US"/>
        </w:rPr>
        <w:t>giro</w:t>
      </w:r>
      <w:proofErr w:type="spellEnd"/>
      <w:r w:rsidRPr="00C46345">
        <w:rPr>
          <w:rFonts w:ascii="Arial" w:hAnsi="Arial" w:cs="Arial"/>
          <w:color w:val="24292E"/>
          <w:sz w:val="22"/>
          <w:szCs w:val="22"/>
          <w:lang w:val="en-US"/>
        </w:rPr>
        <w:t xml:space="preserve"> institutions,” “payment institutions” as defined above and the ECB and NCBs “when not acting in their capacity as monetary authority or other public authorities.” As Article 26 lists “[c]</w:t>
      </w:r>
      <w:proofErr w:type="spellStart"/>
      <w:r w:rsidRPr="00C46345">
        <w:rPr>
          <w:rFonts w:ascii="Arial" w:hAnsi="Arial" w:cs="Arial"/>
          <w:color w:val="24292E"/>
          <w:sz w:val="22"/>
          <w:szCs w:val="22"/>
          <w:lang w:val="en-US"/>
        </w:rPr>
        <w:t>onditions</w:t>
      </w:r>
      <w:proofErr w:type="spellEnd"/>
      <w:r w:rsidRPr="00C46345">
        <w:rPr>
          <w:rFonts w:ascii="Arial" w:hAnsi="Arial" w:cs="Arial"/>
          <w:color w:val="24292E"/>
          <w:sz w:val="22"/>
          <w:szCs w:val="22"/>
          <w:lang w:val="en-US"/>
        </w:rPr>
        <w:t>” under which “persons […] shall be treated as payment institutions” instead, it can be inferred that PIs represent a category of PSP</w:t>
      </w:r>
      <w:r w:rsidR="008D3BC2">
        <w:rPr>
          <w:rFonts w:ascii="Arial" w:hAnsi="Arial" w:cs="Arial"/>
          <w:color w:val="24292E"/>
          <w:sz w:val="22"/>
          <w:szCs w:val="22"/>
          <w:lang w:val="en-US"/>
        </w:rPr>
        <w:t>s</w:t>
      </w:r>
      <w:r w:rsidRPr="00C46345">
        <w:rPr>
          <w:rFonts w:ascii="Arial" w:hAnsi="Arial" w:cs="Arial"/>
          <w:color w:val="24292E"/>
          <w:sz w:val="22"/>
          <w:szCs w:val="22"/>
          <w:lang w:val="en-US"/>
        </w:rPr>
        <w:t xml:space="preserve"> as well.</w:t>
      </w:r>
    </w:p>
    <w:p w14:paraId="09F1DDCD" w14:textId="77777777" w:rsidR="00C46345" w:rsidRPr="00C46345" w:rsidRDefault="00C46345" w:rsidP="008714F9">
      <w:pPr>
        <w:pStyle w:val="NormalWeb"/>
        <w:numPr>
          <w:ilvl w:val="0"/>
          <w:numId w:val="12"/>
        </w:numPr>
        <w:spacing w:before="0" w:beforeAutospacing="0" w:after="240" w:afterAutospacing="0" w:line="360" w:lineRule="auto"/>
        <w:jc w:val="both"/>
        <w:rPr>
          <w:rFonts w:ascii="Arial" w:hAnsi="Arial" w:cs="Arial"/>
          <w:color w:val="24292E"/>
          <w:sz w:val="22"/>
          <w:szCs w:val="22"/>
          <w:lang w:val="en-US"/>
        </w:rPr>
      </w:pPr>
      <w:r w:rsidRPr="00C46345">
        <w:rPr>
          <w:rFonts w:ascii="Arial" w:hAnsi="Arial" w:cs="Arial"/>
          <w:color w:val="24292E"/>
          <w:sz w:val="22"/>
          <w:szCs w:val="22"/>
          <w:lang w:val="en-US"/>
        </w:rPr>
        <w:t xml:space="preserve">A </w:t>
      </w:r>
      <w:r w:rsidRPr="00C46345">
        <w:rPr>
          <w:rFonts w:ascii="Arial" w:hAnsi="Arial" w:cs="Arial"/>
          <w:b/>
          <w:bCs/>
          <w:color w:val="24292E"/>
          <w:sz w:val="22"/>
          <w:szCs w:val="22"/>
          <w:lang w:val="en-US"/>
        </w:rPr>
        <w:t>payment service user (PSU)</w:t>
      </w:r>
      <w:r w:rsidRPr="00C46345">
        <w:rPr>
          <w:rFonts w:ascii="Arial" w:hAnsi="Arial" w:cs="Arial"/>
          <w:color w:val="24292E"/>
          <w:sz w:val="22"/>
          <w:szCs w:val="22"/>
          <w:lang w:val="en-US"/>
        </w:rPr>
        <w:t xml:space="preserve"> is defined as “a natural or legal person making use of a payment service in the capacity of either payer or payee, or both.”</w:t>
      </w:r>
    </w:p>
    <w:p w14:paraId="1ED6B493" w14:textId="77777777" w:rsidR="00C46345" w:rsidRPr="00C46345" w:rsidRDefault="00C46345" w:rsidP="008714F9">
      <w:pPr>
        <w:pStyle w:val="NormalWeb"/>
        <w:spacing w:before="0" w:beforeAutospacing="0" w:after="240" w:afterAutospacing="0" w:line="360" w:lineRule="auto"/>
        <w:jc w:val="both"/>
        <w:rPr>
          <w:rFonts w:ascii="Arial" w:hAnsi="Arial" w:cs="Arial"/>
          <w:color w:val="24292E"/>
          <w:sz w:val="22"/>
          <w:szCs w:val="22"/>
          <w:lang w:val="en-US"/>
        </w:rPr>
      </w:pPr>
      <w:r w:rsidRPr="00C46345">
        <w:rPr>
          <w:rFonts w:ascii="Arial" w:hAnsi="Arial" w:cs="Arial"/>
          <w:color w:val="24292E"/>
          <w:sz w:val="22"/>
          <w:szCs w:val="22"/>
          <w:lang w:val="en-US"/>
        </w:rPr>
        <w:t xml:space="preserve">As mentioned, the report presents a “selective” list of Articles of the PSD “to be aware of.” The first set of such “key provisions,” including the following, </w:t>
      </w:r>
      <w:proofErr w:type="gramStart"/>
      <w:r w:rsidRPr="00C46345">
        <w:rPr>
          <w:rFonts w:ascii="Arial" w:hAnsi="Arial" w:cs="Arial"/>
          <w:color w:val="24292E"/>
          <w:sz w:val="22"/>
          <w:szCs w:val="22"/>
          <w:lang w:val="en-US"/>
        </w:rPr>
        <w:t>are considered to be</w:t>
      </w:r>
      <w:proofErr w:type="gramEnd"/>
      <w:r w:rsidRPr="00C46345">
        <w:rPr>
          <w:rFonts w:ascii="Arial" w:hAnsi="Arial" w:cs="Arial"/>
          <w:color w:val="24292E"/>
          <w:sz w:val="22"/>
          <w:szCs w:val="22"/>
          <w:lang w:val="en-US"/>
        </w:rPr>
        <w:t xml:space="preserve"> concerned with </w:t>
      </w:r>
      <w:r w:rsidRPr="00C46345">
        <w:rPr>
          <w:rFonts w:ascii="Arial" w:hAnsi="Arial" w:cs="Arial"/>
          <w:b/>
          <w:bCs/>
          <w:color w:val="24292E"/>
          <w:sz w:val="22"/>
          <w:szCs w:val="22"/>
          <w:lang w:val="en-US"/>
        </w:rPr>
        <w:t>execution time, value dating and charging</w:t>
      </w:r>
      <w:r w:rsidRPr="00C46345">
        <w:rPr>
          <w:rFonts w:ascii="Arial" w:hAnsi="Arial" w:cs="Arial"/>
          <w:color w:val="24292E"/>
          <w:sz w:val="22"/>
          <w:szCs w:val="22"/>
          <w:lang w:val="en-US"/>
        </w:rPr>
        <w:t>:</w:t>
      </w:r>
    </w:p>
    <w:p w14:paraId="2DDA4099" w14:textId="77777777" w:rsidR="00C46345" w:rsidRPr="00C46345" w:rsidRDefault="00C46345" w:rsidP="009627A4">
      <w:pPr>
        <w:pStyle w:val="NormalWeb"/>
        <w:numPr>
          <w:ilvl w:val="0"/>
          <w:numId w:val="13"/>
        </w:numPr>
        <w:spacing w:before="0" w:beforeAutospacing="0" w:after="120" w:afterAutospacing="0" w:line="360" w:lineRule="auto"/>
        <w:ind w:left="714" w:hanging="357"/>
        <w:jc w:val="both"/>
        <w:rPr>
          <w:rFonts w:ascii="Arial" w:hAnsi="Arial" w:cs="Arial"/>
          <w:color w:val="24292E"/>
          <w:sz w:val="22"/>
          <w:szCs w:val="22"/>
          <w:lang w:val="en-US"/>
        </w:rPr>
      </w:pPr>
      <w:r w:rsidRPr="00C46345">
        <w:rPr>
          <w:rFonts w:ascii="Arial" w:hAnsi="Arial" w:cs="Arial"/>
          <w:b/>
          <w:bCs/>
          <w:color w:val="24292E"/>
          <w:sz w:val="22"/>
          <w:szCs w:val="22"/>
          <w:lang w:val="en-US"/>
        </w:rPr>
        <w:t>Article 64 (“Receipt of payment orders”)</w:t>
      </w:r>
      <w:r w:rsidRPr="00C46345">
        <w:rPr>
          <w:rFonts w:ascii="Arial" w:hAnsi="Arial" w:cs="Arial"/>
          <w:color w:val="24292E"/>
          <w:sz w:val="22"/>
          <w:szCs w:val="22"/>
          <w:lang w:val="en-US"/>
        </w:rPr>
        <w:t xml:space="preserve"> is described to define the “point in time of receipt of a payment order” as well as to discuss “cut-off time.” It is summarized that the payer’s PSP is “allowed to set a cut-off time close to the end of a business day,” after which “payment orders” are to be treated as if they had been received the following day.”</w:t>
      </w:r>
    </w:p>
    <w:p w14:paraId="28ECF537" w14:textId="77777777" w:rsidR="00C46345" w:rsidRPr="00C46345" w:rsidRDefault="00C46345" w:rsidP="009627A4">
      <w:pPr>
        <w:pStyle w:val="NormalWeb"/>
        <w:numPr>
          <w:ilvl w:val="0"/>
          <w:numId w:val="13"/>
        </w:numPr>
        <w:spacing w:before="0" w:beforeAutospacing="0" w:after="120" w:afterAutospacing="0" w:line="360" w:lineRule="auto"/>
        <w:ind w:left="714" w:hanging="357"/>
        <w:jc w:val="both"/>
        <w:rPr>
          <w:rFonts w:ascii="Arial" w:hAnsi="Arial" w:cs="Arial"/>
          <w:color w:val="24292E"/>
          <w:sz w:val="22"/>
          <w:szCs w:val="22"/>
          <w:lang w:val="en-US"/>
        </w:rPr>
      </w:pPr>
      <w:r w:rsidRPr="00C46345">
        <w:rPr>
          <w:rFonts w:ascii="Arial" w:hAnsi="Arial" w:cs="Arial"/>
          <w:b/>
          <w:bCs/>
          <w:color w:val="24292E"/>
          <w:sz w:val="22"/>
          <w:szCs w:val="22"/>
          <w:lang w:val="en-US"/>
        </w:rPr>
        <w:t>Article 67 (“Amounts transferred and amounts received”)</w:t>
      </w:r>
      <w:r w:rsidRPr="00C46345">
        <w:rPr>
          <w:rFonts w:ascii="Arial" w:hAnsi="Arial" w:cs="Arial"/>
          <w:color w:val="24292E"/>
          <w:sz w:val="22"/>
          <w:szCs w:val="22"/>
          <w:lang w:val="en-US"/>
        </w:rPr>
        <w:t xml:space="preserve"> is said to state that “[t]he payment service provider of the payer, the payee and any intermediary provider must transfer the full amount and refrain from deducting charges.” However, it is noted that</w:t>
      </w:r>
      <w:proofErr w:type="gramStart"/>
      <w:r w:rsidRPr="00C46345">
        <w:rPr>
          <w:rFonts w:ascii="Arial" w:hAnsi="Arial" w:cs="Arial"/>
          <w:color w:val="24292E"/>
          <w:sz w:val="22"/>
          <w:szCs w:val="22"/>
          <w:lang w:val="en-US"/>
        </w:rPr>
        <w:t>—“</w:t>
      </w:r>
      <w:proofErr w:type="gramEnd"/>
      <w:r w:rsidRPr="00C46345">
        <w:rPr>
          <w:rFonts w:ascii="Arial" w:hAnsi="Arial" w:cs="Arial"/>
          <w:color w:val="24292E"/>
          <w:sz w:val="22"/>
          <w:szCs w:val="22"/>
          <w:lang w:val="en-US"/>
        </w:rPr>
        <w:t>subject to an agreement between the payee and the PSP”—“the payee’s PSP may deduct [its] charges from the payment.”</w:t>
      </w:r>
    </w:p>
    <w:p w14:paraId="25880B56" w14:textId="77777777" w:rsidR="00C46345" w:rsidRPr="00C46345" w:rsidRDefault="00C46345" w:rsidP="009627A4">
      <w:pPr>
        <w:pStyle w:val="NormalWeb"/>
        <w:numPr>
          <w:ilvl w:val="0"/>
          <w:numId w:val="13"/>
        </w:numPr>
        <w:spacing w:before="0" w:beforeAutospacing="0" w:after="120" w:afterAutospacing="0" w:line="360" w:lineRule="auto"/>
        <w:ind w:left="714" w:hanging="357"/>
        <w:jc w:val="both"/>
        <w:rPr>
          <w:rFonts w:ascii="Arial" w:hAnsi="Arial" w:cs="Arial"/>
          <w:color w:val="24292E"/>
          <w:sz w:val="22"/>
          <w:szCs w:val="22"/>
          <w:lang w:val="en-US"/>
        </w:rPr>
      </w:pPr>
      <w:r w:rsidRPr="00C46345">
        <w:rPr>
          <w:rFonts w:ascii="Arial" w:hAnsi="Arial" w:cs="Arial"/>
          <w:b/>
          <w:bCs/>
          <w:color w:val="24292E"/>
          <w:sz w:val="22"/>
          <w:szCs w:val="22"/>
          <w:lang w:val="en-US"/>
        </w:rPr>
        <w:t>Article 69 (“Payment transactions to a payment account”)</w:t>
      </w:r>
      <w:r w:rsidRPr="00C46345">
        <w:rPr>
          <w:rFonts w:ascii="Arial" w:hAnsi="Arial" w:cs="Arial"/>
          <w:color w:val="24292E"/>
          <w:sz w:val="22"/>
          <w:szCs w:val="22"/>
          <w:lang w:val="en-US"/>
        </w:rPr>
        <w:t xml:space="preserve"> is stated to define that “[a] payment transaction must be credited to the payee’s PSP’s account at the latest by the end of the next business day,” with exceptions applying to “paper-initiated transactions.”</w:t>
      </w:r>
    </w:p>
    <w:p w14:paraId="6F27993D" w14:textId="77777777" w:rsidR="00C46345" w:rsidRPr="00C46345" w:rsidRDefault="00C46345" w:rsidP="008714F9">
      <w:pPr>
        <w:pStyle w:val="NormalWeb"/>
        <w:numPr>
          <w:ilvl w:val="0"/>
          <w:numId w:val="13"/>
        </w:numPr>
        <w:spacing w:before="0" w:beforeAutospacing="0" w:after="240" w:afterAutospacing="0" w:line="360" w:lineRule="auto"/>
        <w:jc w:val="both"/>
        <w:rPr>
          <w:rFonts w:ascii="Arial" w:hAnsi="Arial" w:cs="Arial"/>
          <w:color w:val="24292E"/>
          <w:sz w:val="22"/>
          <w:szCs w:val="22"/>
          <w:lang w:val="en-US"/>
        </w:rPr>
      </w:pPr>
      <w:r w:rsidRPr="00C46345">
        <w:rPr>
          <w:rFonts w:ascii="Arial" w:hAnsi="Arial" w:cs="Arial"/>
          <w:b/>
          <w:bCs/>
          <w:color w:val="24292E"/>
          <w:sz w:val="22"/>
          <w:szCs w:val="22"/>
          <w:lang w:val="en-US"/>
        </w:rPr>
        <w:lastRenderedPageBreak/>
        <w:t>Article 73 (“Value date and availability of funds”)</w:t>
      </w:r>
      <w:r w:rsidRPr="00C46345">
        <w:rPr>
          <w:rFonts w:ascii="Arial" w:hAnsi="Arial" w:cs="Arial"/>
          <w:color w:val="24292E"/>
          <w:sz w:val="22"/>
          <w:szCs w:val="22"/>
          <w:lang w:val="en-US"/>
        </w:rPr>
        <w:t xml:space="preserve"> is said to stipulate that the debit value date for the payer‘s payment account is “not [to be] earlier than the point in time at which the amount of the payment transaction is debited to that payment account,” while the credit value date must “no[t be] later than the business day on which the amount of the payment transaction is credited.”</w:t>
      </w:r>
    </w:p>
    <w:p w14:paraId="5D2E9F70" w14:textId="77777777" w:rsidR="00C46345" w:rsidRPr="00C46345" w:rsidRDefault="00C46345" w:rsidP="008714F9">
      <w:pPr>
        <w:pStyle w:val="NormalWeb"/>
        <w:spacing w:before="0" w:beforeAutospacing="0" w:after="240" w:afterAutospacing="0" w:line="360" w:lineRule="auto"/>
        <w:jc w:val="both"/>
        <w:rPr>
          <w:rFonts w:ascii="Arial" w:hAnsi="Arial" w:cs="Arial"/>
          <w:color w:val="24292E"/>
          <w:sz w:val="22"/>
          <w:szCs w:val="22"/>
          <w:lang w:val="en-US"/>
        </w:rPr>
      </w:pPr>
      <w:r w:rsidRPr="00C46345">
        <w:rPr>
          <w:rFonts w:ascii="Arial" w:hAnsi="Arial" w:cs="Arial"/>
          <w:color w:val="24292E"/>
          <w:sz w:val="22"/>
          <w:szCs w:val="22"/>
          <w:lang w:val="en-US"/>
        </w:rPr>
        <w:t xml:space="preserve">With regards to the “execution time specified in the PSD,” the report concludes that—in the case of all “cross-border transfer[s] in EUR”—the so-called </w:t>
      </w:r>
      <w:r w:rsidRPr="00C46345">
        <w:rPr>
          <w:rFonts w:ascii="Arial" w:hAnsi="Arial" w:cs="Arial"/>
          <w:b/>
          <w:bCs/>
          <w:color w:val="24292E"/>
          <w:sz w:val="22"/>
          <w:szCs w:val="22"/>
          <w:lang w:val="en-US"/>
        </w:rPr>
        <w:t>D+1 rule</w:t>
      </w:r>
      <w:r w:rsidRPr="00C46345">
        <w:rPr>
          <w:rFonts w:ascii="Arial" w:hAnsi="Arial" w:cs="Arial"/>
          <w:color w:val="24292E"/>
          <w:sz w:val="22"/>
          <w:szCs w:val="22"/>
          <w:lang w:val="en-US"/>
        </w:rPr>
        <w:t xml:space="preserve"> applies, where “D” is the “[d]</w:t>
      </w:r>
      <w:proofErr w:type="spellStart"/>
      <w:r w:rsidRPr="00C46345">
        <w:rPr>
          <w:rFonts w:ascii="Arial" w:hAnsi="Arial" w:cs="Arial"/>
          <w:color w:val="24292E"/>
          <w:sz w:val="22"/>
          <w:szCs w:val="22"/>
          <w:lang w:val="en-US"/>
        </w:rPr>
        <w:t>ebit</w:t>
      </w:r>
      <w:proofErr w:type="spellEnd"/>
      <w:r w:rsidRPr="00C46345">
        <w:rPr>
          <w:rFonts w:ascii="Arial" w:hAnsi="Arial" w:cs="Arial"/>
          <w:color w:val="24292E"/>
          <w:sz w:val="22"/>
          <w:szCs w:val="22"/>
          <w:lang w:val="en-US"/>
        </w:rPr>
        <w:t xml:space="preserve"> value date for the payer’s payment account” and “D+1” the “[c]</w:t>
      </w:r>
      <w:proofErr w:type="spellStart"/>
      <w:r w:rsidRPr="00C46345">
        <w:rPr>
          <w:rFonts w:ascii="Arial" w:hAnsi="Arial" w:cs="Arial"/>
          <w:color w:val="24292E"/>
          <w:sz w:val="22"/>
          <w:szCs w:val="22"/>
          <w:lang w:val="en-US"/>
        </w:rPr>
        <w:t>redit</w:t>
      </w:r>
      <w:proofErr w:type="spellEnd"/>
      <w:r w:rsidRPr="00C46345">
        <w:rPr>
          <w:rFonts w:ascii="Arial" w:hAnsi="Arial" w:cs="Arial"/>
          <w:color w:val="24292E"/>
          <w:sz w:val="22"/>
          <w:szCs w:val="22"/>
          <w:lang w:val="en-US"/>
        </w:rPr>
        <w:t xml:space="preserve"> value date” for the payee’s payment account. The report also covers the PSD’s stipulations on non-euro payments as well as on so-called </w:t>
      </w:r>
      <w:r w:rsidRPr="00C46345">
        <w:rPr>
          <w:rFonts w:ascii="Arial" w:hAnsi="Arial" w:cs="Arial"/>
          <w:b/>
          <w:bCs/>
          <w:color w:val="24292E"/>
          <w:sz w:val="22"/>
          <w:szCs w:val="22"/>
          <w:lang w:val="en-US"/>
        </w:rPr>
        <w:t>leg-in and leg-out transactions</w:t>
      </w:r>
      <w:r w:rsidRPr="00C46345">
        <w:rPr>
          <w:rFonts w:ascii="Arial" w:hAnsi="Arial" w:cs="Arial"/>
          <w:color w:val="24292E"/>
          <w:sz w:val="22"/>
          <w:szCs w:val="22"/>
          <w:lang w:val="en-US"/>
        </w:rPr>
        <w:t>, where either the payer’s or the payee’s bank is located outside the EU/EEA. However, these scenarios go beyond the scope of this paper.</w:t>
      </w:r>
    </w:p>
    <w:p w14:paraId="60A76347" w14:textId="77777777" w:rsidR="00C46345" w:rsidRPr="00C46345" w:rsidRDefault="00C46345" w:rsidP="008714F9">
      <w:pPr>
        <w:pStyle w:val="NormalWeb"/>
        <w:spacing w:before="0" w:beforeAutospacing="0" w:after="240" w:afterAutospacing="0" w:line="360" w:lineRule="auto"/>
        <w:jc w:val="both"/>
        <w:rPr>
          <w:rFonts w:ascii="Arial" w:hAnsi="Arial" w:cs="Arial"/>
          <w:color w:val="24292E"/>
          <w:sz w:val="22"/>
          <w:szCs w:val="22"/>
          <w:lang w:val="en-US"/>
        </w:rPr>
      </w:pPr>
      <w:r w:rsidRPr="00C46345">
        <w:rPr>
          <w:rFonts w:ascii="Arial" w:hAnsi="Arial" w:cs="Arial"/>
          <w:color w:val="24292E"/>
          <w:sz w:val="22"/>
          <w:szCs w:val="22"/>
          <w:lang w:val="en-US"/>
        </w:rPr>
        <w:t xml:space="preserve">The next set of key provisions, including the following, </w:t>
      </w:r>
      <w:proofErr w:type="gramStart"/>
      <w:r w:rsidRPr="00C46345">
        <w:rPr>
          <w:rFonts w:ascii="Arial" w:hAnsi="Arial" w:cs="Arial"/>
          <w:color w:val="24292E"/>
          <w:sz w:val="22"/>
          <w:szCs w:val="22"/>
          <w:lang w:val="en-US"/>
        </w:rPr>
        <w:t>are considered to be</w:t>
      </w:r>
      <w:proofErr w:type="gramEnd"/>
      <w:r w:rsidRPr="00C46345">
        <w:rPr>
          <w:rFonts w:ascii="Arial" w:hAnsi="Arial" w:cs="Arial"/>
          <w:color w:val="24292E"/>
          <w:sz w:val="22"/>
          <w:szCs w:val="22"/>
          <w:lang w:val="en-US"/>
        </w:rPr>
        <w:t xml:space="preserve"> concerned with </w:t>
      </w:r>
      <w:r w:rsidRPr="00C46345">
        <w:rPr>
          <w:rFonts w:ascii="Arial" w:hAnsi="Arial" w:cs="Arial"/>
          <w:b/>
          <w:bCs/>
          <w:color w:val="24292E"/>
          <w:sz w:val="22"/>
          <w:szCs w:val="22"/>
          <w:lang w:val="en-US"/>
        </w:rPr>
        <w:t>information and transparency for customers</w:t>
      </w:r>
      <w:r w:rsidRPr="00C46345">
        <w:rPr>
          <w:rFonts w:ascii="Arial" w:hAnsi="Arial" w:cs="Arial"/>
          <w:color w:val="24292E"/>
          <w:sz w:val="22"/>
          <w:szCs w:val="22"/>
          <w:lang w:val="en-US"/>
        </w:rPr>
        <w:t>:</w:t>
      </w:r>
    </w:p>
    <w:p w14:paraId="10988199" w14:textId="77777777" w:rsidR="00C46345" w:rsidRPr="00C46345" w:rsidRDefault="00C46345" w:rsidP="009627A4">
      <w:pPr>
        <w:pStyle w:val="NormalWeb"/>
        <w:numPr>
          <w:ilvl w:val="0"/>
          <w:numId w:val="14"/>
        </w:numPr>
        <w:spacing w:before="0" w:beforeAutospacing="0" w:after="120" w:afterAutospacing="0" w:line="360" w:lineRule="auto"/>
        <w:ind w:left="714" w:hanging="357"/>
        <w:jc w:val="both"/>
        <w:rPr>
          <w:rFonts w:ascii="Arial" w:hAnsi="Arial" w:cs="Arial"/>
          <w:color w:val="24292E"/>
          <w:sz w:val="22"/>
          <w:szCs w:val="22"/>
          <w:lang w:val="en-US"/>
        </w:rPr>
      </w:pPr>
      <w:r w:rsidRPr="00C46345">
        <w:rPr>
          <w:rFonts w:ascii="Arial" w:hAnsi="Arial" w:cs="Arial"/>
          <w:b/>
          <w:bCs/>
          <w:color w:val="24292E"/>
          <w:sz w:val="22"/>
          <w:szCs w:val="22"/>
          <w:lang w:val="en-US"/>
        </w:rPr>
        <w:t>Article 32 (“Charges for information”)</w:t>
      </w:r>
      <w:r w:rsidRPr="00C46345">
        <w:rPr>
          <w:rFonts w:ascii="Arial" w:hAnsi="Arial" w:cs="Arial"/>
          <w:color w:val="24292E"/>
          <w:sz w:val="22"/>
          <w:szCs w:val="22"/>
          <w:lang w:val="en-US"/>
        </w:rPr>
        <w:t xml:space="preserve"> is quoted to state that “PSPs must not charge customers for providing information.”</w:t>
      </w:r>
    </w:p>
    <w:p w14:paraId="45B08626" w14:textId="77777777" w:rsidR="00C46345" w:rsidRPr="00C46345" w:rsidRDefault="00C46345" w:rsidP="008714F9">
      <w:pPr>
        <w:pStyle w:val="NormalWeb"/>
        <w:numPr>
          <w:ilvl w:val="0"/>
          <w:numId w:val="14"/>
        </w:numPr>
        <w:spacing w:before="0" w:beforeAutospacing="0" w:after="240" w:afterAutospacing="0" w:line="360" w:lineRule="auto"/>
        <w:jc w:val="both"/>
        <w:rPr>
          <w:rFonts w:ascii="Arial" w:hAnsi="Arial" w:cs="Arial"/>
          <w:color w:val="24292E"/>
          <w:sz w:val="22"/>
          <w:szCs w:val="22"/>
          <w:lang w:val="en-US"/>
        </w:rPr>
      </w:pPr>
      <w:r w:rsidRPr="00C46345">
        <w:rPr>
          <w:rFonts w:ascii="Arial" w:hAnsi="Arial" w:cs="Arial"/>
          <w:color w:val="24292E"/>
          <w:sz w:val="22"/>
          <w:szCs w:val="22"/>
          <w:lang w:val="en-US"/>
        </w:rPr>
        <w:t xml:space="preserve">Possibly in reference to </w:t>
      </w:r>
      <w:r w:rsidRPr="00C46345">
        <w:rPr>
          <w:rFonts w:ascii="Arial" w:hAnsi="Arial" w:cs="Arial"/>
          <w:b/>
          <w:bCs/>
          <w:color w:val="24292E"/>
          <w:sz w:val="22"/>
          <w:szCs w:val="22"/>
          <w:lang w:val="en-US"/>
        </w:rPr>
        <w:t>Articles 36–39 and 41–48</w:t>
      </w:r>
      <w:r w:rsidRPr="00C46345">
        <w:rPr>
          <w:rFonts w:ascii="Arial" w:hAnsi="Arial" w:cs="Arial"/>
          <w:color w:val="24292E"/>
          <w:sz w:val="22"/>
          <w:szCs w:val="22"/>
          <w:lang w:val="en-US"/>
        </w:rPr>
        <w:t>, it is said that “PSPs must provide full transparency to customers before and after a payment is executed,” including information on “maximum execution time, all charges payable,” etc.</w:t>
      </w:r>
    </w:p>
    <w:p w14:paraId="20174928" w14:textId="77777777" w:rsidR="00C46345" w:rsidRPr="00C46345" w:rsidRDefault="00C46345" w:rsidP="008714F9">
      <w:pPr>
        <w:pStyle w:val="NormalWeb"/>
        <w:spacing w:before="0" w:beforeAutospacing="0" w:after="240" w:afterAutospacing="0" w:line="360" w:lineRule="auto"/>
        <w:jc w:val="both"/>
        <w:rPr>
          <w:rFonts w:ascii="Arial" w:hAnsi="Arial" w:cs="Arial"/>
          <w:color w:val="24292E"/>
          <w:sz w:val="22"/>
          <w:szCs w:val="22"/>
          <w:lang w:val="en-US"/>
        </w:rPr>
      </w:pPr>
      <w:r w:rsidRPr="00C46345">
        <w:rPr>
          <w:rFonts w:ascii="Arial" w:hAnsi="Arial" w:cs="Arial"/>
          <w:color w:val="24292E"/>
          <w:sz w:val="22"/>
          <w:szCs w:val="22"/>
          <w:lang w:val="en-US"/>
        </w:rPr>
        <w:t xml:space="preserve">Another set of key provisions, including the following, </w:t>
      </w:r>
      <w:proofErr w:type="gramStart"/>
      <w:r w:rsidRPr="00C46345">
        <w:rPr>
          <w:rFonts w:ascii="Arial" w:hAnsi="Arial" w:cs="Arial"/>
          <w:color w:val="24292E"/>
          <w:sz w:val="22"/>
          <w:szCs w:val="22"/>
          <w:lang w:val="en-US"/>
        </w:rPr>
        <w:t>are considered to be</w:t>
      </w:r>
      <w:proofErr w:type="gramEnd"/>
      <w:r w:rsidRPr="00C46345">
        <w:rPr>
          <w:rFonts w:ascii="Arial" w:hAnsi="Arial" w:cs="Arial"/>
          <w:color w:val="24292E"/>
          <w:sz w:val="22"/>
          <w:szCs w:val="22"/>
          <w:lang w:val="en-US"/>
        </w:rPr>
        <w:t xml:space="preserve"> concerned with </w:t>
      </w:r>
      <w:r w:rsidRPr="00C46345">
        <w:rPr>
          <w:rFonts w:ascii="Arial" w:hAnsi="Arial" w:cs="Arial"/>
          <w:b/>
          <w:bCs/>
          <w:color w:val="24292E"/>
          <w:sz w:val="22"/>
          <w:szCs w:val="22"/>
          <w:lang w:val="en-US"/>
        </w:rPr>
        <w:t>customer obligations and liabilities</w:t>
      </w:r>
      <w:r w:rsidRPr="00C46345">
        <w:rPr>
          <w:rFonts w:ascii="Arial" w:hAnsi="Arial" w:cs="Arial"/>
          <w:color w:val="24292E"/>
          <w:sz w:val="22"/>
          <w:szCs w:val="22"/>
          <w:lang w:val="en-US"/>
        </w:rPr>
        <w:t>:</w:t>
      </w:r>
    </w:p>
    <w:p w14:paraId="385E45D8" w14:textId="77777777" w:rsidR="00C46345" w:rsidRPr="00C46345" w:rsidRDefault="00C46345" w:rsidP="009627A4">
      <w:pPr>
        <w:pStyle w:val="NormalWeb"/>
        <w:numPr>
          <w:ilvl w:val="0"/>
          <w:numId w:val="15"/>
        </w:numPr>
        <w:spacing w:before="0" w:beforeAutospacing="0" w:after="120" w:afterAutospacing="0" w:line="360" w:lineRule="auto"/>
        <w:ind w:left="714" w:hanging="357"/>
        <w:jc w:val="both"/>
        <w:rPr>
          <w:rFonts w:ascii="Arial" w:hAnsi="Arial" w:cs="Arial"/>
          <w:color w:val="24292E"/>
          <w:sz w:val="22"/>
          <w:szCs w:val="22"/>
        </w:rPr>
      </w:pPr>
      <w:r w:rsidRPr="00C46345">
        <w:rPr>
          <w:rFonts w:ascii="Arial" w:hAnsi="Arial" w:cs="Arial"/>
          <w:b/>
          <w:bCs/>
          <w:color w:val="24292E"/>
          <w:sz w:val="22"/>
          <w:szCs w:val="22"/>
          <w:lang w:val="en-US"/>
        </w:rPr>
        <w:t>Articles 58 and 60</w:t>
      </w:r>
      <w:r w:rsidRPr="00C46345">
        <w:rPr>
          <w:rFonts w:ascii="Arial" w:hAnsi="Arial" w:cs="Arial"/>
          <w:color w:val="24292E"/>
          <w:sz w:val="22"/>
          <w:szCs w:val="22"/>
          <w:lang w:val="en-US"/>
        </w:rPr>
        <w:t xml:space="preserve"> are quoted to stipulate that the PSU must notify the PSP of “any </w:t>
      </w:r>
      <w:proofErr w:type="spellStart"/>
      <w:r w:rsidRPr="00C46345">
        <w:rPr>
          <w:rFonts w:ascii="Arial" w:hAnsi="Arial" w:cs="Arial"/>
          <w:color w:val="24292E"/>
          <w:sz w:val="22"/>
          <w:szCs w:val="22"/>
          <w:lang w:val="en-US"/>
        </w:rPr>
        <w:t>unauthori</w:t>
      </w:r>
      <w:proofErr w:type="spellEnd"/>
      <w:r w:rsidRPr="00C46345">
        <w:rPr>
          <w:rFonts w:ascii="Arial" w:hAnsi="Arial" w:cs="Arial"/>
          <w:color w:val="24292E"/>
          <w:sz w:val="22"/>
          <w:szCs w:val="22"/>
          <w:lang w:val="en-US"/>
        </w:rPr>
        <w:t xml:space="preserve">[z]ed or incorrectly executed payment transaction” “without undue delay” and “no later than 13 months after the debit date.” </w:t>
      </w:r>
      <w:r w:rsidRPr="00C46345">
        <w:rPr>
          <w:rFonts w:ascii="Arial" w:hAnsi="Arial" w:cs="Arial"/>
          <w:color w:val="24292E"/>
          <w:sz w:val="22"/>
          <w:szCs w:val="22"/>
        </w:rPr>
        <w:t>Refunding must happen “immediately.”</w:t>
      </w:r>
    </w:p>
    <w:p w14:paraId="13AA3FCB" w14:textId="77777777" w:rsidR="00C46345" w:rsidRPr="00C46345" w:rsidRDefault="00C46345" w:rsidP="009627A4">
      <w:pPr>
        <w:pStyle w:val="NormalWeb"/>
        <w:numPr>
          <w:ilvl w:val="0"/>
          <w:numId w:val="15"/>
        </w:numPr>
        <w:spacing w:before="0" w:beforeAutospacing="0" w:after="120" w:afterAutospacing="0" w:line="360" w:lineRule="auto"/>
        <w:ind w:left="714" w:hanging="357"/>
        <w:jc w:val="both"/>
        <w:rPr>
          <w:rFonts w:ascii="Arial" w:hAnsi="Arial" w:cs="Arial"/>
          <w:color w:val="24292E"/>
          <w:sz w:val="22"/>
          <w:szCs w:val="22"/>
          <w:lang w:val="en-US"/>
        </w:rPr>
      </w:pPr>
      <w:r w:rsidRPr="00C46345">
        <w:rPr>
          <w:rFonts w:ascii="Arial" w:hAnsi="Arial" w:cs="Arial"/>
          <w:b/>
          <w:bCs/>
          <w:color w:val="24292E"/>
          <w:sz w:val="22"/>
          <w:szCs w:val="22"/>
          <w:lang w:val="en-US"/>
        </w:rPr>
        <w:t>Article 59 (“Evidence on authentication and execution of payment transactions”)</w:t>
      </w:r>
      <w:r w:rsidRPr="00C46345">
        <w:rPr>
          <w:rFonts w:ascii="Arial" w:hAnsi="Arial" w:cs="Arial"/>
          <w:color w:val="24292E"/>
          <w:sz w:val="22"/>
          <w:szCs w:val="22"/>
          <w:lang w:val="en-US"/>
        </w:rPr>
        <w:t xml:space="preserve"> is summarized to state that, essentially, the “PSP must prove that [a] transaction was authenticated.”</w:t>
      </w:r>
    </w:p>
    <w:p w14:paraId="055E1DCD" w14:textId="77777777" w:rsidR="00C46345" w:rsidRPr="00C46345" w:rsidRDefault="00C46345" w:rsidP="008714F9">
      <w:pPr>
        <w:pStyle w:val="NormalWeb"/>
        <w:numPr>
          <w:ilvl w:val="0"/>
          <w:numId w:val="15"/>
        </w:numPr>
        <w:spacing w:before="0" w:beforeAutospacing="0" w:after="240" w:afterAutospacing="0" w:line="360" w:lineRule="auto"/>
        <w:jc w:val="both"/>
        <w:rPr>
          <w:rFonts w:ascii="Arial" w:hAnsi="Arial" w:cs="Arial"/>
          <w:color w:val="24292E"/>
          <w:sz w:val="22"/>
          <w:szCs w:val="22"/>
          <w:lang w:val="en-US"/>
        </w:rPr>
      </w:pPr>
      <w:r w:rsidRPr="00C46345">
        <w:rPr>
          <w:rFonts w:ascii="Arial" w:hAnsi="Arial" w:cs="Arial"/>
          <w:b/>
          <w:bCs/>
          <w:color w:val="24292E"/>
          <w:sz w:val="22"/>
          <w:szCs w:val="22"/>
          <w:lang w:val="en-US"/>
        </w:rPr>
        <w:t>Articles 62 and 63</w:t>
      </w:r>
      <w:r w:rsidRPr="00C46345">
        <w:rPr>
          <w:rFonts w:ascii="Arial" w:hAnsi="Arial" w:cs="Arial"/>
          <w:color w:val="24292E"/>
          <w:sz w:val="22"/>
          <w:szCs w:val="22"/>
          <w:lang w:val="en-US"/>
        </w:rPr>
        <w:t xml:space="preserve"> are quoted to stipulate that—with regards to “[r]</w:t>
      </w:r>
      <w:proofErr w:type="spellStart"/>
      <w:r w:rsidRPr="00C46345">
        <w:rPr>
          <w:rFonts w:ascii="Arial" w:hAnsi="Arial" w:cs="Arial"/>
          <w:color w:val="24292E"/>
          <w:sz w:val="22"/>
          <w:szCs w:val="22"/>
          <w:lang w:val="en-US"/>
        </w:rPr>
        <w:t>efund</w:t>
      </w:r>
      <w:proofErr w:type="spellEnd"/>
      <w:r w:rsidRPr="00C46345">
        <w:rPr>
          <w:rFonts w:ascii="Arial" w:hAnsi="Arial" w:cs="Arial"/>
          <w:color w:val="24292E"/>
          <w:sz w:val="22"/>
          <w:szCs w:val="22"/>
          <w:lang w:val="en-US"/>
        </w:rPr>
        <w:t xml:space="preserve">[s] of </w:t>
      </w:r>
      <w:proofErr w:type="spellStart"/>
      <w:r w:rsidRPr="00C46345">
        <w:rPr>
          <w:rFonts w:ascii="Arial" w:hAnsi="Arial" w:cs="Arial"/>
          <w:color w:val="24292E"/>
          <w:sz w:val="22"/>
          <w:szCs w:val="22"/>
          <w:lang w:val="en-US"/>
        </w:rPr>
        <w:t>authori</w:t>
      </w:r>
      <w:proofErr w:type="spellEnd"/>
      <w:r w:rsidRPr="00C46345">
        <w:rPr>
          <w:rFonts w:ascii="Arial" w:hAnsi="Arial" w:cs="Arial"/>
          <w:color w:val="24292E"/>
          <w:sz w:val="22"/>
          <w:szCs w:val="22"/>
          <w:lang w:val="en-US"/>
        </w:rPr>
        <w:t>[z]ed direct debit[s]”—the PSP “is entitled to [such] a refund” if the “[a]</w:t>
      </w:r>
      <w:proofErr w:type="spellStart"/>
      <w:r w:rsidRPr="00C46345">
        <w:rPr>
          <w:rFonts w:ascii="Arial" w:hAnsi="Arial" w:cs="Arial"/>
          <w:color w:val="24292E"/>
          <w:sz w:val="22"/>
          <w:szCs w:val="22"/>
          <w:lang w:val="en-US"/>
        </w:rPr>
        <w:t>uthori</w:t>
      </w:r>
      <w:proofErr w:type="spellEnd"/>
      <w:r w:rsidRPr="00C46345">
        <w:rPr>
          <w:rFonts w:ascii="Arial" w:hAnsi="Arial" w:cs="Arial"/>
          <w:color w:val="24292E"/>
          <w:sz w:val="22"/>
          <w:szCs w:val="22"/>
          <w:lang w:val="en-US"/>
        </w:rPr>
        <w:t>[z]</w:t>
      </w:r>
      <w:proofErr w:type="spellStart"/>
      <w:r w:rsidRPr="00C46345">
        <w:rPr>
          <w:rFonts w:ascii="Arial" w:hAnsi="Arial" w:cs="Arial"/>
          <w:color w:val="24292E"/>
          <w:sz w:val="22"/>
          <w:szCs w:val="22"/>
          <w:lang w:val="en-US"/>
        </w:rPr>
        <w:t>ation</w:t>
      </w:r>
      <w:proofErr w:type="spellEnd"/>
      <w:r w:rsidRPr="00C46345">
        <w:rPr>
          <w:rFonts w:ascii="Arial" w:hAnsi="Arial" w:cs="Arial"/>
          <w:color w:val="24292E"/>
          <w:sz w:val="22"/>
          <w:szCs w:val="22"/>
          <w:lang w:val="en-US"/>
        </w:rPr>
        <w:t xml:space="preserve"> did not specify [an] exact amount” and the “[a]mount of [the] </w:t>
      </w:r>
      <w:r w:rsidRPr="00C46345">
        <w:rPr>
          <w:rFonts w:ascii="Arial" w:hAnsi="Arial" w:cs="Arial"/>
          <w:color w:val="24292E"/>
          <w:sz w:val="22"/>
          <w:szCs w:val="22"/>
          <w:lang w:val="en-US"/>
        </w:rPr>
        <w:lastRenderedPageBreak/>
        <w:t>transaction exceeded” what could have “reasonably” been expected. Refunding “can [be] request[ed] […] for a period of 8 weeks from the date on which the funds were debited.” The PSP must “[r]</w:t>
      </w:r>
      <w:proofErr w:type="spellStart"/>
      <w:r w:rsidRPr="00C46345">
        <w:rPr>
          <w:rFonts w:ascii="Arial" w:hAnsi="Arial" w:cs="Arial"/>
          <w:color w:val="24292E"/>
          <w:sz w:val="22"/>
          <w:szCs w:val="22"/>
          <w:lang w:val="en-US"/>
        </w:rPr>
        <w:t>efund</w:t>
      </w:r>
      <w:proofErr w:type="spellEnd"/>
      <w:r w:rsidRPr="00C46345">
        <w:rPr>
          <w:rFonts w:ascii="Arial" w:hAnsi="Arial" w:cs="Arial"/>
          <w:color w:val="24292E"/>
          <w:sz w:val="22"/>
          <w:szCs w:val="22"/>
          <w:lang w:val="en-US"/>
        </w:rPr>
        <w:t xml:space="preserve"> [the] full amount within 10 business days or provide justification for refusing” to do so.</w:t>
      </w:r>
    </w:p>
    <w:p w14:paraId="06A9E6CA" w14:textId="072B2DA9" w:rsidR="00C46345" w:rsidRDefault="00C46345" w:rsidP="008714F9">
      <w:pPr>
        <w:pStyle w:val="NormalWeb"/>
        <w:spacing w:before="0" w:beforeAutospacing="0" w:after="240" w:afterAutospacing="0" w:line="360" w:lineRule="auto"/>
        <w:jc w:val="both"/>
        <w:rPr>
          <w:rFonts w:ascii="Arial" w:hAnsi="Arial" w:cs="Arial"/>
          <w:color w:val="24292E"/>
          <w:sz w:val="22"/>
          <w:szCs w:val="22"/>
          <w:lang w:val="en-US"/>
        </w:rPr>
      </w:pPr>
      <w:r w:rsidRPr="00C46345">
        <w:rPr>
          <w:rFonts w:ascii="Arial" w:hAnsi="Arial" w:cs="Arial"/>
          <w:color w:val="24292E"/>
          <w:sz w:val="22"/>
          <w:szCs w:val="22"/>
          <w:lang w:val="en-US"/>
        </w:rPr>
        <w:t xml:space="preserve">Finally, the report also notes that the PSD defines </w:t>
      </w:r>
      <w:r w:rsidRPr="00C46345">
        <w:rPr>
          <w:rFonts w:ascii="Arial" w:hAnsi="Arial" w:cs="Arial"/>
          <w:b/>
          <w:bCs/>
          <w:color w:val="24292E"/>
          <w:sz w:val="22"/>
          <w:szCs w:val="22"/>
          <w:lang w:val="en-US"/>
        </w:rPr>
        <w:t>an entirely new category of PSP—the PI</w:t>
      </w:r>
      <w:r w:rsidRPr="00C46345">
        <w:rPr>
          <w:rFonts w:ascii="Arial" w:hAnsi="Arial" w:cs="Arial"/>
          <w:color w:val="24292E"/>
          <w:sz w:val="22"/>
          <w:szCs w:val="22"/>
          <w:lang w:val="en-US"/>
        </w:rPr>
        <w:t>. PIs are described as having to be “[a]</w:t>
      </w:r>
      <w:proofErr w:type="spellStart"/>
      <w:r w:rsidRPr="00C46345">
        <w:rPr>
          <w:rFonts w:ascii="Arial" w:hAnsi="Arial" w:cs="Arial"/>
          <w:color w:val="24292E"/>
          <w:sz w:val="22"/>
          <w:szCs w:val="22"/>
          <w:lang w:val="en-US"/>
        </w:rPr>
        <w:t>uthori</w:t>
      </w:r>
      <w:proofErr w:type="spellEnd"/>
      <w:r w:rsidRPr="00C46345">
        <w:rPr>
          <w:rFonts w:ascii="Arial" w:hAnsi="Arial" w:cs="Arial"/>
          <w:color w:val="24292E"/>
          <w:sz w:val="22"/>
          <w:szCs w:val="22"/>
          <w:lang w:val="en-US"/>
        </w:rPr>
        <w:t>[z]ed to provide and execute payment services” but then be “allowed to offer the same payment services throughout the EU/EEA.” It is noted that the PSD “specifies” the “[a]</w:t>
      </w:r>
      <w:proofErr w:type="spellStart"/>
      <w:r w:rsidRPr="00C46345">
        <w:rPr>
          <w:rFonts w:ascii="Arial" w:hAnsi="Arial" w:cs="Arial"/>
          <w:color w:val="24292E"/>
          <w:sz w:val="22"/>
          <w:szCs w:val="22"/>
          <w:lang w:val="en-US"/>
        </w:rPr>
        <w:t>uthori</w:t>
      </w:r>
      <w:proofErr w:type="spellEnd"/>
      <w:r w:rsidRPr="00C46345">
        <w:rPr>
          <w:rFonts w:ascii="Arial" w:hAnsi="Arial" w:cs="Arial"/>
          <w:color w:val="24292E"/>
          <w:sz w:val="22"/>
          <w:szCs w:val="22"/>
          <w:lang w:val="en-US"/>
        </w:rPr>
        <w:t>[z]</w:t>
      </w:r>
      <w:proofErr w:type="spellStart"/>
      <w:r w:rsidRPr="00C46345">
        <w:rPr>
          <w:rFonts w:ascii="Arial" w:hAnsi="Arial" w:cs="Arial"/>
          <w:color w:val="24292E"/>
          <w:sz w:val="22"/>
          <w:szCs w:val="22"/>
          <w:lang w:val="en-US"/>
        </w:rPr>
        <w:t>ation</w:t>
      </w:r>
      <w:proofErr w:type="spellEnd"/>
      <w:r w:rsidRPr="00C46345">
        <w:rPr>
          <w:rFonts w:ascii="Arial" w:hAnsi="Arial" w:cs="Arial"/>
          <w:color w:val="24292E"/>
          <w:sz w:val="22"/>
          <w:szCs w:val="22"/>
          <w:lang w:val="en-US"/>
        </w:rPr>
        <w:t>” of and “[c]</w:t>
      </w:r>
      <w:proofErr w:type="spellStart"/>
      <w:r w:rsidRPr="00C46345">
        <w:rPr>
          <w:rFonts w:ascii="Arial" w:hAnsi="Arial" w:cs="Arial"/>
          <w:color w:val="24292E"/>
          <w:sz w:val="22"/>
          <w:szCs w:val="22"/>
          <w:lang w:val="en-US"/>
        </w:rPr>
        <w:t>apital</w:t>
      </w:r>
      <w:proofErr w:type="spellEnd"/>
      <w:r w:rsidRPr="00C46345">
        <w:rPr>
          <w:rFonts w:ascii="Arial" w:hAnsi="Arial" w:cs="Arial"/>
          <w:color w:val="24292E"/>
          <w:sz w:val="22"/>
          <w:szCs w:val="22"/>
          <w:lang w:val="en-US"/>
        </w:rPr>
        <w:t xml:space="preserve"> requirements” for PIs as well as their “[s]</w:t>
      </w:r>
      <w:proofErr w:type="spellStart"/>
      <w:r w:rsidRPr="00C46345">
        <w:rPr>
          <w:rFonts w:ascii="Arial" w:hAnsi="Arial" w:cs="Arial"/>
          <w:color w:val="24292E"/>
          <w:sz w:val="22"/>
          <w:szCs w:val="22"/>
          <w:lang w:val="en-US"/>
        </w:rPr>
        <w:t>afeguarding</w:t>
      </w:r>
      <w:proofErr w:type="spellEnd"/>
      <w:r w:rsidRPr="00C46345">
        <w:rPr>
          <w:rFonts w:ascii="Arial" w:hAnsi="Arial" w:cs="Arial"/>
          <w:color w:val="24292E"/>
          <w:sz w:val="22"/>
          <w:szCs w:val="22"/>
          <w:lang w:val="en-US"/>
        </w:rPr>
        <w:t xml:space="preserve"> […] requirements,” “[r]</w:t>
      </w:r>
      <w:proofErr w:type="spellStart"/>
      <w:r w:rsidRPr="00C46345">
        <w:rPr>
          <w:rFonts w:ascii="Arial" w:hAnsi="Arial" w:cs="Arial"/>
          <w:color w:val="24292E"/>
          <w:sz w:val="22"/>
          <w:szCs w:val="22"/>
          <w:lang w:val="en-US"/>
        </w:rPr>
        <w:t>egistration</w:t>
      </w:r>
      <w:proofErr w:type="spellEnd"/>
      <w:r w:rsidRPr="00C46345">
        <w:rPr>
          <w:rFonts w:ascii="Arial" w:hAnsi="Arial" w:cs="Arial"/>
          <w:color w:val="24292E"/>
          <w:sz w:val="22"/>
          <w:szCs w:val="22"/>
          <w:lang w:val="en-US"/>
        </w:rPr>
        <w:t>, record-keeping,” the “[u]se of agents” and the “[s]</w:t>
      </w:r>
      <w:proofErr w:type="spellStart"/>
      <w:r w:rsidRPr="00C46345">
        <w:rPr>
          <w:rFonts w:ascii="Arial" w:hAnsi="Arial" w:cs="Arial"/>
          <w:color w:val="24292E"/>
          <w:sz w:val="22"/>
          <w:szCs w:val="22"/>
          <w:lang w:val="en-US"/>
        </w:rPr>
        <w:t>upervision</w:t>
      </w:r>
      <w:proofErr w:type="spellEnd"/>
      <w:r w:rsidRPr="00C46345">
        <w:rPr>
          <w:rFonts w:ascii="Arial" w:hAnsi="Arial" w:cs="Arial"/>
          <w:color w:val="24292E"/>
          <w:sz w:val="22"/>
          <w:szCs w:val="22"/>
          <w:lang w:val="en-US"/>
        </w:rPr>
        <w:t xml:space="preserve"> […] by authorities.” The report does not further elaborate on PIs. However, from the previously stated it can be inferred that PIs are PSPs, which enables them to offer payment services, while, at the same time, they do not correspond to any other type of PSP, e.g., they are not credit institutions, and, therefore, are less heavily regulated.</w:t>
      </w:r>
    </w:p>
    <w:p w14:paraId="3E86BCEA" w14:textId="454DE053" w:rsidR="00C46345" w:rsidRPr="000114C5" w:rsidRDefault="00C46345" w:rsidP="008238EC">
      <w:pPr>
        <w:pStyle w:val="Heading2"/>
        <w:rPr>
          <w:lang w:val="en-US"/>
        </w:rPr>
      </w:pPr>
      <w:bookmarkStart w:id="18" w:name="_Toc53958265"/>
      <w:r>
        <w:rPr>
          <w:lang w:val="en-US"/>
        </w:rPr>
        <w:t>The PSD2 of 2015</w:t>
      </w:r>
      <w:bookmarkEnd w:id="18"/>
    </w:p>
    <w:p w14:paraId="2001B4F5" w14:textId="24254672" w:rsidR="00C46345" w:rsidRPr="00C46345" w:rsidRDefault="00C46345" w:rsidP="008714F9">
      <w:pPr>
        <w:pStyle w:val="NormalWeb"/>
        <w:spacing w:before="240" w:beforeAutospacing="0" w:after="240" w:afterAutospacing="0" w:line="360" w:lineRule="auto"/>
        <w:jc w:val="both"/>
        <w:rPr>
          <w:rFonts w:ascii="Arial" w:hAnsi="Arial" w:cs="Arial"/>
          <w:color w:val="24292E"/>
          <w:sz w:val="22"/>
          <w:szCs w:val="22"/>
          <w:lang w:val="en-US"/>
        </w:rPr>
      </w:pPr>
      <w:r w:rsidRPr="00C46345">
        <w:rPr>
          <w:rFonts w:ascii="Arial" w:hAnsi="Arial" w:cs="Arial"/>
          <w:color w:val="24292E"/>
          <w:sz w:val="22"/>
          <w:szCs w:val="22"/>
          <w:lang w:val="en-US"/>
        </w:rPr>
        <w:t xml:space="preserve">This subsection introduces the PSD2 of 2015, formally, Directive 2015/2366 of 25 November 2015 on payment services in the internal market. </w:t>
      </w:r>
      <w:proofErr w:type="gramStart"/>
      <w:r w:rsidRPr="00C46345">
        <w:rPr>
          <w:rFonts w:ascii="Arial" w:hAnsi="Arial" w:cs="Arial"/>
          <w:color w:val="24292E"/>
          <w:sz w:val="22"/>
          <w:szCs w:val="22"/>
          <w:lang w:val="en-US"/>
        </w:rPr>
        <w:t>Similarly</w:t>
      </w:r>
      <w:proofErr w:type="gramEnd"/>
      <w:r w:rsidRPr="00C46345">
        <w:rPr>
          <w:rFonts w:ascii="Arial" w:hAnsi="Arial" w:cs="Arial"/>
          <w:color w:val="24292E"/>
          <w:sz w:val="22"/>
          <w:szCs w:val="22"/>
          <w:lang w:val="en-US"/>
        </w:rPr>
        <w:t xml:space="preserve"> to the previous subsection, it is intended to provide context as to why the PSD2 came into existence and what its goals are as well as to present a selection of its key provisions. This subsection is based on the report “The Second Payment Services Directive (PSD2)” [</w:t>
      </w:r>
      <w:r w:rsidRPr="001F69B9">
        <w:rPr>
          <w:rFonts w:ascii="Arial" w:hAnsi="Arial" w:cs="Arial"/>
          <w:sz w:val="22"/>
          <w:szCs w:val="22"/>
          <w:lang w:val="en-US"/>
        </w:rPr>
        <w:t>5</w:t>
      </w:r>
      <w:r w:rsidRPr="00C46345">
        <w:rPr>
          <w:rFonts w:ascii="Arial" w:hAnsi="Arial" w:cs="Arial"/>
          <w:color w:val="24292E"/>
          <w:sz w:val="22"/>
          <w:szCs w:val="22"/>
          <w:lang w:val="en-US"/>
        </w:rPr>
        <w:t>], which was released in 2016 by the trade association Payments UK—which has since merged with other such organizations to form UK Finance.</w:t>
      </w:r>
    </w:p>
    <w:p w14:paraId="7C87EC5F" w14:textId="77777777" w:rsidR="00C46345" w:rsidRPr="00C46345" w:rsidRDefault="00C46345" w:rsidP="008714F9">
      <w:pPr>
        <w:pStyle w:val="NormalWeb"/>
        <w:spacing w:before="0" w:beforeAutospacing="0" w:after="240" w:afterAutospacing="0" w:line="360" w:lineRule="auto"/>
        <w:jc w:val="both"/>
        <w:rPr>
          <w:rFonts w:ascii="Arial" w:hAnsi="Arial" w:cs="Arial"/>
          <w:color w:val="24292E"/>
          <w:sz w:val="22"/>
          <w:szCs w:val="22"/>
          <w:lang w:val="en-US"/>
        </w:rPr>
      </w:pPr>
      <w:r w:rsidRPr="00C46345">
        <w:rPr>
          <w:rFonts w:ascii="Arial" w:hAnsi="Arial" w:cs="Arial"/>
          <w:color w:val="24292E"/>
          <w:sz w:val="22"/>
          <w:szCs w:val="22"/>
          <w:lang w:val="en-US"/>
        </w:rPr>
        <w:t>As to why the PSD2 came into existence, the report states that upon “reviewing the PSD in 2012, the European Commission found [...] a number of benefits” that were introduced by the original PSD, including “[a]n increase in competition” due to the “market entrance” of “regulated non-bank players,” i.e., PIs, “[</w:t>
      </w:r>
      <w:proofErr w:type="spellStart"/>
      <w:r w:rsidRPr="00C46345">
        <w:rPr>
          <w:rFonts w:ascii="Arial" w:hAnsi="Arial" w:cs="Arial"/>
          <w:color w:val="24292E"/>
          <w:sz w:val="22"/>
          <w:szCs w:val="22"/>
          <w:lang w:val="en-US"/>
        </w:rPr>
        <w:t>i</w:t>
      </w:r>
      <w:proofErr w:type="spellEnd"/>
      <w:r w:rsidRPr="00C46345">
        <w:rPr>
          <w:rFonts w:ascii="Arial" w:hAnsi="Arial" w:cs="Arial"/>
          <w:color w:val="24292E"/>
          <w:sz w:val="22"/>
          <w:szCs w:val="22"/>
          <w:lang w:val="en-US"/>
        </w:rPr>
        <w:t>]</w:t>
      </w:r>
      <w:proofErr w:type="spellStart"/>
      <w:r w:rsidRPr="00C46345">
        <w:rPr>
          <w:rFonts w:ascii="Arial" w:hAnsi="Arial" w:cs="Arial"/>
          <w:color w:val="24292E"/>
          <w:sz w:val="22"/>
          <w:szCs w:val="22"/>
          <w:lang w:val="en-US"/>
        </w:rPr>
        <w:t>mproved</w:t>
      </w:r>
      <w:proofErr w:type="spellEnd"/>
      <w:r w:rsidRPr="00C46345">
        <w:rPr>
          <w:rFonts w:ascii="Arial" w:hAnsi="Arial" w:cs="Arial"/>
          <w:color w:val="24292E"/>
          <w:sz w:val="22"/>
          <w:szCs w:val="22"/>
          <w:lang w:val="en-US"/>
        </w:rPr>
        <w:t xml:space="preserve"> economies of scale” due to the PSD having laid the “foundation for the operational implementation” of the SEPA as well as “[e]</w:t>
      </w:r>
      <w:proofErr w:type="spellStart"/>
      <w:r w:rsidRPr="00C46345">
        <w:rPr>
          <w:rFonts w:ascii="Arial" w:hAnsi="Arial" w:cs="Arial"/>
          <w:color w:val="24292E"/>
          <w:sz w:val="22"/>
          <w:szCs w:val="22"/>
          <w:lang w:val="en-US"/>
        </w:rPr>
        <w:t>nhanced</w:t>
      </w:r>
      <w:proofErr w:type="spellEnd"/>
      <w:r w:rsidRPr="00C46345">
        <w:rPr>
          <w:rFonts w:ascii="Arial" w:hAnsi="Arial" w:cs="Arial"/>
          <w:color w:val="24292E"/>
          <w:sz w:val="22"/>
          <w:szCs w:val="22"/>
          <w:lang w:val="en-US"/>
        </w:rPr>
        <w:t xml:space="preserve"> transparency” and “reinforced” “rights and obligations linked to payment services.” However, it is also stressed that “legislation needs to remain relevant to the environment to which it relates” and that this very environment</w:t>
      </w:r>
      <w:proofErr w:type="gramStart"/>
      <w:r w:rsidRPr="00C46345">
        <w:rPr>
          <w:rFonts w:ascii="Arial" w:hAnsi="Arial" w:cs="Arial"/>
          <w:color w:val="24292E"/>
          <w:sz w:val="22"/>
          <w:szCs w:val="22"/>
          <w:lang w:val="en-US"/>
        </w:rPr>
        <w:t>—”the</w:t>
      </w:r>
      <w:proofErr w:type="gramEnd"/>
      <w:r w:rsidRPr="00C46345">
        <w:rPr>
          <w:rFonts w:ascii="Arial" w:hAnsi="Arial" w:cs="Arial"/>
          <w:color w:val="24292E"/>
          <w:sz w:val="22"/>
          <w:szCs w:val="22"/>
          <w:lang w:val="en-US"/>
        </w:rPr>
        <w:t xml:space="preserve"> payments sector”—”is experiencing rapid change.” More concretely, it is resumed that the PSD needed to be “future proofed” to properly regulate “the new breed of PSPs that are becoming increasingly active in the </w:t>
      </w:r>
      <w:proofErr w:type="gramStart"/>
      <w:r w:rsidRPr="00C46345">
        <w:rPr>
          <w:rFonts w:ascii="Arial" w:hAnsi="Arial" w:cs="Arial"/>
          <w:color w:val="24292E"/>
          <w:sz w:val="22"/>
          <w:szCs w:val="22"/>
          <w:lang w:val="en-US"/>
        </w:rPr>
        <w:t>pan[</w:t>
      </w:r>
      <w:proofErr w:type="gramEnd"/>
      <w:r w:rsidRPr="00C46345">
        <w:rPr>
          <w:rFonts w:ascii="Arial" w:hAnsi="Arial" w:cs="Arial"/>
          <w:color w:val="24292E"/>
          <w:sz w:val="22"/>
          <w:szCs w:val="22"/>
          <w:lang w:val="en-US"/>
        </w:rPr>
        <w:t>-]European market.”</w:t>
      </w:r>
    </w:p>
    <w:p w14:paraId="058402C2" w14:textId="77777777" w:rsidR="00C46345" w:rsidRPr="00C46345" w:rsidRDefault="00C46345" w:rsidP="008714F9">
      <w:pPr>
        <w:pStyle w:val="NormalWeb"/>
        <w:spacing w:before="0" w:beforeAutospacing="0" w:after="240" w:afterAutospacing="0" w:line="360" w:lineRule="auto"/>
        <w:jc w:val="both"/>
        <w:rPr>
          <w:rFonts w:ascii="Arial" w:hAnsi="Arial" w:cs="Arial"/>
          <w:color w:val="24292E"/>
          <w:sz w:val="22"/>
          <w:szCs w:val="22"/>
          <w:lang w:val="en-US"/>
        </w:rPr>
      </w:pPr>
      <w:r w:rsidRPr="00C46345">
        <w:rPr>
          <w:rFonts w:ascii="Arial" w:hAnsi="Arial" w:cs="Arial"/>
          <w:color w:val="24292E"/>
          <w:sz w:val="22"/>
          <w:szCs w:val="22"/>
          <w:lang w:val="en-US"/>
        </w:rPr>
        <w:lastRenderedPageBreak/>
        <w:t xml:space="preserve">The report provides an outline of the “PSD2’s main aims.” Those—being </w:t>
      </w:r>
      <w:proofErr w:type="gramStart"/>
      <w:r w:rsidRPr="00C46345">
        <w:rPr>
          <w:rFonts w:ascii="Arial" w:hAnsi="Arial" w:cs="Arial"/>
          <w:color w:val="24292E"/>
          <w:sz w:val="22"/>
          <w:szCs w:val="22"/>
          <w:lang w:val="en-US"/>
        </w:rPr>
        <w:t>fairly general</w:t>
      </w:r>
      <w:proofErr w:type="gramEnd"/>
      <w:r w:rsidRPr="00C46345">
        <w:rPr>
          <w:rFonts w:ascii="Arial" w:hAnsi="Arial" w:cs="Arial"/>
          <w:color w:val="24292E"/>
          <w:sz w:val="22"/>
          <w:szCs w:val="22"/>
          <w:lang w:val="en-US"/>
        </w:rPr>
        <w:t xml:space="preserve"> in nature—include the contribution “to a more integrated and efficient European payments market,” the promotion of “competition,” the improvement of “consumer protection” and “lower prices.” A more concrete statement on one of the PSD2’s most important goals can actually be found in one of the sidebars of the report: “[The] PSD2 brings certain new payment services, and their providers, within the scope of the Directive.”</w:t>
      </w:r>
    </w:p>
    <w:p w14:paraId="346A84E6" w14:textId="77777777" w:rsidR="00C46345" w:rsidRPr="00C46345" w:rsidRDefault="00C46345" w:rsidP="008714F9">
      <w:pPr>
        <w:pStyle w:val="NormalWeb"/>
        <w:spacing w:before="0" w:beforeAutospacing="0" w:after="240" w:afterAutospacing="0" w:line="360" w:lineRule="auto"/>
        <w:jc w:val="both"/>
        <w:rPr>
          <w:rFonts w:ascii="Arial" w:hAnsi="Arial" w:cs="Arial"/>
          <w:color w:val="24292E"/>
          <w:sz w:val="22"/>
          <w:szCs w:val="22"/>
          <w:lang w:val="en-US"/>
        </w:rPr>
      </w:pPr>
      <w:r w:rsidRPr="00C46345">
        <w:rPr>
          <w:rFonts w:ascii="Arial" w:hAnsi="Arial" w:cs="Arial"/>
          <w:color w:val="24292E"/>
          <w:sz w:val="22"/>
          <w:szCs w:val="22"/>
          <w:lang w:val="en-US"/>
        </w:rPr>
        <w:t>On a formal note, the report points out that the PSD2 had to be “transposed into national law by Member States by 13 January 2018.” Consequently, “the majority of the legal provisions” of the PSD2 have been legally binding at least since then. However, “a number of guidelines and technical standards” concerning “strong customer authentication and secure communication” ran “to a different timetable” and were to be implemented by 14 September 2019—the latter date was set after the report was published and, thus, not mentioned therein. The report states that the PSD2 does—just like the original PSD—apply within the EEA, which still encompasses the EU as well as the three non-EU countries Iceland, Liechtenstein and Norway. It is to be pointed out that in 2016, when the report was published, the EU still consisted of 28 Member States, as Croatia joined the EU in 2016, i.e., after the original PSD came into force, and the United Kingdom had not left the EU yet. Whether or not the United Kingdom will remain part of the EEA is hotly debated at the time of this writing.</w:t>
      </w:r>
    </w:p>
    <w:p w14:paraId="75793CC6" w14:textId="77777777" w:rsidR="00C46345" w:rsidRPr="00C46345" w:rsidRDefault="00C46345" w:rsidP="008714F9">
      <w:pPr>
        <w:pStyle w:val="NormalWeb"/>
        <w:spacing w:before="0" w:beforeAutospacing="0" w:after="240" w:afterAutospacing="0" w:line="360" w:lineRule="auto"/>
        <w:jc w:val="both"/>
        <w:rPr>
          <w:rFonts w:ascii="Arial" w:hAnsi="Arial" w:cs="Arial"/>
          <w:color w:val="24292E"/>
          <w:sz w:val="22"/>
          <w:szCs w:val="22"/>
          <w:lang w:val="en-US"/>
        </w:rPr>
      </w:pPr>
      <w:r w:rsidRPr="00C46345">
        <w:rPr>
          <w:rFonts w:ascii="Arial" w:hAnsi="Arial" w:cs="Arial"/>
          <w:color w:val="24292E"/>
          <w:sz w:val="22"/>
          <w:szCs w:val="22"/>
          <w:lang w:val="en-US"/>
        </w:rPr>
        <w:t xml:space="preserve">The PSD2, which encompasses a total of 117 Articles, “preserves the structure of the original PSD in terms of the split into sections (Titles) and content areas but has added a number of new or amended provisions.” Although not mentioned in the report, one such Title has been renamed, i.e., </w:t>
      </w:r>
      <w:r w:rsidRPr="00C46345">
        <w:rPr>
          <w:rFonts w:ascii="Arial" w:hAnsi="Arial" w:cs="Arial"/>
          <w:b/>
          <w:bCs/>
          <w:color w:val="24292E"/>
          <w:sz w:val="22"/>
          <w:szCs w:val="22"/>
          <w:lang w:val="en-US"/>
        </w:rPr>
        <w:t>Title V (“Delegated Acts and Regulatory Technical Standards”)</w:t>
      </w:r>
      <w:r w:rsidRPr="00C46345">
        <w:rPr>
          <w:rFonts w:ascii="Arial" w:hAnsi="Arial" w:cs="Arial"/>
          <w:color w:val="24292E"/>
          <w:sz w:val="22"/>
          <w:szCs w:val="22"/>
          <w:lang w:val="en-US"/>
        </w:rPr>
        <w:t xml:space="preserve">. Likewise, </w:t>
      </w:r>
      <w:proofErr w:type="gramStart"/>
      <w:r w:rsidRPr="00C46345">
        <w:rPr>
          <w:rFonts w:ascii="Arial" w:hAnsi="Arial" w:cs="Arial"/>
          <w:color w:val="24292E"/>
          <w:sz w:val="22"/>
          <w:szCs w:val="22"/>
          <w:lang w:val="en-US"/>
        </w:rPr>
        <w:t>it should be pointed out that the</w:t>
      </w:r>
      <w:proofErr w:type="gramEnd"/>
      <w:r w:rsidRPr="00C46345">
        <w:rPr>
          <w:rFonts w:ascii="Arial" w:hAnsi="Arial" w:cs="Arial"/>
          <w:color w:val="24292E"/>
          <w:sz w:val="22"/>
          <w:szCs w:val="22"/>
          <w:lang w:val="en-US"/>
        </w:rPr>
        <w:t xml:space="preserve"> PSD2 features a “correlation table,” which displays the numbers of the respective Articles of the original PSD and the PSD2 side by side.</w:t>
      </w:r>
    </w:p>
    <w:p w14:paraId="471D743C" w14:textId="77777777" w:rsidR="00C46345" w:rsidRPr="00C46345" w:rsidRDefault="00C46345" w:rsidP="008714F9">
      <w:pPr>
        <w:pStyle w:val="NormalWeb"/>
        <w:spacing w:before="0" w:beforeAutospacing="0" w:after="240" w:afterAutospacing="0" w:line="360" w:lineRule="auto"/>
        <w:jc w:val="both"/>
        <w:rPr>
          <w:rFonts w:ascii="Arial" w:hAnsi="Arial" w:cs="Arial"/>
          <w:color w:val="24292E"/>
          <w:sz w:val="22"/>
          <w:szCs w:val="22"/>
        </w:rPr>
      </w:pPr>
      <w:r w:rsidRPr="00C46345">
        <w:rPr>
          <w:rFonts w:ascii="Arial" w:hAnsi="Arial" w:cs="Arial"/>
          <w:color w:val="24292E"/>
          <w:sz w:val="22"/>
          <w:szCs w:val="22"/>
          <w:lang w:val="en-US"/>
        </w:rPr>
        <w:t xml:space="preserve">The report finds that the PSD2’s “key changes” can be “grouped” into “four </w:t>
      </w:r>
      <w:proofErr w:type="gramStart"/>
      <w:r w:rsidRPr="00C46345">
        <w:rPr>
          <w:rFonts w:ascii="Arial" w:hAnsi="Arial" w:cs="Arial"/>
          <w:color w:val="24292E"/>
          <w:sz w:val="22"/>
          <w:szCs w:val="22"/>
          <w:lang w:val="en-US"/>
        </w:rPr>
        <w:t>main</w:t>
      </w:r>
      <w:proofErr w:type="gramEnd"/>
      <w:r w:rsidRPr="00C46345">
        <w:rPr>
          <w:rFonts w:ascii="Arial" w:hAnsi="Arial" w:cs="Arial"/>
          <w:color w:val="24292E"/>
          <w:sz w:val="22"/>
          <w:szCs w:val="22"/>
          <w:lang w:val="en-US"/>
        </w:rPr>
        <w:t xml:space="preserve"> but overlapping themes,” the first of which is </w:t>
      </w:r>
      <w:r w:rsidRPr="00C46345">
        <w:rPr>
          <w:rFonts w:ascii="Arial" w:hAnsi="Arial" w:cs="Arial"/>
          <w:b/>
          <w:bCs/>
          <w:color w:val="24292E"/>
          <w:sz w:val="22"/>
          <w:szCs w:val="22"/>
          <w:lang w:val="en-US"/>
        </w:rPr>
        <w:t>market efficiency and integration</w:t>
      </w:r>
      <w:r w:rsidRPr="00C46345">
        <w:rPr>
          <w:rFonts w:ascii="Arial" w:hAnsi="Arial" w:cs="Arial"/>
          <w:color w:val="24292E"/>
          <w:sz w:val="22"/>
          <w:szCs w:val="22"/>
          <w:lang w:val="en-US"/>
        </w:rPr>
        <w:t xml:space="preserve">. </w:t>
      </w:r>
      <w:r w:rsidRPr="00C46345">
        <w:rPr>
          <w:rFonts w:ascii="Arial" w:hAnsi="Arial" w:cs="Arial"/>
          <w:color w:val="24292E"/>
          <w:sz w:val="22"/>
          <w:szCs w:val="22"/>
        </w:rPr>
        <w:t>Changes falling into this category include the following:</w:t>
      </w:r>
    </w:p>
    <w:p w14:paraId="500108D3" w14:textId="77777777" w:rsidR="00C46345" w:rsidRPr="00C46345" w:rsidRDefault="00C46345" w:rsidP="009627A4">
      <w:pPr>
        <w:pStyle w:val="NormalWeb"/>
        <w:numPr>
          <w:ilvl w:val="0"/>
          <w:numId w:val="17"/>
        </w:numPr>
        <w:spacing w:before="0" w:beforeAutospacing="0" w:after="120" w:afterAutospacing="0" w:line="360" w:lineRule="auto"/>
        <w:ind w:left="714" w:hanging="357"/>
        <w:jc w:val="both"/>
        <w:rPr>
          <w:rFonts w:ascii="Arial" w:hAnsi="Arial" w:cs="Arial"/>
          <w:color w:val="24292E"/>
          <w:sz w:val="22"/>
          <w:szCs w:val="22"/>
          <w:lang w:val="en-US"/>
        </w:rPr>
      </w:pPr>
      <w:r w:rsidRPr="00C46345">
        <w:rPr>
          <w:rFonts w:ascii="Arial" w:hAnsi="Arial" w:cs="Arial"/>
          <w:color w:val="24292E"/>
          <w:sz w:val="22"/>
          <w:szCs w:val="22"/>
          <w:lang w:val="en-US"/>
        </w:rPr>
        <w:t xml:space="preserve">The PSD2 is said to </w:t>
      </w:r>
      <w:r w:rsidRPr="00C46345">
        <w:rPr>
          <w:rFonts w:ascii="Arial" w:hAnsi="Arial" w:cs="Arial"/>
          <w:b/>
          <w:bCs/>
          <w:color w:val="24292E"/>
          <w:sz w:val="22"/>
          <w:szCs w:val="22"/>
          <w:lang w:val="en-US"/>
        </w:rPr>
        <w:t>extend the Directive’s scope with regards to currencies and one-leg transactions</w:t>
      </w:r>
      <w:r w:rsidRPr="00C46345">
        <w:rPr>
          <w:rFonts w:ascii="Arial" w:hAnsi="Arial" w:cs="Arial"/>
          <w:color w:val="24292E"/>
          <w:sz w:val="22"/>
          <w:szCs w:val="22"/>
          <w:lang w:val="en-US"/>
        </w:rPr>
        <w:t xml:space="preserve"> as for it to not only apply to “all EEA currency payments where the PSPs of both the payer and payee are located within the </w:t>
      </w:r>
      <w:r w:rsidRPr="00C46345">
        <w:rPr>
          <w:rFonts w:ascii="Arial" w:hAnsi="Arial" w:cs="Arial"/>
          <w:color w:val="24292E"/>
          <w:sz w:val="22"/>
          <w:szCs w:val="22"/>
          <w:lang w:val="en-US"/>
        </w:rPr>
        <w:lastRenderedPageBreak/>
        <w:t>EEA” but also to “[n]on-EEA currency payments between EEA-domiciled PSPs” and to “[o]ne-leg transactions”—as previously defined—”in any currency.” “In practice,” this can—according to the report—be interpreted to mean that “PSPs operating in Europe” “need to provide information and transparency” and are “held liable in the event of a problem attributable to them” with regards to all payments—”at least for the part of the transaction for which they are responsible.”</w:t>
      </w:r>
    </w:p>
    <w:p w14:paraId="52BC5720" w14:textId="77777777" w:rsidR="00C46345" w:rsidRPr="00C46345" w:rsidRDefault="00C46345" w:rsidP="009627A4">
      <w:pPr>
        <w:pStyle w:val="NormalWeb"/>
        <w:numPr>
          <w:ilvl w:val="0"/>
          <w:numId w:val="17"/>
        </w:numPr>
        <w:spacing w:before="0" w:beforeAutospacing="0" w:after="120" w:afterAutospacing="0" w:line="360" w:lineRule="auto"/>
        <w:ind w:left="714" w:hanging="357"/>
        <w:jc w:val="both"/>
        <w:rPr>
          <w:rFonts w:ascii="Arial" w:hAnsi="Arial" w:cs="Arial"/>
          <w:color w:val="24292E"/>
          <w:sz w:val="22"/>
          <w:szCs w:val="22"/>
          <w:lang w:val="en-US"/>
        </w:rPr>
      </w:pPr>
      <w:r w:rsidRPr="00C46345">
        <w:rPr>
          <w:rFonts w:ascii="Arial" w:hAnsi="Arial" w:cs="Arial"/>
          <w:color w:val="24292E"/>
          <w:sz w:val="22"/>
          <w:szCs w:val="22"/>
          <w:lang w:val="en-US"/>
        </w:rPr>
        <w:t xml:space="preserve">The PSD2 is described to </w:t>
      </w:r>
      <w:r w:rsidRPr="00C46345">
        <w:rPr>
          <w:rFonts w:ascii="Arial" w:hAnsi="Arial" w:cs="Arial"/>
          <w:b/>
          <w:bCs/>
          <w:color w:val="24292E"/>
          <w:sz w:val="22"/>
          <w:szCs w:val="22"/>
          <w:lang w:val="en-US"/>
        </w:rPr>
        <w:t>change the scope of the Directive’s exclusions</w:t>
      </w:r>
      <w:r w:rsidRPr="00C46345">
        <w:rPr>
          <w:rFonts w:ascii="Arial" w:hAnsi="Arial" w:cs="Arial"/>
          <w:color w:val="24292E"/>
          <w:sz w:val="22"/>
          <w:szCs w:val="22"/>
          <w:lang w:val="en-US"/>
        </w:rPr>
        <w:t xml:space="preserve">, on the one hand, continuing “to allow certain business activities undertaken by non-bank </w:t>
      </w:r>
      <w:proofErr w:type="spellStart"/>
      <w:r w:rsidRPr="00C46345">
        <w:rPr>
          <w:rFonts w:ascii="Arial" w:hAnsi="Arial" w:cs="Arial"/>
          <w:color w:val="24292E"/>
          <w:sz w:val="22"/>
          <w:szCs w:val="22"/>
          <w:lang w:val="en-US"/>
        </w:rPr>
        <w:t>organi</w:t>
      </w:r>
      <w:proofErr w:type="spellEnd"/>
      <w:r w:rsidRPr="00C46345">
        <w:rPr>
          <w:rFonts w:ascii="Arial" w:hAnsi="Arial" w:cs="Arial"/>
          <w:color w:val="24292E"/>
          <w:sz w:val="22"/>
          <w:szCs w:val="22"/>
          <w:lang w:val="en-US"/>
        </w:rPr>
        <w:t>[z]</w:t>
      </w:r>
      <w:proofErr w:type="spellStart"/>
      <w:r w:rsidRPr="00C46345">
        <w:rPr>
          <w:rFonts w:ascii="Arial" w:hAnsi="Arial" w:cs="Arial"/>
          <w:color w:val="24292E"/>
          <w:sz w:val="22"/>
          <w:szCs w:val="22"/>
          <w:lang w:val="en-US"/>
        </w:rPr>
        <w:t>ations</w:t>
      </w:r>
      <w:proofErr w:type="spellEnd"/>
      <w:r w:rsidRPr="00C46345">
        <w:rPr>
          <w:rFonts w:ascii="Arial" w:hAnsi="Arial" w:cs="Arial"/>
          <w:color w:val="24292E"/>
          <w:sz w:val="22"/>
          <w:szCs w:val="22"/>
          <w:lang w:val="en-US"/>
        </w:rPr>
        <w:t xml:space="preserve"> to remain outside the scope of its requirements,” on the other hand, including “the purchase of physical goods and services through a telecoms operator.”</w:t>
      </w:r>
    </w:p>
    <w:p w14:paraId="1E67439D" w14:textId="77777777" w:rsidR="00C46345" w:rsidRPr="00C46345" w:rsidRDefault="00C46345" w:rsidP="008714F9">
      <w:pPr>
        <w:pStyle w:val="NormalWeb"/>
        <w:numPr>
          <w:ilvl w:val="0"/>
          <w:numId w:val="17"/>
        </w:numPr>
        <w:spacing w:before="0" w:beforeAutospacing="0" w:after="240" w:afterAutospacing="0" w:line="360" w:lineRule="auto"/>
        <w:jc w:val="both"/>
        <w:rPr>
          <w:rFonts w:ascii="Arial" w:hAnsi="Arial" w:cs="Arial"/>
          <w:color w:val="24292E"/>
          <w:sz w:val="22"/>
          <w:szCs w:val="22"/>
          <w:lang w:val="en-US"/>
        </w:rPr>
      </w:pPr>
      <w:r w:rsidRPr="00C46345">
        <w:rPr>
          <w:rFonts w:ascii="Arial" w:hAnsi="Arial" w:cs="Arial"/>
          <w:color w:val="24292E"/>
          <w:sz w:val="22"/>
          <w:szCs w:val="22"/>
          <w:lang w:val="en-US"/>
        </w:rPr>
        <w:t xml:space="preserve">The PSD2 is stated to </w:t>
      </w:r>
      <w:r w:rsidRPr="00C46345">
        <w:rPr>
          <w:rFonts w:ascii="Arial" w:hAnsi="Arial" w:cs="Arial"/>
          <w:b/>
          <w:bCs/>
          <w:color w:val="24292E"/>
          <w:sz w:val="22"/>
          <w:szCs w:val="22"/>
          <w:lang w:val="en-US"/>
        </w:rPr>
        <w:t>add to the authorization requirements of PIs</w:t>
      </w:r>
      <w:r w:rsidRPr="00C46345">
        <w:rPr>
          <w:rFonts w:ascii="Arial" w:hAnsi="Arial" w:cs="Arial"/>
          <w:color w:val="24292E"/>
          <w:sz w:val="22"/>
          <w:szCs w:val="22"/>
          <w:lang w:val="en-US"/>
        </w:rPr>
        <w:t>, specifically, by introducing further “operational and security requirements.” Providers of new payment services that are introduced with the PSD2, which are presented as part of the third set of key changes, “also have to meet certain capital requirements and hold professional indemnity insurance.”</w:t>
      </w:r>
    </w:p>
    <w:p w14:paraId="7A99A178" w14:textId="77777777" w:rsidR="00C46345" w:rsidRPr="00C46345" w:rsidRDefault="00C46345" w:rsidP="008714F9">
      <w:pPr>
        <w:pStyle w:val="NormalWeb"/>
        <w:spacing w:before="0" w:beforeAutospacing="0" w:after="240" w:afterAutospacing="0" w:line="360" w:lineRule="auto"/>
        <w:jc w:val="both"/>
        <w:rPr>
          <w:rFonts w:ascii="Arial" w:hAnsi="Arial" w:cs="Arial"/>
          <w:color w:val="24292E"/>
          <w:sz w:val="22"/>
          <w:szCs w:val="22"/>
        </w:rPr>
      </w:pPr>
      <w:r w:rsidRPr="00C46345">
        <w:rPr>
          <w:rFonts w:ascii="Arial" w:hAnsi="Arial" w:cs="Arial"/>
          <w:color w:val="24292E"/>
          <w:sz w:val="22"/>
          <w:szCs w:val="22"/>
          <w:lang w:val="en-US"/>
        </w:rPr>
        <w:t xml:space="preserve">The second set of key changes presented in the report are grouped under the theme </w:t>
      </w:r>
      <w:r w:rsidRPr="00C46345">
        <w:rPr>
          <w:rFonts w:ascii="Arial" w:hAnsi="Arial" w:cs="Arial"/>
          <w:b/>
          <w:bCs/>
          <w:color w:val="24292E"/>
          <w:sz w:val="22"/>
          <w:szCs w:val="22"/>
          <w:lang w:val="en-US"/>
        </w:rPr>
        <w:t>consumer protection</w:t>
      </w:r>
      <w:r w:rsidRPr="00C46345">
        <w:rPr>
          <w:rFonts w:ascii="Arial" w:hAnsi="Arial" w:cs="Arial"/>
          <w:color w:val="24292E"/>
          <w:sz w:val="22"/>
          <w:szCs w:val="22"/>
          <w:lang w:val="en-US"/>
        </w:rPr>
        <w:t xml:space="preserve">. </w:t>
      </w:r>
      <w:r w:rsidRPr="00C46345">
        <w:rPr>
          <w:rFonts w:ascii="Arial" w:hAnsi="Arial" w:cs="Arial"/>
          <w:color w:val="24292E"/>
          <w:sz w:val="22"/>
          <w:szCs w:val="22"/>
        </w:rPr>
        <w:t>Changes falling into this category include the following:</w:t>
      </w:r>
    </w:p>
    <w:p w14:paraId="72D464B6" w14:textId="77777777" w:rsidR="00C46345" w:rsidRPr="00C46345" w:rsidRDefault="00C46345" w:rsidP="009627A4">
      <w:pPr>
        <w:pStyle w:val="NormalWeb"/>
        <w:numPr>
          <w:ilvl w:val="0"/>
          <w:numId w:val="18"/>
        </w:numPr>
        <w:spacing w:before="0" w:beforeAutospacing="0" w:after="120" w:afterAutospacing="0" w:line="360" w:lineRule="auto"/>
        <w:ind w:left="714" w:hanging="357"/>
        <w:jc w:val="both"/>
        <w:rPr>
          <w:rFonts w:ascii="Arial" w:hAnsi="Arial" w:cs="Arial"/>
          <w:color w:val="24292E"/>
          <w:sz w:val="22"/>
          <w:szCs w:val="22"/>
          <w:lang w:val="en-US"/>
        </w:rPr>
      </w:pPr>
      <w:r w:rsidRPr="00C46345">
        <w:rPr>
          <w:rFonts w:ascii="Arial" w:hAnsi="Arial" w:cs="Arial"/>
          <w:color w:val="24292E"/>
          <w:sz w:val="22"/>
          <w:szCs w:val="22"/>
          <w:lang w:val="en-US"/>
        </w:rPr>
        <w:t xml:space="preserve">The PSD2 is described to </w:t>
      </w:r>
      <w:r w:rsidRPr="00C46345">
        <w:rPr>
          <w:rFonts w:ascii="Arial" w:hAnsi="Arial" w:cs="Arial"/>
          <w:b/>
          <w:bCs/>
          <w:color w:val="24292E"/>
          <w:sz w:val="22"/>
          <w:szCs w:val="22"/>
          <w:lang w:val="en-US"/>
        </w:rPr>
        <w:t>reduce the amount for which a PSU should be liable in the case of unauthorized payment transactions</w:t>
      </w:r>
      <w:r w:rsidRPr="00C46345">
        <w:rPr>
          <w:rFonts w:ascii="Arial" w:hAnsi="Arial" w:cs="Arial"/>
          <w:color w:val="24292E"/>
          <w:sz w:val="22"/>
          <w:szCs w:val="22"/>
          <w:lang w:val="en-US"/>
        </w:rPr>
        <w:t xml:space="preserve"> “from €150 to €50”</w:t>
      </w:r>
      <w:proofErr w:type="gramStart"/>
      <w:r w:rsidRPr="00C46345">
        <w:rPr>
          <w:rFonts w:ascii="Arial" w:hAnsi="Arial" w:cs="Arial"/>
          <w:color w:val="24292E"/>
          <w:sz w:val="22"/>
          <w:szCs w:val="22"/>
          <w:lang w:val="en-US"/>
        </w:rPr>
        <w:t>—”except</w:t>
      </w:r>
      <w:proofErr w:type="gramEnd"/>
      <w:r w:rsidRPr="00C46345">
        <w:rPr>
          <w:rFonts w:ascii="Arial" w:hAnsi="Arial" w:cs="Arial"/>
          <w:color w:val="24292E"/>
          <w:sz w:val="22"/>
          <w:szCs w:val="22"/>
          <w:lang w:val="en-US"/>
        </w:rPr>
        <w:t xml:space="preserve"> in cases of fraud or gross negligence by the payer.”</w:t>
      </w:r>
    </w:p>
    <w:p w14:paraId="59289E84" w14:textId="77777777" w:rsidR="00C46345" w:rsidRPr="00C46345" w:rsidRDefault="00C46345" w:rsidP="009627A4">
      <w:pPr>
        <w:pStyle w:val="NormalWeb"/>
        <w:numPr>
          <w:ilvl w:val="0"/>
          <w:numId w:val="18"/>
        </w:numPr>
        <w:spacing w:before="0" w:beforeAutospacing="0" w:after="120" w:afterAutospacing="0" w:line="360" w:lineRule="auto"/>
        <w:ind w:left="714" w:hanging="357"/>
        <w:jc w:val="both"/>
        <w:rPr>
          <w:rFonts w:ascii="Arial" w:hAnsi="Arial" w:cs="Arial"/>
          <w:color w:val="24292E"/>
          <w:sz w:val="22"/>
          <w:szCs w:val="22"/>
          <w:lang w:val="en-US"/>
        </w:rPr>
      </w:pPr>
      <w:r w:rsidRPr="00C46345">
        <w:rPr>
          <w:rFonts w:ascii="Arial" w:hAnsi="Arial" w:cs="Arial"/>
          <w:color w:val="24292E"/>
          <w:sz w:val="22"/>
          <w:szCs w:val="22"/>
          <w:lang w:val="en-US"/>
        </w:rPr>
        <w:t xml:space="preserve">The PSD2 is said to </w:t>
      </w:r>
      <w:r w:rsidRPr="00C46345">
        <w:rPr>
          <w:rFonts w:ascii="Arial" w:hAnsi="Arial" w:cs="Arial"/>
          <w:b/>
          <w:bCs/>
          <w:color w:val="24292E"/>
          <w:sz w:val="22"/>
          <w:szCs w:val="22"/>
          <w:lang w:val="en-US"/>
        </w:rPr>
        <w:t>introduce an unconditional refund right</w:t>
      </w:r>
      <w:r w:rsidRPr="00C46345">
        <w:rPr>
          <w:rFonts w:ascii="Arial" w:hAnsi="Arial" w:cs="Arial"/>
          <w:color w:val="24292E"/>
          <w:sz w:val="22"/>
          <w:szCs w:val="22"/>
          <w:lang w:val="en-US"/>
        </w:rPr>
        <w:t>, which can be invoked “for a period of 8 weeks from the date when the funds were debited.” It is noted that this “already applies under the SEPA Core Direct Debit [S]</w:t>
      </w:r>
      <w:proofErr w:type="spellStart"/>
      <w:r w:rsidRPr="00C46345">
        <w:rPr>
          <w:rFonts w:ascii="Arial" w:hAnsi="Arial" w:cs="Arial"/>
          <w:color w:val="24292E"/>
          <w:sz w:val="22"/>
          <w:szCs w:val="22"/>
          <w:lang w:val="en-US"/>
        </w:rPr>
        <w:t>cheme</w:t>
      </w:r>
      <w:proofErr w:type="spellEnd"/>
      <w:r w:rsidRPr="00C46345">
        <w:rPr>
          <w:rFonts w:ascii="Arial" w:hAnsi="Arial" w:cs="Arial"/>
          <w:color w:val="24292E"/>
          <w:sz w:val="22"/>
          <w:szCs w:val="22"/>
          <w:lang w:val="en-US"/>
        </w:rPr>
        <w:t>.”</w:t>
      </w:r>
    </w:p>
    <w:p w14:paraId="0656064C" w14:textId="77777777" w:rsidR="00C46345" w:rsidRPr="00C46345" w:rsidRDefault="00C46345" w:rsidP="009627A4">
      <w:pPr>
        <w:pStyle w:val="NormalWeb"/>
        <w:numPr>
          <w:ilvl w:val="0"/>
          <w:numId w:val="18"/>
        </w:numPr>
        <w:spacing w:before="0" w:beforeAutospacing="0" w:after="120" w:afterAutospacing="0" w:line="360" w:lineRule="auto"/>
        <w:ind w:left="714" w:hanging="357"/>
        <w:jc w:val="both"/>
        <w:rPr>
          <w:rFonts w:ascii="Arial" w:hAnsi="Arial" w:cs="Arial"/>
          <w:color w:val="24292E"/>
          <w:sz w:val="22"/>
          <w:szCs w:val="22"/>
          <w:lang w:val="en-US"/>
        </w:rPr>
      </w:pPr>
      <w:r w:rsidRPr="00C46345">
        <w:rPr>
          <w:rFonts w:ascii="Arial" w:hAnsi="Arial" w:cs="Arial"/>
          <w:color w:val="24292E"/>
          <w:sz w:val="22"/>
          <w:szCs w:val="22"/>
          <w:lang w:val="en-US"/>
        </w:rPr>
        <w:t xml:space="preserve">The PSD2 is described to </w:t>
      </w:r>
      <w:r w:rsidRPr="00C46345">
        <w:rPr>
          <w:rFonts w:ascii="Arial" w:hAnsi="Arial" w:cs="Arial"/>
          <w:b/>
          <w:bCs/>
          <w:color w:val="24292E"/>
          <w:sz w:val="22"/>
          <w:szCs w:val="22"/>
          <w:lang w:val="en-US"/>
        </w:rPr>
        <w:t>limit ring fencing of funds to amounts that were approved by the payer</w:t>
      </w:r>
      <w:r w:rsidRPr="00C46345">
        <w:rPr>
          <w:rFonts w:ascii="Arial" w:hAnsi="Arial" w:cs="Arial"/>
          <w:color w:val="24292E"/>
          <w:sz w:val="22"/>
          <w:szCs w:val="22"/>
          <w:lang w:val="en-US"/>
        </w:rPr>
        <w:t>. Specifically, it is explained that—”[</w:t>
      </w:r>
      <w:proofErr w:type="spellStart"/>
      <w:r w:rsidRPr="00C46345">
        <w:rPr>
          <w:rFonts w:ascii="Arial" w:hAnsi="Arial" w:cs="Arial"/>
          <w:color w:val="24292E"/>
          <w:sz w:val="22"/>
          <w:szCs w:val="22"/>
          <w:lang w:val="en-US"/>
        </w:rPr>
        <w:t>i</w:t>
      </w:r>
      <w:proofErr w:type="spellEnd"/>
      <w:r w:rsidRPr="00C46345">
        <w:rPr>
          <w:rFonts w:ascii="Arial" w:hAnsi="Arial" w:cs="Arial"/>
          <w:color w:val="24292E"/>
          <w:sz w:val="22"/>
          <w:szCs w:val="22"/>
          <w:lang w:val="en-US"/>
        </w:rPr>
        <w:t>]n the context of the pre-</w:t>
      </w:r>
      <w:proofErr w:type="spellStart"/>
      <w:r w:rsidRPr="00C46345">
        <w:rPr>
          <w:rFonts w:ascii="Arial" w:hAnsi="Arial" w:cs="Arial"/>
          <w:color w:val="24292E"/>
          <w:sz w:val="22"/>
          <w:szCs w:val="22"/>
          <w:lang w:val="en-US"/>
        </w:rPr>
        <w:t>authori</w:t>
      </w:r>
      <w:proofErr w:type="spellEnd"/>
      <w:r w:rsidRPr="00C46345">
        <w:rPr>
          <w:rFonts w:ascii="Arial" w:hAnsi="Arial" w:cs="Arial"/>
          <w:color w:val="24292E"/>
          <w:sz w:val="22"/>
          <w:szCs w:val="22"/>
          <w:lang w:val="en-US"/>
        </w:rPr>
        <w:t>[z]</w:t>
      </w:r>
      <w:proofErr w:type="spellStart"/>
      <w:r w:rsidRPr="00C46345">
        <w:rPr>
          <w:rFonts w:ascii="Arial" w:hAnsi="Arial" w:cs="Arial"/>
          <w:color w:val="24292E"/>
          <w:sz w:val="22"/>
          <w:szCs w:val="22"/>
          <w:lang w:val="en-US"/>
        </w:rPr>
        <w:t>ation</w:t>
      </w:r>
      <w:proofErr w:type="spellEnd"/>
      <w:r w:rsidRPr="00C46345">
        <w:rPr>
          <w:rFonts w:ascii="Arial" w:hAnsi="Arial" w:cs="Arial"/>
          <w:color w:val="24292E"/>
          <w:sz w:val="22"/>
          <w:szCs w:val="22"/>
          <w:lang w:val="en-US"/>
        </w:rPr>
        <w:t xml:space="preserve"> of card payments, where the final amount of the transaction is not known”—the payee can only block “where the cardholder has approved the exact amount” for this purpose. Funds are “required to [be] unblocked [...] without undue delay once information about the exact final amount </w:t>
      </w:r>
      <w:r w:rsidRPr="00C46345">
        <w:rPr>
          <w:rFonts w:ascii="Arial" w:hAnsi="Arial" w:cs="Arial"/>
          <w:color w:val="24292E"/>
          <w:sz w:val="22"/>
          <w:szCs w:val="22"/>
          <w:lang w:val="en-US"/>
        </w:rPr>
        <w:lastRenderedPageBreak/>
        <w:t>is received and, at the latest, after [...] the payment order” has been received by “the payer’s PSP.”</w:t>
      </w:r>
    </w:p>
    <w:p w14:paraId="2D3C4B02" w14:textId="77777777" w:rsidR="00C46345" w:rsidRPr="00C46345" w:rsidRDefault="00C46345" w:rsidP="008714F9">
      <w:pPr>
        <w:pStyle w:val="NormalWeb"/>
        <w:numPr>
          <w:ilvl w:val="0"/>
          <w:numId w:val="18"/>
        </w:numPr>
        <w:spacing w:before="0" w:beforeAutospacing="0" w:after="240" w:afterAutospacing="0" w:line="360" w:lineRule="auto"/>
        <w:jc w:val="both"/>
        <w:rPr>
          <w:rFonts w:ascii="Arial" w:hAnsi="Arial" w:cs="Arial"/>
          <w:color w:val="24292E"/>
          <w:sz w:val="22"/>
          <w:szCs w:val="22"/>
          <w:lang w:val="en-US"/>
        </w:rPr>
      </w:pPr>
      <w:r w:rsidRPr="00C46345">
        <w:rPr>
          <w:rFonts w:ascii="Arial" w:hAnsi="Arial" w:cs="Arial"/>
          <w:color w:val="24292E"/>
          <w:sz w:val="22"/>
          <w:szCs w:val="22"/>
          <w:lang w:val="en-US"/>
        </w:rPr>
        <w:t xml:space="preserve">The PSD2 is said to </w:t>
      </w:r>
      <w:r w:rsidRPr="00C46345">
        <w:rPr>
          <w:rFonts w:ascii="Arial" w:hAnsi="Arial" w:cs="Arial"/>
          <w:b/>
          <w:bCs/>
          <w:color w:val="24292E"/>
          <w:sz w:val="22"/>
          <w:szCs w:val="22"/>
          <w:lang w:val="en-US"/>
        </w:rPr>
        <w:t>do away with surcharging</w:t>
      </w:r>
      <w:r w:rsidRPr="00C46345">
        <w:rPr>
          <w:rFonts w:ascii="Arial" w:hAnsi="Arial" w:cs="Arial"/>
          <w:color w:val="24292E"/>
          <w:sz w:val="22"/>
          <w:szCs w:val="22"/>
          <w:lang w:val="en-US"/>
        </w:rPr>
        <w:t>—”the steering practice sometimes used by merchants [...] to compensate for [...] costs where interchange fees may be applied when certain payment instruments [...] are used”—at least if the type of payment is “covered by the Interchange Fee Regulation” or “by the SEPA Regulation.”</w:t>
      </w:r>
    </w:p>
    <w:p w14:paraId="7D164472" w14:textId="77777777" w:rsidR="00C46345" w:rsidRPr="00C46345" w:rsidRDefault="00C46345" w:rsidP="008714F9">
      <w:pPr>
        <w:pStyle w:val="NormalWeb"/>
        <w:spacing w:before="0" w:beforeAutospacing="0" w:after="240" w:afterAutospacing="0" w:line="360" w:lineRule="auto"/>
        <w:jc w:val="both"/>
        <w:rPr>
          <w:rFonts w:ascii="Arial" w:hAnsi="Arial" w:cs="Arial"/>
          <w:color w:val="24292E"/>
          <w:sz w:val="22"/>
          <w:szCs w:val="22"/>
          <w:lang w:val="en-US"/>
        </w:rPr>
      </w:pPr>
      <w:r w:rsidRPr="00C46345">
        <w:rPr>
          <w:rFonts w:ascii="Arial" w:hAnsi="Arial" w:cs="Arial"/>
          <w:color w:val="24292E"/>
          <w:sz w:val="22"/>
          <w:szCs w:val="22"/>
          <w:lang w:val="en-US"/>
        </w:rPr>
        <w:t xml:space="preserve">The third set of key changes presented in the report are grouped under the theme </w:t>
      </w:r>
      <w:r w:rsidRPr="00C46345">
        <w:rPr>
          <w:rFonts w:ascii="Arial" w:hAnsi="Arial" w:cs="Arial"/>
          <w:b/>
          <w:bCs/>
          <w:color w:val="24292E"/>
          <w:sz w:val="22"/>
          <w:szCs w:val="22"/>
          <w:lang w:val="en-US"/>
        </w:rPr>
        <w:t>competition and choice</w:t>
      </w:r>
      <w:r w:rsidRPr="00C46345">
        <w:rPr>
          <w:rFonts w:ascii="Arial" w:hAnsi="Arial" w:cs="Arial"/>
          <w:color w:val="24292E"/>
          <w:sz w:val="22"/>
          <w:szCs w:val="22"/>
          <w:lang w:val="en-US"/>
        </w:rPr>
        <w:t xml:space="preserve"> and mainly concern the introduction of “[n]</w:t>
      </w:r>
      <w:proofErr w:type="spellStart"/>
      <w:r w:rsidRPr="00C46345">
        <w:rPr>
          <w:rFonts w:ascii="Arial" w:hAnsi="Arial" w:cs="Arial"/>
          <w:color w:val="24292E"/>
          <w:sz w:val="22"/>
          <w:szCs w:val="22"/>
          <w:lang w:val="en-US"/>
        </w:rPr>
        <w:t>ew</w:t>
      </w:r>
      <w:proofErr w:type="spellEnd"/>
      <w:r w:rsidRPr="00C46345">
        <w:rPr>
          <w:rFonts w:ascii="Arial" w:hAnsi="Arial" w:cs="Arial"/>
          <w:color w:val="24292E"/>
          <w:sz w:val="22"/>
          <w:szCs w:val="22"/>
          <w:lang w:val="en-US"/>
        </w:rPr>
        <w:t xml:space="preserve"> providers and new payment services” as is described in the following paragraphs:</w:t>
      </w:r>
    </w:p>
    <w:p w14:paraId="5A4CB682" w14:textId="77777777" w:rsidR="00C46345" w:rsidRPr="00C46345" w:rsidRDefault="00C46345" w:rsidP="008714F9">
      <w:pPr>
        <w:pStyle w:val="NormalWeb"/>
        <w:spacing w:before="0" w:beforeAutospacing="0" w:after="240" w:afterAutospacing="0" w:line="360" w:lineRule="auto"/>
        <w:jc w:val="both"/>
        <w:rPr>
          <w:rFonts w:ascii="Arial" w:hAnsi="Arial" w:cs="Arial"/>
          <w:color w:val="24292E"/>
          <w:sz w:val="22"/>
          <w:szCs w:val="22"/>
          <w:lang w:val="en-US"/>
        </w:rPr>
      </w:pPr>
      <w:r w:rsidRPr="00C46345">
        <w:rPr>
          <w:rFonts w:ascii="Arial" w:hAnsi="Arial" w:cs="Arial"/>
          <w:color w:val="24292E"/>
          <w:sz w:val="22"/>
          <w:szCs w:val="22"/>
          <w:lang w:val="en-US"/>
        </w:rPr>
        <w:t xml:space="preserve">The report quotes Article 4 of the PSD2 to define a payment service as “any business activity set out in Annex I”—as was the case in the original PSD. In the PSD2, however, that “list of business activities” is said to “include two new payment services,” the </w:t>
      </w:r>
      <w:r w:rsidRPr="00C46345">
        <w:rPr>
          <w:rFonts w:ascii="Arial" w:hAnsi="Arial" w:cs="Arial"/>
          <w:b/>
          <w:bCs/>
          <w:color w:val="24292E"/>
          <w:sz w:val="22"/>
          <w:szCs w:val="22"/>
          <w:lang w:val="en-US"/>
        </w:rPr>
        <w:t>payment initiation service (PIS)</w:t>
      </w:r>
      <w:r w:rsidRPr="00C46345">
        <w:rPr>
          <w:rFonts w:ascii="Arial" w:hAnsi="Arial" w:cs="Arial"/>
          <w:color w:val="24292E"/>
          <w:sz w:val="22"/>
          <w:szCs w:val="22"/>
          <w:lang w:val="en-US"/>
        </w:rPr>
        <w:t xml:space="preserve"> and the </w:t>
      </w:r>
      <w:r w:rsidRPr="00C46345">
        <w:rPr>
          <w:rFonts w:ascii="Arial" w:hAnsi="Arial" w:cs="Arial"/>
          <w:b/>
          <w:bCs/>
          <w:color w:val="24292E"/>
          <w:sz w:val="22"/>
          <w:szCs w:val="22"/>
          <w:lang w:val="en-US"/>
        </w:rPr>
        <w:t>account information service (AIS)</w:t>
      </w:r>
      <w:r w:rsidRPr="00C46345">
        <w:rPr>
          <w:rFonts w:ascii="Arial" w:hAnsi="Arial" w:cs="Arial"/>
          <w:color w:val="24292E"/>
          <w:sz w:val="22"/>
          <w:szCs w:val="22"/>
          <w:lang w:val="en-US"/>
        </w:rPr>
        <w:t>. The PSD2 is quoted to define a PIS as “a service to initiate a payment order at the request of the payment service user with respect to a payment account held at another payment service provider.” An AIS is quoted to be defined as “an online service to provide consolidated information on one or more payment accounts held by the payment service user with either another payment service provider or with more than one payment service provider.”</w:t>
      </w:r>
    </w:p>
    <w:p w14:paraId="4C02850C" w14:textId="77777777" w:rsidR="00C46345" w:rsidRPr="00C46345" w:rsidRDefault="00C46345" w:rsidP="008714F9">
      <w:pPr>
        <w:pStyle w:val="NormalWeb"/>
        <w:spacing w:before="0" w:beforeAutospacing="0" w:after="240" w:afterAutospacing="0" w:line="360" w:lineRule="auto"/>
        <w:jc w:val="both"/>
        <w:rPr>
          <w:rFonts w:ascii="Arial" w:hAnsi="Arial" w:cs="Arial"/>
          <w:color w:val="24292E"/>
          <w:sz w:val="22"/>
          <w:szCs w:val="22"/>
          <w:lang w:val="en-US"/>
        </w:rPr>
      </w:pPr>
      <w:r w:rsidRPr="00C46345">
        <w:rPr>
          <w:rFonts w:ascii="Arial" w:hAnsi="Arial" w:cs="Arial"/>
          <w:color w:val="24292E"/>
          <w:sz w:val="22"/>
          <w:szCs w:val="22"/>
          <w:lang w:val="en-US"/>
        </w:rPr>
        <w:t>The “[p]</w:t>
      </w:r>
      <w:proofErr w:type="spellStart"/>
      <w:r w:rsidRPr="00C46345">
        <w:rPr>
          <w:rFonts w:ascii="Arial" w:hAnsi="Arial" w:cs="Arial"/>
          <w:color w:val="24292E"/>
          <w:sz w:val="22"/>
          <w:szCs w:val="22"/>
          <w:lang w:val="en-US"/>
        </w:rPr>
        <w:t>roviders</w:t>
      </w:r>
      <w:proofErr w:type="spellEnd"/>
      <w:r w:rsidRPr="00C46345">
        <w:rPr>
          <w:rFonts w:ascii="Arial" w:hAnsi="Arial" w:cs="Arial"/>
          <w:color w:val="24292E"/>
          <w:sz w:val="22"/>
          <w:szCs w:val="22"/>
          <w:lang w:val="en-US"/>
        </w:rPr>
        <w:t xml:space="preserve"> of such services” are “termed” </w:t>
      </w:r>
      <w:r w:rsidRPr="00C46345">
        <w:rPr>
          <w:rFonts w:ascii="Arial" w:hAnsi="Arial" w:cs="Arial"/>
          <w:b/>
          <w:bCs/>
          <w:color w:val="24292E"/>
          <w:sz w:val="22"/>
          <w:szCs w:val="22"/>
          <w:lang w:val="en-US"/>
        </w:rPr>
        <w:t>payment initiation service providers (PISPs)</w:t>
      </w:r>
      <w:r w:rsidRPr="00C46345">
        <w:rPr>
          <w:rFonts w:ascii="Arial" w:hAnsi="Arial" w:cs="Arial"/>
          <w:color w:val="24292E"/>
          <w:sz w:val="22"/>
          <w:szCs w:val="22"/>
          <w:lang w:val="en-US"/>
        </w:rPr>
        <w:t xml:space="preserve"> and </w:t>
      </w:r>
      <w:r w:rsidRPr="00C46345">
        <w:rPr>
          <w:rFonts w:ascii="Arial" w:hAnsi="Arial" w:cs="Arial"/>
          <w:b/>
          <w:bCs/>
          <w:color w:val="24292E"/>
          <w:sz w:val="22"/>
          <w:szCs w:val="22"/>
          <w:lang w:val="en-US"/>
        </w:rPr>
        <w:t>account information service providers (AISPs)</w:t>
      </w:r>
      <w:r w:rsidRPr="00C46345">
        <w:rPr>
          <w:rFonts w:ascii="Arial" w:hAnsi="Arial" w:cs="Arial"/>
          <w:color w:val="24292E"/>
          <w:sz w:val="22"/>
          <w:szCs w:val="22"/>
          <w:lang w:val="en-US"/>
        </w:rPr>
        <w:t>, respectively. “[C]</w:t>
      </w:r>
      <w:proofErr w:type="spellStart"/>
      <w:r w:rsidRPr="00C46345">
        <w:rPr>
          <w:rFonts w:ascii="Arial" w:hAnsi="Arial" w:cs="Arial"/>
          <w:color w:val="24292E"/>
          <w:sz w:val="22"/>
          <w:szCs w:val="22"/>
          <w:lang w:val="en-US"/>
        </w:rPr>
        <w:t>ollectively</w:t>
      </w:r>
      <w:proofErr w:type="spellEnd"/>
      <w:r w:rsidRPr="00C46345">
        <w:rPr>
          <w:rFonts w:ascii="Arial" w:hAnsi="Arial" w:cs="Arial"/>
          <w:color w:val="24292E"/>
          <w:sz w:val="22"/>
          <w:szCs w:val="22"/>
          <w:lang w:val="en-US"/>
        </w:rPr>
        <w:t xml:space="preserve">,” these </w:t>
      </w:r>
      <w:proofErr w:type="gramStart"/>
      <w:r w:rsidRPr="00C46345">
        <w:rPr>
          <w:rFonts w:ascii="Arial" w:hAnsi="Arial" w:cs="Arial"/>
          <w:color w:val="24292E"/>
          <w:sz w:val="22"/>
          <w:szCs w:val="22"/>
          <w:lang w:val="en-US"/>
        </w:rPr>
        <w:t>are considered to be</w:t>
      </w:r>
      <w:proofErr w:type="gramEnd"/>
      <w:r w:rsidRPr="00C46345">
        <w:rPr>
          <w:rFonts w:ascii="Arial" w:hAnsi="Arial" w:cs="Arial"/>
          <w:color w:val="24292E"/>
          <w:sz w:val="22"/>
          <w:szCs w:val="22"/>
          <w:lang w:val="en-US"/>
        </w:rPr>
        <w:t xml:space="preserve"> referred to as </w:t>
      </w:r>
      <w:r w:rsidRPr="00C46345">
        <w:rPr>
          <w:rFonts w:ascii="Arial" w:hAnsi="Arial" w:cs="Arial"/>
          <w:b/>
          <w:bCs/>
          <w:color w:val="24292E"/>
          <w:sz w:val="22"/>
          <w:szCs w:val="22"/>
          <w:lang w:val="en-US"/>
        </w:rPr>
        <w:t>third party providers (TPPs)</w:t>
      </w:r>
      <w:r w:rsidRPr="00C46345">
        <w:rPr>
          <w:rFonts w:ascii="Arial" w:hAnsi="Arial" w:cs="Arial"/>
          <w:color w:val="24292E"/>
          <w:sz w:val="22"/>
          <w:szCs w:val="22"/>
          <w:lang w:val="en-US"/>
        </w:rPr>
        <w:t xml:space="preserve">. Furthermore, the PSD2 is said to define </w:t>
      </w:r>
      <w:r w:rsidRPr="00C46345">
        <w:rPr>
          <w:rFonts w:ascii="Arial" w:hAnsi="Arial" w:cs="Arial"/>
          <w:b/>
          <w:bCs/>
          <w:color w:val="24292E"/>
          <w:sz w:val="22"/>
          <w:szCs w:val="22"/>
          <w:lang w:val="en-US"/>
        </w:rPr>
        <w:t>account servicing payment service providers (AS PSPs)</w:t>
      </w:r>
      <w:r w:rsidRPr="00C46345">
        <w:rPr>
          <w:rFonts w:ascii="Arial" w:hAnsi="Arial" w:cs="Arial"/>
          <w:color w:val="24292E"/>
          <w:sz w:val="22"/>
          <w:szCs w:val="22"/>
          <w:lang w:val="en-US"/>
        </w:rPr>
        <w:t xml:space="preserve"> “to distinguish the provider[s] where the customer’s payment account is held.” A PIS—provided by a PISP—is described as to “typically” be integrated by “a merchant” into their “online checkout process to enable to offer the option of online credit transfers as an alternative to card payments.” An AIS—provided by an AISP—is described to “allow consumers and businesses to obtain a consolidated view of their accounts [...] with one or more AS PSPs.” It is stated that “any PSP”</w:t>
      </w:r>
      <w:proofErr w:type="gramStart"/>
      <w:r w:rsidRPr="00C46345">
        <w:rPr>
          <w:rFonts w:ascii="Arial" w:hAnsi="Arial" w:cs="Arial"/>
          <w:color w:val="24292E"/>
          <w:sz w:val="22"/>
          <w:szCs w:val="22"/>
          <w:lang w:val="en-US"/>
        </w:rPr>
        <w:t>—”subject</w:t>
      </w:r>
      <w:proofErr w:type="gramEnd"/>
      <w:r w:rsidRPr="00C46345">
        <w:rPr>
          <w:rFonts w:ascii="Arial" w:hAnsi="Arial" w:cs="Arial"/>
          <w:color w:val="24292E"/>
          <w:sz w:val="22"/>
          <w:szCs w:val="22"/>
          <w:lang w:val="en-US"/>
        </w:rPr>
        <w:t xml:space="preserve"> to having the appropriate </w:t>
      </w:r>
      <w:proofErr w:type="spellStart"/>
      <w:r w:rsidRPr="00C46345">
        <w:rPr>
          <w:rFonts w:ascii="Arial" w:hAnsi="Arial" w:cs="Arial"/>
          <w:color w:val="24292E"/>
          <w:sz w:val="22"/>
          <w:szCs w:val="22"/>
          <w:lang w:val="en-US"/>
        </w:rPr>
        <w:t>authori</w:t>
      </w:r>
      <w:proofErr w:type="spellEnd"/>
      <w:r w:rsidRPr="00C46345">
        <w:rPr>
          <w:rFonts w:ascii="Arial" w:hAnsi="Arial" w:cs="Arial"/>
          <w:color w:val="24292E"/>
          <w:sz w:val="22"/>
          <w:szCs w:val="22"/>
          <w:lang w:val="en-US"/>
        </w:rPr>
        <w:t>[z]</w:t>
      </w:r>
      <w:proofErr w:type="spellStart"/>
      <w:r w:rsidRPr="00C46345">
        <w:rPr>
          <w:rFonts w:ascii="Arial" w:hAnsi="Arial" w:cs="Arial"/>
          <w:color w:val="24292E"/>
          <w:sz w:val="22"/>
          <w:szCs w:val="22"/>
          <w:lang w:val="en-US"/>
        </w:rPr>
        <w:t>ation</w:t>
      </w:r>
      <w:proofErr w:type="spellEnd"/>
      <w:r w:rsidRPr="00C46345">
        <w:rPr>
          <w:rFonts w:ascii="Arial" w:hAnsi="Arial" w:cs="Arial"/>
          <w:color w:val="24292E"/>
          <w:sz w:val="22"/>
          <w:szCs w:val="22"/>
          <w:lang w:val="en-US"/>
        </w:rPr>
        <w:t>”—”could [...] offer PIS or AIS.” It is also noted that the PSD2 “defines a lighter prudential regime for AISPs,” which “are treated as” PIs while being subject to “only [...] some of the provisions regarding transparency, information, rights and obligations.”</w:t>
      </w:r>
    </w:p>
    <w:p w14:paraId="17B705D0" w14:textId="77777777" w:rsidR="00C46345" w:rsidRPr="00C46345" w:rsidRDefault="00C46345" w:rsidP="008714F9">
      <w:pPr>
        <w:pStyle w:val="NormalWeb"/>
        <w:spacing w:before="0" w:beforeAutospacing="0" w:after="240" w:afterAutospacing="0" w:line="360" w:lineRule="auto"/>
        <w:jc w:val="both"/>
        <w:rPr>
          <w:rFonts w:ascii="Arial" w:hAnsi="Arial" w:cs="Arial"/>
          <w:color w:val="24292E"/>
          <w:sz w:val="22"/>
          <w:szCs w:val="22"/>
          <w:lang w:val="en-US"/>
        </w:rPr>
      </w:pPr>
      <w:r w:rsidRPr="00C46345">
        <w:rPr>
          <w:rFonts w:ascii="Arial" w:hAnsi="Arial" w:cs="Arial"/>
          <w:color w:val="24292E"/>
          <w:sz w:val="22"/>
          <w:szCs w:val="22"/>
          <w:lang w:val="en-US"/>
        </w:rPr>
        <w:lastRenderedPageBreak/>
        <w:t>The introduction of TPPs is summarized to “reflect the market growth in e-commerce activities and use of internet and mobile payments as well as the rise of new technological developments and a trend towards customers having relationships with multiple account providers.”</w:t>
      </w:r>
    </w:p>
    <w:p w14:paraId="6366B7FB" w14:textId="77777777" w:rsidR="00C46345" w:rsidRPr="00C46345" w:rsidRDefault="00C46345" w:rsidP="008714F9">
      <w:pPr>
        <w:pStyle w:val="NormalWeb"/>
        <w:spacing w:before="0" w:beforeAutospacing="0" w:after="240" w:afterAutospacing="0" w:line="360" w:lineRule="auto"/>
        <w:jc w:val="both"/>
        <w:rPr>
          <w:rFonts w:ascii="Arial" w:hAnsi="Arial" w:cs="Arial"/>
          <w:color w:val="24292E"/>
          <w:sz w:val="22"/>
          <w:szCs w:val="22"/>
        </w:rPr>
      </w:pPr>
      <w:r w:rsidRPr="00C46345">
        <w:rPr>
          <w:rFonts w:ascii="Arial" w:hAnsi="Arial" w:cs="Arial"/>
          <w:color w:val="24292E"/>
          <w:sz w:val="22"/>
          <w:szCs w:val="22"/>
          <w:lang w:val="en-US"/>
        </w:rPr>
        <w:t xml:space="preserve">The fourth and final set of key changes presented in the report are grouped under the theme </w:t>
      </w:r>
      <w:r w:rsidRPr="00C46345">
        <w:rPr>
          <w:rFonts w:ascii="Arial" w:hAnsi="Arial" w:cs="Arial"/>
          <w:b/>
          <w:bCs/>
          <w:color w:val="24292E"/>
          <w:sz w:val="22"/>
          <w:szCs w:val="22"/>
          <w:lang w:val="en-US"/>
        </w:rPr>
        <w:t>security</w:t>
      </w:r>
      <w:r w:rsidRPr="00C46345">
        <w:rPr>
          <w:rFonts w:ascii="Arial" w:hAnsi="Arial" w:cs="Arial"/>
          <w:color w:val="24292E"/>
          <w:sz w:val="22"/>
          <w:szCs w:val="22"/>
          <w:lang w:val="en-US"/>
        </w:rPr>
        <w:t xml:space="preserve">. </w:t>
      </w:r>
      <w:r w:rsidRPr="00C46345">
        <w:rPr>
          <w:rFonts w:ascii="Arial" w:hAnsi="Arial" w:cs="Arial"/>
          <w:color w:val="24292E"/>
          <w:sz w:val="22"/>
          <w:szCs w:val="22"/>
        </w:rPr>
        <w:t>Changes falling into this category include the following:</w:t>
      </w:r>
    </w:p>
    <w:p w14:paraId="76ACF398" w14:textId="77777777" w:rsidR="00C46345" w:rsidRPr="00C46345" w:rsidRDefault="00C46345" w:rsidP="009627A4">
      <w:pPr>
        <w:pStyle w:val="NormalWeb"/>
        <w:numPr>
          <w:ilvl w:val="0"/>
          <w:numId w:val="19"/>
        </w:numPr>
        <w:spacing w:before="0" w:beforeAutospacing="0" w:after="120" w:afterAutospacing="0" w:line="360" w:lineRule="auto"/>
        <w:ind w:left="714" w:hanging="357"/>
        <w:jc w:val="both"/>
        <w:rPr>
          <w:rFonts w:ascii="Arial" w:hAnsi="Arial" w:cs="Arial"/>
          <w:color w:val="24292E"/>
          <w:sz w:val="22"/>
          <w:szCs w:val="22"/>
          <w:lang w:val="en-US"/>
        </w:rPr>
      </w:pPr>
      <w:r w:rsidRPr="00C46345">
        <w:rPr>
          <w:rFonts w:ascii="Arial" w:hAnsi="Arial" w:cs="Arial"/>
          <w:color w:val="24292E"/>
          <w:sz w:val="22"/>
          <w:szCs w:val="22"/>
          <w:lang w:val="en-US"/>
        </w:rPr>
        <w:t xml:space="preserve">The PSD2 is said to </w:t>
      </w:r>
      <w:r w:rsidRPr="00C46345">
        <w:rPr>
          <w:rFonts w:ascii="Arial" w:hAnsi="Arial" w:cs="Arial"/>
          <w:b/>
          <w:bCs/>
          <w:color w:val="24292E"/>
          <w:sz w:val="22"/>
          <w:szCs w:val="22"/>
          <w:lang w:val="en-US"/>
        </w:rPr>
        <w:t>increase requirements with regards to operational and security risks and incident reporting</w:t>
      </w:r>
      <w:r w:rsidRPr="00C46345">
        <w:rPr>
          <w:rFonts w:ascii="Arial" w:hAnsi="Arial" w:cs="Arial"/>
          <w:color w:val="24292E"/>
          <w:sz w:val="22"/>
          <w:szCs w:val="22"/>
          <w:lang w:val="en-US"/>
        </w:rPr>
        <w:t>. It is stated that PIs are required “to provide a security policy document,” which includes a description of “the measures taken to protect customers from fraud and illegal use of sensitive and personal data.” With regards to “[a]</w:t>
      </w:r>
      <w:proofErr w:type="spellStart"/>
      <w:r w:rsidRPr="00C46345">
        <w:rPr>
          <w:rFonts w:ascii="Arial" w:hAnsi="Arial" w:cs="Arial"/>
          <w:color w:val="24292E"/>
          <w:sz w:val="22"/>
          <w:szCs w:val="22"/>
          <w:lang w:val="en-US"/>
        </w:rPr>
        <w:t>ll</w:t>
      </w:r>
      <w:proofErr w:type="spellEnd"/>
      <w:r w:rsidRPr="00C46345">
        <w:rPr>
          <w:rFonts w:ascii="Arial" w:hAnsi="Arial" w:cs="Arial"/>
          <w:color w:val="24292E"/>
          <w:sz w:val="22"/>
          <w:szCs w:val="22"/>
          <w:lang w:val="en-US"/>
        </w:rPr>
        <w:t xml:space="preserve"> PSPs,” it is stated that “a framework to manage operational and security risks” is to be established, which is described to encompass “incident management procedures” following “EBA [...] issue[d] guidelines.”</w:t>
      </w:r>
    </w:p>
    <w:p w14:paraId="6409FF22" w14:textId="77777777" w:rsidR="00C46345" w:rsidRPr="00C46345" w:rsidRDefault="00C46345" w:rsidP="009627A4">
      <w:pPr>
        <w:pStyle w:val="NormalWeb"/>
        <w:numPr>
          <w:ilvl w:val="0"/>
          <w:numId w:val="19"/>
        </w:numPr>
        <w:spacing w:before="0" w:beforeAutospacing="0" w:after="120" w:afterAutospacing="0" w:line="360" w:lineRule="auto"/>
        <w:ind w:left="714" w:hanging="357"/>
        <w:jc w:val="both"/>
        <w:rPr>
          <w:rFonts w:ascii="Arial" w:hAnsi="Arial" w:cs="Arial"/>
          <w:color w:val="24292E"/>
          <w:sz w:val="22"/>
          <w:szCs w:val="22"/>
          <w:lang w:val="en-US"/>
        </w:rPr>
      </w:pPr>
      <w:r w:rsidRPr="00C46345">
        <w:rPr>
          <w:rFonts w:ascii="Arial" w:hAnsi="Arial" w:cs="Arial"/>
          <w:color w:val="24292E"/>
          <w:sz w:val="22"/>
          <w:szCs w:val="22"/>
          <w:lang w:val="en-US"/>
        </w:rPr>
        <w:t xml:space="preserve">The PSD2 is described to </w:t>
      </w:r>
      <w:r w:rsidRPr="00C46345">
        <w:rPr>
          <w:rFonts w:ascii="Arial" w:hAnsi="Arial" w:cs="Arial"/>
          <w:b/>
          <w:bCs/>
          <w:color w:val="24292E"/>
          <w:sz w:val="22"/>
          <w:szCs w:val="22"/>
          <w:lang w:val="en-US"/>
        </w:rPr>
        <w:t>strike a balance between openness and security with regards to authentication</w:t>
      </w:r>
      <w:r w:rsidRPr="00C46345">
        <w:rPr>
          <w:rFonts w:ascii="Arial" w:hAnsi="Arial" w:cs="Arial"/>
          <w:color w:val="24292E"/>
          <w:sz w:val="22"/>
          <w:szCs w:val="22"/>
          <w:lang w:val="en-US"/>
        </w:rPr>
        <w:t xml:space="preserve">. More precisely, it is noted that while “the AS PSP is obliged to allow PISPs and AISPs to rely on the authentication procedures it provides [...], all PSPs must ensure that security measures are in place to protect the [...] customers’ </w:t>
      </w:r>
      <w:proofErr w:type="spellStart"/>
      <w:r w:rsidRPr="00C46345">
        <w:rPr>
          <w:rFonts w:ascii="Arial" w:hAnsi="Arial" w:cs="Arial"/>
          <w:color w:val="24292E"/>
          <w:sz w:val="22"/>
          <w:szCs w:val="22"/>
          <w:lang w:val="en-US"/>
        </w:rPr>
        <w:t>personali</w:t>
      </w:r>
      <w:proofErr w:type="spellEnd"/>
      <w:r w:rsidRPr="00C46345">
        <w:rPr>
          <w:rFonts w:ascii="Arial" w:hAnsi="Arial" w:cs="Arial"/>
          <w:color w:val="24292E"/>
          <w:sz w:val="22"/>
          <w:szCs w:val="22"/>
          <w:lang w:val="en-US"/>
        </w:rPr>
        <w:t>[z]ed security credentials.”</w:t>
      </w:r>
    </w:p>
    <w:p w14:paraId="47CCA3A6" w14:textId="5AC17DB9" w:rsidR="00D0437C" w:rsidRPr="000114C5" w:rsidRDefault="00C46345" w:rsidP="008714F9">
      <w:pPr>
        <w:pStyle w:val="NormalWeb"/>
        <w:numPr>
          <w:ilvl w:val="0"/>
          <w:numId w:val="19"/>
        </w:numPr>
        <w:spacing w:before="0" w:beforeAutospacing="0" w:after="240" w:afterAutospacing="0" w:line="360" w:lineRule="auto"/>
        <w:jc w:val="both"/>
        <w:rPr>
          <w:rFonts w:ascii="Arial" w:hAnsi="Arial" w:cs="Arial"/>
          <w:color w:val="24292E"/>
          <w:sz w:val="22"/>
          <w:szCs w:val="22"/>
          <w:lang w:val="en-US"/>
        </w:rPr>
        <w:sectPr w:rsidR="00D0437C" w:rsidRPr="000114C5" w:rsidSect="00B575B8">
          <w:headerReference w:type="default" r:id="rId23"/>
          <w:footerReference w:type="default" r:id="rId24"/>
          <w:pgSz w:w="11906" w:h="16838" w:code="9"/>
          <w:pgMar w:top="1848" w:right="2268" w:bottom="1134" w:left="1418" w:header="1134" w:footer="720" w:gutter="0"/>
          <w:cols w:space="720"/>
        </w:sectPr>
      </w:pPr>
      <w:r w:rsidRPr="00C46345">
        <w:rPr>
          <w:rFonts w:ascii="Arial" w:hAnsi="Arial" w:cs="Arial"/>
          <w:color w:val="24292E"/>
          <w:sz w:val="22"/>
          <w:szCs w:val="22"/>
          <w:lang w:val="en-US"/>
        </w:rPr>
        <w:t xml:space="preserve">The PSD2 is stated to </w:t>
      </w:r>
      <w:r w:rsidRPr="00C46345">
        <w:rPr>
          <w:rFonts w:ascii="Arial" w:hAnsi="Arial" w:cs="Arial"/>
          <w:b/>
          <w:bCs/>
          <w:color w:val="24292E"/>
          <w:sz w:val="22"/>
          <w:szCs w:val="22"/>
          <w:lang w:val="en-US"/>
        </w:rPr>
        <w:t>require strong customer authentication and secure communication</w:t>
      </w:r>
      <w:r w:rsidRPr="00C46345">
        <w:rPr>
          <w:rFonts w:ascii="Arial" w:hAnsi="Arial" w:cs="Arial"/>
          <w:color w:val="24292E"/>
          <w:sz w:val="22"/>
          <w:szCs w:val="22"/>
          <w:lang w:val="en-US"/>
        </w:rPr>
        <w:t xml:space="preserve"> according to an “EBA [...] draft[ed]” Regulatory Technical Standard (RTS). It is noted that PSPs are “required to use strong customer authentication” when payment accounts are accessed, payment transactions are initiated and “action” is carried out “through a remote channel which may imply a risk.” It is, further, noted that “[</w:t>
      </w:r>
      <w:proofErr w:type="spellStart"/>
      <w:r w:rsidRPr="00C46345">
        <w:rPr>
          <w:rFonts w:ascii="Arial" w:hAnsi="Arial" w:cs="Arial"/>
          <w:color w:val="24292E"/>
          <w:sz w:val="22"/>
          <w:szCs w:val="22"/>
          <w:lang w:val="en-US"/>
        </w:rPr>
        <w:t>i</w:t>
      </w:r>
      <w:proofErr w:type="spellEnd"/>
      <w:r w:rsidRPr="00C46345">
        <w:rPr>
          <w:rFonts w:ascii="Arial" w:hAnsi="Arial" w:cs="Arial"/>
          <w:color w:val="24292E"/>
          <w:sz w:val="22"/>
          <w:szCs w:val="22"/>
          <w:lang w:val="en-US"/>
        </w:rPr>
        <w:t>]f the payer’s PSP does not require strong customer authentication, the payer will only be liable [...] where the payer has acted fraudulently.”</w:t>
      </w:r>
    </w:p>
    <w:p w14:paraId="6CFC735C" w14:textId="50860AFF" w:rsidR="00330FD6" w:rsidRPr="000114C5" w:rsidRDefault="00330FD6" w:rsidP="00B62D64">
      <w:pPr>
        <w:pStyle w:val="Heading1"/>
        <w:rPr>
          <w:lang w:val="en-US"/>
        </w:rPr>
      </w:pPr>
      <w:bookmarkStart w:id="19" w:name="_Toc53958266"/>
      <w:bookmarkEnd w:id="12"/>
      <w:bookmarkEnd w:id="13"/>
      <w:bookmarkEnd w:id="14"/>
      <w:bookmarkEnd w:id="15"/>
      <w:r>
        <w:rPr>
          <w:lang w:val="en-US"/>
        </w:rPr>
        <w:lastRenderedPageBreak/>
        <w:t>The Single Euro Payments Area</w:t>
      </w:r>
      <w:bookmarkEnd w:id="19"/>
    </w:p>
    <w:p w14:paraId="7848577D" w14:textId="77777777" w:rsidR="00330FD6" w:rsidRPr="00330FD6" w:rsidRDefault="00330FD6" w:rsidP="008714F9">
      <w:pPr>
        <w:pStyle w:val="NormalWeb"/>
        <w:spacing w:before="240" w:beforeAutospacing="0" w:after="240" w:afterAutospacing="0" w:line="360" w:lineRule="auto"/>
        <w:jc w:val="both"/>
        <w:rPr>
          <w:rFonts w:ascii="Arial" w:hAnsi="Arial" w:cs="Arial"/>
          <w:color w:val="24292E"/>
          <w:sz w:val="22"/>
          <w:szCs w:val="22"/>
          <w:lang w:val="en-US"/>
        </w:rPr>
      </w:pPr>
      <w:r w:rsidRPr="00330FD6">
        <w:rPr>
          <w:rFonts w:ascii="Arial" w:hAnsi="Arial" w:cs="Arial"/>
          <w:color w:val="24292E"/>
          <w:sz w:val="22"/>
          <w:szCs w:val="22"/>
          <w:lang w:val="en-US"/>
        </w:rPr>
        <w:t>This section discusses the Single Euro Payments Area, as it is the most important private-sector initiative with regards to payments in Europe. After the SEPA project itself is addressed, the concepts of clearing and settlement are introduced, followed by an outline of the two main SEPA payment instruments, i.e., those for credit transfers and direct debits.</w:t>
      </w:r>
    </w:p>
    <w:p w14:paraId="061EAB4B" w14:textId="66F2D06B" w:rsidR="00330FD6" w:rsidRDefault="00330FD6" w:rsidP="008714F9">
      <w:pPr>
        <w:pStyle w:val="NormalWeb"/>
        <w:spacing w:before="0" w:beforeAutospacing="0" w:after="240" w:afterAutospacing="0" w:line="360" w:lineRule="auto"/>
        <w:jc w:val="both"/>
        <w:rPr>
          <w:rFonts w:ascii="Arial" w:hAnsi="Arial" w:cs="Arial"/>
          <w:color w:val="24292E"/>
          <w:sz w:val="22"/>
          <w:szCs w:val="22"/>
          <w:lang w:val="en-US"/>
        </w:rPr>
      </w:pPr>
      <w:r w:rsidRPr="00330FD6">
        <w:rPr>
          <w:rFonts w:ascii="Arial" w:hAnsi="Arial" w:cs="Arial"/>
          <w:color w:val="24292E"/>
          <w:sz w:val="22"/>
          <w:szCs w:val="22"/>
          <w:lang w:val="en-US"/>
        </w:rPr>
        <w:t>It should be noted that the EPC capitalizes certain terms when they have special meaning in the context of their payment instruments, e.g., when they refer to “Rulebook” rather than “rulebook.” For consistency reasons, this paper follows their spelling.</w:t>
      </w:r>
    </w:p>
    <w:p w14:paraId="2B213AE9" w14:textId="091BADFE" w:rsidR="00330FD6" w:rsidRPr="000114C5" w:rsidRDefault="00330FD6" w:rsidP="008238EC">
      <w:pPr>
        <w:pStyle w:val="Heading2"/>
        <w:rPr>
          <w:lang w:val="en-US"/>
        </w:rPr>
      </w:pPr>
      <w:bookmarkStart w:id="20" w:name="_Toc53958267"/>
      <w:r>
        <w:rPr>
          <w:lang w:val="en-US"/>
        </w:rPr>
        <w:t>The SEPA project</w:t>
      </w:r>
      <w:bookmarkEnd w:id="20"/>
    </w:p>
    <w:p w14:paraId="6ADD7BB9" w14:textId="2114B0F2" w:rsidR="00330FD6" w:rsidRPr="00330FD6" w:rsidRDefault="00330FD6" w:rsidP="008714F9">
      <w:pPr>
        <w:pStyle w:val="NormalWeb"/>
        <w:spacing w:before="240" w:beforeAutospacing="0" w:after="240" w:afterAutospacing="0" w:line="360" w:lineRule="auto"/>
        <w:jc w:val="both"/>
        <w:rPr>
          <w:rFonts w:ascii="Arial" w:hAnsi="Arial" w:cs="Arial"/>
          <w:color w:val="24292E"/>
          <w:sz w:val="22"/>
          <w:szCs w:val="22"/>
          <w:lang w:val="en-US"/>
        </w:rPr>
      </w:pPr>
      <w:r w:rsidRPr="00330FD6">
        <w:rPr>
          <w:rFonts w:ascii="Arial" w:hAnsi="Arial" w:cs="Arial"/>
          <w:color w:val="24292E"/>
          <w:sz w:val="22"/>
          <w:szCs w:val="22"/>
          <w:lang w:val="en-US"/>
        </w:rPr>
        <w:t xml:space="preserve">This subsection introduces the SEPA project, including its origins and goals. It is based on </w:t>
      </w:r>
      <w:proofErr w:type="spellStart"/>
      <w:r w:rsidRPr="00330FD6">
        <w:rPr>
          <w:rFonts w:ascii="Arial" w:hAnsi="Arial" w:cs="Arial"/>
          <w:color w:val="24292E"/>
          <w:sz w:val="22"/>
          <w:szCs w:val="22"/>
          <w:lang w:val="en-US"/>
        </w:rPr>
        <w:t>Przemysław</w:t>
      </w:r>
      <w:proofErr w:type="spellEnd"/>
      <w:r w:rsidRPr="00330FD6">
        <w:rPr>
          <w:rFonts w:ascii="Arial" w:hAnsi="Arial" w:cs="Arial"/>
          <w:color w:val="24292E"/>
          <w:sz w:val="22"/>
          <w:szCs w:val="22"/>
          <w:lang w:val="en-US"/>
        </w:rPr>
        <w:t xml:space="preserve"> </w:t>
      </w:r>
      <w:proofErr w:type="spellStart"/>
      <w:r w:rsidRPr="00330FD6">
        <w:rPr>
          <w:rFonts w:ascii="Arial" w:hAnsi="Arial" w:cs="Arial"/>
          <w:color w:val="24292E"/>
          <w:sz w:val="22"/>
          <w:szCs w:val="22"/>
          <w:lang w:val="en-US"/>
        </w:rPr>
        <w:t>Nasiński’s</w:t>
      </w:r>
      <w:proofErr w:type="spellEnd"/>
      <w:r w:rsidRPr="00330FD6">
        <w:rPr>
          <w:rFonts w:ascii="Arial" w:hAnsi="Arial" w:cs="Arial"/>
          <w:color w:val="24292E"/>
          <w:sz w:val="22"/>
          <w:szCs w:val="22"/>
          <w:lang w:val="en-US"/>
        </w:rPr>
        <w:t xml:space="preserve"> master’s thesis “Payment Services Directive” [</w:t>
      </w:r>
      <w:r w:rsidRPr="001F69B9">
        <w:rPr>
          <w:rFonts w:ascii="Arial" w:hAnsi="Arial" w:cs="Arial"/>
          <w:sz w:val="22"/>
          <w:szCs w:val="22"/>
          <w:lang w:val="en-US"/>
        </w:rPr>
        <w:t>6</w:t>
      </w:r>
      <w:r w:rsidRPr="00330FD6">
        <w:rPr>
          <w:rFonts w:ascii="Arial" w:hAnsi="Arial" w:cs="Arial"/>
          <w:color w:val="24292E"/>
          <w:sz w:val="22"/>
          <w:szCs w:val="22"/>
          <w:lang w:val="en-US"/>
        </w:rPr>
        <w:t xml:space="preserve">] at Lund University from 2010. The information presented here has been updated and </w:t>
      </w:r>
      <w:proofErr w:type="gramStart"/>
      <w:r w:rsidRPr="00330FD6">
        <w:rPr>
          <w:rFonts w:ascii="Arial" w:hAnsi="Arial" w:cs="Arial"/>
          <w:color w:val="24292E"/>
          <w:sz w:val="22"/>
          <w:szCs w:val="22"/>
          <w:lang w:val="en-US"/>
        </w:rPr>
        <w:t>extended</w:t>
      </w:r>
      <w:proofErr w:type="gramEnd"/>
      <w:r w:rsidRPr="00330FD6">
        <w:rPr>
          <w:rFonts w:ascii="Arial" w:hAnsi="Arial" w:cs="Arial"/>
          <w:color w:val="24292E"/>
          <w:sz w:val="22"/>
          <w:szCs w:val="22"/>
          <w:lang w:val="en-US"/>
        </w:rPr>
        <w:t xml:space="preserve"> as necessary.</w:t>
      </w:r>
    </w:p>
    <w:p w14:paraId="4DE05048" w14:textId="496D2C68" w:rsidR="00330FD6" w:rsidRPr="00330FD6" w:rsidRDefault="00330FD6" w:rsidP="008714F9">
      <w:pPr>
        <w:pStyle w:val="NormalWeb"/>
        <w:spacing w:before="0" w:beforeAutospacing="0" w:after="240" w:afterAutospacing="0" w:line="360" w:lineRule="auto"/>
        <w:jc w:val="both"/>
        <w:rPr>
          <w:rFonts w:ascii="Arial" w:hAnsi="Arial" w:cs="Arial"/>
          <w:color w:val="24292E"/>
          <w:sz w:val="22"/>
          <w:szCs w:val="22"/>
          <w:lang w:val="en-US"/>
        </w:rPr>
      </w:pPr>
      <w:proofErr w:type="spellStart"/>
      <w:r w:rsidRPr="00330FD6">
        <w:rPr>
          <w:rFonts w:ascii="Arial" w:hAnsi="Arial" w:cs="Arial"/>
          <w:color w:val="24292E"/>
          <w:sz w:val="22"/>
          <w:szCs w:val="22"/>
          <w:lang w:val="en-US"/>
        </w:rPr>
        <w:t>Nasiński’s</w:t>
      </w:r>
      <w:proofErr w:type="spellEnd"/>
      <w:r w:rsidRPr="00330FD6">
        <w:rPr>
          <w:rFonts w:ascii="Arial" w:hAnsi="Arial" w:cs="Arial"/>
          <w:color w:val="24292E"/>
          <w:sz w:val="22"/>
          <w:szCs w:val="22"/>
          <w:lang w:val="en-US"/>
        </w:rPr>
        <w:t xml:space="preserve"> thesis introduces the SEPA as an “effort to harmonize national payment systems.” It is</w:t>
      </w:r>
      <w:r w:rsidR="0027331A">
        <w:rPr>
          <w:rFonts w:ascii="Arial" w:hAnsi="Arial" w:cs="Arial"/>
          <w:color w:val="24292E"/>
          <w:sz w:val="22"/>
          <w:szCs w:val="22"/>
          <w:lang w:val="en-US"/>
        </w:rPr>
        <w:t>,</w:t>
      </w:r>
      <w:r w:rsidRPr="00330FD6">
        <w:rPr>
          <w:rFonts w:ascii="Arial" w:hAnsi="Arial" w:cs="Arial"/>
          <w:color w:val="24292E"/>
          <w:sz w:val="22"/>
          <w:szCs w:val="22"/>
          <w:lang w:val="en-US"/>
        </w:rPr>
        <w:t xml:space="preserve"> further</w:t>
      </w:r>
      <w:r w:rsidR="0027331A">
        <w:rPr>
          <w:rFonts w:ascii="Arial" w:hAnsi="Arial" w:cs="Arial"/>
          <w:color w:val="24292E"/>
          <w:sz w:val="22"/>
          <w:szCs w:val="22"/>
          <w:lang w:val="en-US"/>
        </w:rPr>
        <w:t>,</w:t>
      </w:r>
      <w:r w:rsidRPr="00330FD6">
        <w:rPr>
          <w:rFonts w:ascii="Arial" w:hAnsi="Arial" w:cs="Arial"/>
          <w:color w:val="24292E"/>
          <w:sz w:val="22"/>
          <w:szCs w:val="22"/>
          <w:lang w:val="en-US"/>
        </w:rPr>
        <w:t xml:space="preserve"> stated that this effort is “seen by some as the culmination of the introduction of the euro and the final stage in the creation of the single market.” At the time of this writing, the SEPA comprised 36 countries, i.e., the 27 EU Member States, the four European Free Trade Association (EFTA) countries Iceland, Liechtenstein, Norway, and Switzerland as well as Andorra, Monaco, San Marino and Vatican City. It is, furthermore, stated that in order to “coordinate its efforts, the banking industry has set up a self-regulatory body to manage the SEPA project,” namely the </w:t>
      </w:r>
      <w:proofErr w:type="gramStart"/>
      <w:r w:rsidRPr="00330FD6">
        <w:rPr>
          <w:rFonts w:ascii="Arial" w:hAnsi="Arial" w:cs="Arial"/>
          <w:color w:val="24292E"/>
          <w:sz w:val="22"/>
          <w:szCs w:val="22"/>
          <w:lang w:val="en-US"/>
        </w:rPr>
        <w:t>aforementioned organizations</w:t>
      </w:r>
      <w:proofErr w:type="gramEnd"/>
      <w:r w:rsidRPr="00330FD6">
        <w:rPr>
          <w:rFonts w:ascii="Arial" w:hAnsi="Arial" w:cs="Arial"/>
          <w:color w:val="24292E"/>
          <w:sz w:val="22"/>
          <w:szCs w:val="22"/>
          <w:lang w:val="en-US"/>
        </w:rPr>
        <w:t xml:space="preserve"> EPC and EBA.</w:t>
      </w:r>
    </w:p>
    <w:p w14:paraId="3174BF89" w14:textId="77777777" w:rsidR="00330FD6" w:rsidRPr="00330FD6" w:rsidRDefault="00330FD6" w:rsidP="008714F9">
      <w:pPr>
        <w:pStyle w:val="NormalWeb"/>
        <w:spacing w:before="0" w:beforeAutospacing="0" w:after="240" w:afterAutospacing="0" w:line="360" w:lineRule="auto"/>
        <w:jc w:val="both"/>
        <w:rPr>
          <w:rFonts w:ascii="Arial" w:hAnsi="Arial" w:cs="Arial"/>
          <w:color w:val="24292E"/>
          <w:sz w:val="22"/>
          <w:szCs w:val="22"/>
          <w:lang w:val="en-US"/>
        </w:rPr>
      </w:pPr>
      <w:r w:rsidRPr="00330FD6">
        <w:rPr>
          <w:rFonts w:ascii="Arial" w:hAnsi="Arial" w:cs="Arial"/>
          <w:color w:val="24292E"/>
          <w:sz w:val="22"/>
          <w:szCs w:val="22"/>
          <w:lang w:val="en-US"/>
        </w:rPr>
        <w:t xml:space="preserve">As to the origins of the SEPA project, </w:t>
      </w:r>
      <w:proofErr w:type="spellStart"/>
      <w:r w:rsidRPr="00330FD6">
        <w:rPr>
          <w:rFonts w:ascii="Arial" w:hAnsi="Arial" w:cs="Arial"/>
          <w:color w:val="24292E"/>
          <w:sz w:val="22"/>
          <w:szCs w:val="22"/>
          <w:lang w:val="en-US"/>
        </w:rPr>
        <w:t>Nasiński</w:t>
      </w:r>
      <w:proofErr w:type="spellEnd"/>
      <w:r w:rsidRPr="00330FD6">
        <w:rPr>
          <w:rFonts w:ascii="Arial" w:hAnsi="Arial" w:cs="Arial"/>
          <w:color w:val="24292E"/>
          <w:sz w:val="22"/>
          <w:szCs w:val="22"/>
          <w:lang w:val="en-US"/>
        </w:rPr>
        <w:t xml:space="preserve"> considers the “Regulation 2560/2001,” i.e., the previously mentioned Regulation on Cross-Border Payments in Euro, to be “the source of this project.” The Regulation’s “main objectives”—according to the thesis—include the reduction of “the level of charges levied on cross-border electronic payments in euro, [which, at the time, were] seen by the Commission as too high.” Therefore, it—among other things</w:t>
      </w:r>
      <w:proofErr w:type="gramStart"/>
      <w:r w:rsidRPr="00330FD6">
        <w:rPr>
          <w:rFonts w:ascii="Arial" w:hAnsi="Arial" w:cs="Arial"/>
          <w:color w:val="24292E"/>
          <w:sz w:val="22"/>
          <w:szCs w:val="22"/>
          <w:lang w:val="en-US"/>
        </w:rPr>
        <w:t>—“</w:t>
      </w:r>
      <w:proofErr w:type="gramEnd"/>
      <w:r w:rsidRPr="00330FD6">
        <w:rPr>
          <w:rFonts w:ascii="Arial" w:hAnsi="Arial" w:cs="Arial"/>
          <w:color w:val="24292E"/>
          <w:sz w:val="22"/>
          <w:szCs w:val="22"/>
          <w:lang w:val="en-US"/>
        </w:rPr>
        <w:t xml:space="preserve">introduced [...] that cross-border payments in euro should cost the same as corresponding national payments in euro.” </w:t>
      </w:r>
      <w:proofErr w:type="spellStart"/>
      <w:r w:rsidRPr="00330FD6">
        <w:rPr>
          <w:rFonts w:ascii="Arial" w:hAnsi="Arial" w:cs="Arial"/>
          <w:color w:val="24292E"/>
          <w:sz w:val="22"/>
          <w:szCs w:val="22"/>
          <w:lang w:val="en-US"/>
        </w:rPr>
        <w:t>Nasiński</w:t>
      </w:r>
      <w:proofErr w:type="spellEnd"/>
      <w:r w:rsidRPr="00330FD6">
        <w:rPr>
          <w:rFonts w:ascii="Arial" w:hAnsi="Arial" w:cs="Arial"/>
          <w:color w:val="24292E"/>
          <w:sz w:val="22"/>
          <w:szCs w:val="22"/>
          <w:lang w:val="en-US"/>
        </w:rPr>
        <w:t xml:space="preserve"> stresses that the Regulation</w:t>
      </w:r>
      <w:proofErr w:type="gramStart"/>
      <w:r w:rsidRPr="00330FD6">
        <w:rPr>
          <w:rFonts w:ascii="Arial" w:hAnsi="Arial" w:cs="Arial"/>
          <w:color w:val="24292E"/>
          <w:sz w:val="22"/>
          <w:szCs w:val="22"/>
          <w:lang w:val="en-US"/>
        </w:rPr>
        <w:t>—“</w:t>
      </w:r>
      <w:proofErr w:type="gramEnd"/>
      <w:r w:rsidRPr="00330FD6">
        <w:rPr>
          <w:rFonts w:ascii="Arial" w:hAnsi="Arial" w:cs="Arial"/>
          <w:color w:val="24292E"/>
          <w:sz w:val="22"/>
          <w:szCs w:val="22"/>
          <w:lang w:val="en-US"/>
        </w:rPr>
        <w:t>[w]</w:t>
      </w:r>
      <w:proofErr w:type="spellStart"/>
      <w:r w:rsidRPr="00330FD6">
        <w:rPr>
          <w:rFonts w:ascii="Arial" w:hAnsi="Arial" w:cs="Arial"/>
          <w:color w:val="24292E"/>
          <w:sz w:val="22"/>
          <w:szCs w:val="22"/>
          <w:lang w:val="en-US"/>
        </w:rPr>
        <w:t>hile</w:t>
      </w:r>
      <w:proofErr w:type="spellEnd"/>
      <w:r w:rsidRPr="00330FD6">
        <w:rPr>
          <w:rFonts w:ascii="Arial" w:hAnsi="Arial" w:cs="Arial"/>
          <w:color w:val="24292E"/>
          <w:sz w:val="22"/>
          <w:szCs w:val="22"/>
          <w:lang w:val="en-US"/>
        </w:rPr>
        <w:t xml:space="preserve"> being adopted”—“raised vigorous opposition </w:t>
      </w:r>
      <w:r w:rsidRPr="00330FD6">
        <w:rPr>
          <w:rFonts w:ascii="Arial" w:hAnsi="Arial" w:cs="Arial"/>
          <w:color w:val="24292E"/>
          <w:sz w:val="22"/>
          <w:szCs w:val="22"/>
          <w:lang w:val="en-US"/>
        </w:rPr>
        <w:lastRenderedPageBreak/>
        <w:t xml:space="preserve">from the banking sector.” It can be argued, however, that it also sparked not only criticism but innovation, as it “created the need for the banking industry to deploy EU-wide infrastructures in order to cut the costs for cross-border payments.” In fact, “[a] parallel process was [...] initiated by the private sector” as “European banks started working on the new project, called... SEPA.” </w:t>
      </w:r>
      <w:proofErr w:type="spellStart"/>
      <w:r w:rsidRPr="00330FD6">
        <w:rPr>
          <w:rFonts w:ascii="Arial" w:hAnsi="Arial" w:cs="Arial"/>
          <w:color w:val="24292E"/>
          <w:sz w:val="22"/>
          <w:szCs w:val="22"/>
          <w:lang w:val="en-US"/>
        </w:rPr>
        <w:t>Nasiński</w:t>
      </w:r>
      <w:proofErr w:type="spellEnd"/>
      <w:r w:rsidRPr="00330FD6">
        <w:rPr>
          <w:rFonts w:ascii="Arial" w:hAnsi="Arial" w:cs="Arial"/>
          <w:color w:val="24292E"/>
          <w:sz w:val="22"/>
          <w:szCs w:val="22"/>
          <w:lang w:val="en-US"/>
        </w:rPr>
        <w:t xml:space="preserve"> paraphrases a Commission proposal on the Regulation to state that “the Regulation provided the impetus to the banking industry to undertake the SEPA.”</w:t>
      </w:r>
    </w:p>
    <w:p w14:paraId="66E4BB64" w14:textId="77777777" w:rsidR="00330FD6" w:rsidRPr="00330FD6" w:rsidRDefault="00330FD6" w:rsidP="008714F9">
      <w:pPr>
        <w:pStyle w:val="NormalWeb"/>
        <w:spacing w:before="0" w:beforeAutospacing="0" w:after="240" w:afterAutospacing="0" w:line="360" w:lineRule="auto"/>
        <w:jc w:val="both"/>
        <w:rPr>
          <w:rFonts w:ascii="Arial" w:hAnsi="Arial" w:cs="Arial"/>
          <w:color w:val="24292E"/>
          <w:sz w:val="22"/>
          <w:szCs w:val="22"/>
          <w:lang w:val="en-US"/>
        </w:rPr>
      </w:pPr>
      <w:r w:rsidRPr="00330FD6">
        <w:rPr>
          <w:rFonts w:ascii="Arial" w:hAnsi="Arial" w:cs="Arial"/>
          <w:color w:val="24292E"/>
          <w:sz w:val="22"/>
          <w:szCs w:val="22"/>
          <w:lang w:val="en-US"/>
        </w:rPr>
        <w:t xml:space="preserve">With regards to the interaction of public and the private initiatives in the European payments sector, </w:t>
      </w:r>
      <w:proofErr w:type="spellStart"/>
      <w:r w:rsidRPr="00330FD6">
        <w:rPr>
          <w:rFonts w:ascii="Arial" w:hAnsi="Arial" w:cs="Arial"/>
          <w:color w:val="24292E"/>
          <w:sz w:val="22"/>
          <w:szCs w:val="22"/>
          <w:lang w:val="en-US"/>
        </w:rPr>
        <w:t>Nasiński</w:t>
      </w:r>
      <w:proofErr w:type="spellEnd"/>
      <w:r w:rsidRPr="00330FD6">
        <w:rPr>
          <w:rFonts w:ascii="Arial" w:hAnsi="Arial" w:cs="Arial"/>
          <w:color w:val="24292E"/>
          <w:sz w:val="22"/>
          <w:szCs w:val="22"/>
          <w:lang w:val="en-US"/>
        </w:rPr>
        <w:t xml:space="preserve"> resumes that, at first, Regulation 2560/2001—a public initiative—“was the reason why the SEPA project”—a private initiative—“even started.” “Afterwards, the SEPA influenced the introduction of the PSD”—a public initiative—which, in turn, “implicated the revision and substitution of the old Regulation with the new Regulation 924/2009”—another public initiative.</w:t>
      </w:r>
    </w:p>
    <w:p w14:paraId="6FF5D640" w14:textId="58702623" w:rsidR="00330FD6" w:rsidRPr="00330FD6" w:rsidRDefault="00330FD6" w:rsidP="008714F9">
      <w:pPr>
        <w:pStyle w:val="NormalWeb"/>
        <w:spacing w:before="0" w:beforeAutospacing="0" w:after="240" w:afterAutospacing="0" w:line="360" w:lineRule="auto"/>
        <w:jc w:val="both"/>
        <w:rPr>
          <w:rFonts w:ascii="Arial" w:hAnsi="Arial" w:cs="Arial"/>
          <w:color w:val="24292E"/>
          <w:sz w:val="22"/>
          <w:szCs w:val="22"/>
          <w:lang w:val="en-US"/>
        </w:rPr>
      </w:pPr>
      <w:r w:rsidRPr="00330FD6">
        <w:rPr>
          <w:rFonts w:ascii="Arial" w:hAnsi="Arial" w:cs="Arial"/>
          <w:color w:val="24292E"/>
          <w:sz w:val="22"/>
          <w:szCs w:val="22"/>
          <w:lang w:val="en-US"/>
        </w:rPr>
        <w:t xml:space="preserve">With regards to the scope of the SEPA project, it is stated that the EPC “has designed </w:t>
      </w:r>
      <w:r w:rsidR="0027331A">
        <w:rPr>
          <w:rFonts w:ascii="Arial" w:hAnsi="Arial" w:cs="Arial"/>
          <w:color w:val="24292E"/>
          <w:sz w:val="22"/>
          <w:szCs w:val="22"/>
          <w:lang w:val="en-US"/>
        </w:rPr>
        <w:t>r</w:t>
      </w:r>
      <w:r w:rsidRPr="00330FD6">
        <w:rPr>
          <w:rFonts w:ascii="Arial" w:hAnsi="Arial" w:cs="Arial"/>
          <w:color w:val="24292E"/>
          <w:sz w:val="22"/>
          <w:szCs w:val="22"/>
          <w:lang w:val="en-US"/>
        </w:rPr>
        <w:t xml:space="preserve">ulebooks for two payment schemes [...] and one framework,” namely </w:t>
      </w:r>
      <w:r w:rsidRPr="00330FD6">
        <w:rPr>
          <w:rFonts w:ascii="Arial" w:hAnsi="Arial" w:cs="Arial"/>
          <w:b/>
          <w:bCs/>
          <w:color w:val="24292E"/>
          <w:sz w:val="22"/>
          <w:szCs w:val="22"/>
          <w:lang w:val="en-US"/>
        </w:rPr>
        <w:t>SEPA Credit Transfer (SCT)</w:t>
      </w:r>
      <w:r w:rsidRPr="00330FD6">
        <w:rPr>
          <w:rFonts w:ascii="Arial" w:hAnsi="Arial" w:cs="Arial"/>
          <w:color w:val="24292E"/>
          <w:sz w:val="22"/>
          <w:szCs w:val="22"/>
          <w:lang w:val="en-US"/>
        </w:rPr>
        <w:t xml:space="preserve">, </w:t>
      </w:r>
      <w:r w:rsidRPr="00330FD6">
        <w:rPr>
          <w:rFonts w:ascii="Arial" w:hAnsi="Arial" w:cs="Arial"/>
          <w:b/>
          <w:bCs/>
          <w:color w:val="24292E"/>
          <w:sz w:val="22"/>
          <w:szCs w:val="22"/>
          <w:lang w:val="en-US"/>
        </w:rPr>
        <w:t>SEPA Direct Debits (SDD)</w:t>
      </w:r>
      <w:r w:rsidRPr="00330FD6">
        <w:rPr>
          <w:rFonts w:ascii="Arial" w:hAnsi="Arial" w:cs="Arial"/>
          <w:color w:val="24292E"/>
          <w:sz w:val="22"/>
          <w:szCs w:val="22"/>
          <w:lang w:val="en-US"/>
        </w:rPr>
        <w:t xml:space="preserve"> and </w:t>
      </w:r>
      <w:r w:rsidRPr="00330FD6">
        <w:rPr>
          <w:rFonts w:ascii="Arial" w:hAnsi="Arial" w:cs="Arial"/>
          <w:b/>
          <w:bCs/>
          <w:color w:val="24292E"/>
          <w:sz w:val="22"/>
          <w:szCs w:val="22"/>
          <w:lang w:val="en-US"/>
        </w:rPr>
        <w:t>SEPA Cards Framework (SCF)</w:t>
      </w:r>
      <w:r w:rsidRPr="00330FD6">
        <w:rPr>
          <w:rFonts w:ascii="Arial" w:hAnsi="Arial" w:cs="Arial"/>
          <w:color w:val="24292E"/>
          <w:sz w:val="22"/>
          <w:szCs w:val="22"/>
          <w:lang w:val="en-US"/>
        </w:rPr>
        <w:t xml:space="preserve">, respectively. It is noted that SCT and SDD can be considered “replacement strategies” in that they are “new common </w:t>
      </w:r>
      <w:r w:rsidR="0027331A">
        <w:rPr>
          <w:rFonts w:ascii="Arial" w:hAnsi="Arial" w:cs="Arial"/>
          <w:color w:val="24292E"/>
          <w:sz w:val="22"/>
          <w:szCs w:val="22"/>
          <w:lang w:val="en-US"/>
        </w:rPr>
        <w:t>s</w:t>
      </w:r>
      <w:r w:rsidRPr="00330FD6">
        <w:rPr>
          <w:rFonts w:ascii="Arial" w:hAnsi="Arial" w:cs="Arial"/>
          <w:color w:val="24292E"/>
          <w:sz w:val="22"/>
          <w:szCs w:val="22"/>
          <w:lang w:val="en-US"/>
        </w:rPr>
        <w:t xml:space="preserve">chemes” replacing their national predecessors. SCF, on the other hand, is described as an “adoption strategy” that “allow[s] existing schemes and their operators to adjust” to it. At the time of this writing, SCT and SDD are fully adopted and implemented, whereas SCF is not, leaving card payment schemes in Europe largely incompatible with each other. It seems noteworthy that in 2016, the EPC first presented a draft of the </w:t>
      </w:r>
      <w:r w:rsidRPr="00330FD6">
        <w:rPr>
          <w:rFonts w:ascii="Arial" w:hAnsi="Arial" w:cs="Arial"/>
          <w:b/>
          <w:bCs/>
          <w:color w:val="24292E"/>
          <w:sz w:val="22"/>
          <w:szCs w:val="22"/>
          <w:lang w:val="en-US"/>
        </w:rPr>
        <w:t>SEPA Credit Transfer Instant (SCT Inst)</w:t>
      </w:r>
      <w:r w:rsidRPr="00330FD6">
        <w:rPr>
          <w:rFonts w:ascii="Arial" w:hAnsi="Arial" w:cs="Arial"/>
          <w:color w:val="24292E"/>
          <w:sz w:val="22"/>
          <w:szCs w:val="22"/>
          <w:lang w:val="en-US"/>
        </w:rPr>
        <w:t xml:space="preserve"> Rulebook. As the EPC web site [</w:t>
      </w:r>
      <w:r w:rsidRPr="001F69B9">
        <w:rPr>
          <w:rFonts w:ascii="Arial" w:hAnsi="Arial" w:cs="Arial"/>
          <w:sz w:val="22"/>
          <w:szCs w:val="22"/>
          <w:lang w:val="en-US"/>
        </w:rPr>
        <w:t>7</w:t>
      </w:r>
      <w:r w:rsidRPr="00330FD6">
        <w:rPr>
          <w:rFonts w:ascii="Arial" w:hAnsi="Arial" w:cs="Arial"/>
          <w:color w:val="24292E"/>
          <w:sz w:val="22"/>
          <w:szCs w:val="22"/>
          <w:lang w:val="en-US"/>
        </w:rPr>
        <w:t>] states, SCT Inst “</w:t>
      </w:r>
      <w:proofErr w:type="spellStart"/>
      <w:r w:rsidRPr="00330FD6">
        <w:rPr>
          <w:rFonts w:ascii="Arial" w:hAnsi="Arial" w:cs="Arial"/>
          <w:color w:val="24292E"/>
          <w:sz w:val="22"/>
          <w:szCs w:val="22"/>
          <w:lang w:val="en-US"/>
        </w:rPr>
        <w:t>enabl</w:t>
      </w:r>
      <w:proofErr w:type="spellEnd"/>
      <w:r w:rsidRPr="00330FD6">
        <w:rPr>
          <w:rFonts w:ascii="Arial" w:hAnsi="Arial" w:cs="Arial"/>
          <w:color w:val="24292E"/>
          <w:sz w:val="22"/>
          <w:szCs w:val="22"/>
          <w:lang w:val="en-US"/>
        </w:rPr>
        <w:t>[es] pan-European credit transfers with the funds made available [...] in less than ten seconds.” At the time of this writing, said Rulebook is available in version 1.1 and “2240 payment service providers have already joined the scheme: 56% of European PSPs.” Due to their ubiquity, the following subsections will present the SEPA payment instruments SCT and SDD in detail.</w:t>
      </w:r>
    </w:p>
    <w:p w14:paraId="452936CF" w14:textId="7BC21710" w:rsidR="00330FD6" w:rsidRPr="00330FD6" w:rsidRDefault="00330FD6" w:rsidP="008714F9">
      <w:pPr>
        <w:pStyle w:val="NormalWeb"/>
        <w:spacing w:before="0" w:beforeAutospacing="0" w:after="240" w:afterAutospacing="0" w:line="360" w:lineRule="auto"/>
        <w:jc w:val="both"/>
        <w:rPr>
          <w:rFonts w:ascii="Arial" w:hAnsi="Arial" w:cs="Arial"/>
          <w:color w:val="24292E"/>
          <w:sz w:val="22"/>
          <w:szCs w:val="22"/>
          <w:lang w:val="en-US"/>
        </w:rPr>
      </w:pPr>
      <w:r w:rsidRPr="00330FD6">
        <w:rPr>
          <w:rFonts w:ascii="Arial" w:hAnsi="Arial" w:cs="Arial"/>
          <w:color w:val="24292E"/>
          <w:sz w:val="22"/>
          <w:szCs w:val="22"/>
          <w:lang w:val="en-US"/>
        </w:rPr>
        <w:t xml:space="preserve">In his thesis, </w:t>
      </w:r>
      <w:proofErr w:type="spellStart"/>
      <w:r w:rsidRPr="00330FD6">
        <w:rPr>
          <w:rFonts w:ascii="Arial" w:hAnsi="Arial" w:cs="Arial"/>
          <w:color w:val="24292E"/>
          <w:sz w:val="22"/>
          <w:szCs w:val="22"/>
          <w:lang w:val="en-US"/>
        </w:rPr>
        <w:t>Nasiński</w:t>
      </w:r>
      <w:proofErr w:type="spellEnd"/>
      <w:r w:rsidRPr="00330FD6">
        <w:rPr>
          <w:rFonts w:ascii="Arial" w:hAnsi="Arial" w:cs="Arial"/>
          <w:color w:val="24292E"/>
          <w:sz w:val="22"/>
          <w:szCs w:val="22"/>
          <w:lang w:val="en-US"/>
        </w:rPr>
        <w:t xml:space="preserve"> lists key differences between the SEPA and the PSD. Whilst the former is a “[s]elf-regulatory” initiative, the latter is </w:t>
      </w:r>
      <w:proofErr w:type="gramStart"/>
      <w:r w:rsidRPr="00330FD6">
        <w:rPr>
          <w:rFonts w:ascii="Arial" w:hAnsi="Arial" w:cs="Arial"/>
          <w:color w:val="24292E"/>
          <w:sz w:val="22"/>
          <w:szCs w:val="22"/>
          <w:lang w:val="en-US"/>
        </w:rPr>
        <w:t>a</w:t>
      </w:r>
      <w:proofErr w:type="gramEnd"/>
      <w:r w:rsidRPr="00330FD6">
        <w:rPr>
          <w:rFonts w:ascii="Arial" w:hAnsi="Arial" w:cs="Arial"/>
          <w:color w:val="24292E"/>
          <w:sz w:val="22"/>
          <w:szCs w:val="22"/>
          <w:lang w:val="en-US"/>
        </w:rPr>
        <w:t xml:space="preserve"> </w:t>
      </w:r>
      <w:r w:rsidR="0027331A">
        <w:rPr>
          <w:rFonts w:ascii="Arial" w:hAnsi="Arial" w:cs="Arial"/>
          <w:color w:val="24292E"/>
          <w:sz w:val="22"/>
          <w:szCs w:val="22"/>
          <w:lang w:val="en-US"/>
        </w:rPr>
        <w:t xml:space="preserve">EU </w:t>
      </w:r>
      <w:r w:rsidRPr="00330FD6">
        <w:rPr>
          <w:rFonts w:ascii="Arial" w:hAnsi="Arial" w:cs="Arial"/>
          <w:color w:val="24292E"/>
          <w:sz w:val="22"/>
          <w:szCs w:val="22"/>
          <w:lang w:val="en-US"/>
        </w:rPr>
        <w:t>Directive. Furthermore, while the SEPA only concerns euro payments with the respective SEPA payment instruments, the PSD regulates all “[p]</w:t>
      </w:r>
      <w:proofErr w:type="spellStart"/>
      <w:r w:rsidRPr="00330FD6">
        <w:rPr>
          <w:rFonts w:ascii="Arial" w:hAnsi="Arial" w:cs="Arial"/>
          <w:color w:val="24292E"/>
          <w:sz w:val="22"/>
          <w:szCs w:val="22"/>
          <w:lang w:val="en-US"/>
        </w:rPr>
        <w:t>ayment</w:t>
      </w:r>
      <w:proofErr w:type="spellEnd"/>
      <w:r w:rsidRPr="00330FD6">
        <w:rPr>
          <w:rFonts w:ascii="Arial" w:hAnsi="Arial" w:cs="Arial"/>
          <w:color w:val="24292E"/>
          <w:sz w:val="22"/>
          <w:szCs w:val="22"/>
          <w:lang w:val="en-US"/>
        </w:rPr>
        <w:t xml:space="preserve"> services listed in the Annex to the PSD” and is also not limited to euro payments.</w:t>
      </w:r>
    </w:p>
    <w:p w14:paraId="05DEAE0C" w14:textId="08FBC95B" w:rsidR="00330FD6" w:rsidRPr="000114C5" w:rsidRDefault="008714F9" w:rsidP="008238EC">
      <w:pPr>
        <w:pStyle w:val="Heading2"/>
        <w:rPr>
          <w:lang w:val="en-US"/>
        </w:rPr>
      </w:pPr>
      <w:bookmarkStart w:id="21" w:name="_Toc53958268"/>
      <w:r>
        <w:rPr>
          <w:lang w:val="en-US"/>
        </w:rPr>
        <w:lastRenderedPageBreak/>
        <w:t>Clearing and settlement</w:t>
      </w:r>
      <w:bookmarkEnd w:id="21"/>
    </w:p>
    <w:p w14:paraId="348AA257" w14:textId="29334922" w:rsidR="008714F9" w:rsidRPr="008714F9" w:rsidRDefault="008714F9" w:rsidP="008714F9">
      <w:pPr>
        <w:pStyle w:val="NormalWeb"/>
        <w:spacing w:before="240" w:beforeAutospacing="0" w:after="240" w:afterAutospacing="0" w:line="360" w:lineRule="auto"/>
        <w:jc w:val="both"/>
        <w:rPr>
          <w:rFonts w:ascii="Arial" w:hAnsi="Arial" w:cs="Arial"/>
          <w:color w:val="24292E"/>
          <w:sz w:val="22"/>
          <w:szCs w:val="22"/>
          <w:lang w:val="en-US"/>
        </w:rPr>
      </w:pPr>
      <w:r w:rsidRPr="008714F9">
        <w:rPr>
          <w:rFonts w:ascii="Arial" w:hAnsi="Arial" w:cs="Arial"/>
          <w:color w:val="24292E"/>
          <w:sz w:val="22"/>
          <w:szCs w:val="22"/>
          <w:lang w:val="en-US"/>
        </w:rPr>
        <w:t xml:space="preserve">This subsection introduces the terms clearing and settlement, as they are crucial to understanding the SEPA payment instruments that are presented in the next subsections. It is based on the respective remarks made by Capgemini payments consultant Jean Paul </w:t>
      </w:r>
      <w:proofErr w:type="spellStart"/>
      <w:r w:rsidRPr="008714F9">
        <w:rPr>
          <w:rFonts w:ascii="Arial" w:hAnsi="Arial" w:cs="Arial"/>
          <w:color w:val="24292E"/>
          <w:sz w:val="22"/>
          <w:szCs w:val="22"/>
          <w:lang w:val="en-US"/>
        </w:rPr>
        <w:t>Megue</w:t>
      </w:r>
      <w:proofErr w:type="spellEnd"/>
      <w:r w:rsidRPr="008714F9">
        <w:rPr>
          <w:rFonts w:ascii="Arial" w:hAnsi="Arial" w:cs="Arial"/>
          <w:color w:val="24292E"/>
          <w:sz w:val="22"/>
          <w:szCs w:val="22"/>
          <w:lang w:val="en-US"/>
        </w:rPr>
        <w:t xml:space="preserve"> in his 2018-book “SEPA Credit Transfer” [</w:t>
      </w:r>
      <w:r w:rsidRPr="001F69B9">
        <w:rPr>
          <w:rFonts w:ascii="Arial" w:hAnsi="Arial" w:cs="Arial"/>
          <w:sz w:val="22"/>
          <w:szCs w:val="22"/>
          <w:lang w:val="en-US"/>
        </w:rPr>
        <w:t>8</w:t>
      </w:r>
      <w:r w:rsidRPr="008714F9">
        <w:rPr>
          <w:rFonts w:ascii="Arial" w:hAnsi="Arial" w:cs="Arial"/>
          <w:color w:val="24292E"/>
          <w:sz w:val="22"/>
          <w:szCs w:val="22"/>
          <w:lang w:val="en-US"/>
        </w:rPr>
        <w:t>].</w:t>
      </w:r>
    </w:p>
    <w:p w14:paraId="4582B414" w14:textId="77777777" w:rsidR="008714F9" w:rsidRPr="008714F9" w:rsidRDefault="008714F9" w:rsidP="009627A4">
      <w:pPr>
        <w:pStyle w:val="NormalWeb"/>
        <w:spacing w:before="0" w:beforeAutospacing="0" w:after="240" w:afterAutospacing="0" w:line="360" w:lineRule="auto"/>
        <w:jc w:val="both"/>
        <w:rPr>
          <w:rFonts w:ascii="Arial" w:hAnsi="Arial" w:cs="Arial"/>
          <w:color w:val="24292E"/>
          <w:sz w:val="22"/>
          <w:szCs w:val="22"/>
          <w:lang w:val="en-US"/>
        </w:rPr>
      </w:pPr>
      <w:proofErr w:type="spellStart"/>
      <w:r w:rsidRPr="008714F9">
        <w:rPr>
          <w:rFonts w:ascii="Arial" w:hAnsi="Arial" w:cs="Arial"/>
          <w:color w:val="24292E"/>
          <w:sz w:val="22"/>
          <w:szCs w:val="22"/>
          <w:lang w:val="en-US"/>
        </w:rPr>
        <w:t>Megue</w:t>
      </w:r>
      <w:proofErr w:type="spellEnd"/>
      <w:r w:rsidRPr="008714F9">
        <w:rPr>
          <w:rFonts w:ascii="Arial" w:hAnsi="Arial" w:cs="Arial"/>
          <w:color w:val="24292E"/>
          <w:sz w:val="22"/>
          <w:szCs w:val="22"/>
          <w:lang w:val="en-US"/>
        </w:rPr>
        <w:t xml:space="preserve"> starts out by quoting the BIS to define </w:t>
      </w:r>
      <w:r w:rsidRPr="008714F9">
        <w:rPr>
          <w:rFonts w:ascii="Arial" w:hAnsi="Arial" w:cs="Arial"/>
          <w:b/>
          <w:bCs/>
          <w:color w:val="24292E"/>
          <w:sz w:val="22"/>
          <w:szCs w:val="22"/>
          <w:lang w:val="en-US"/>
        </w:rPr>
        <w:t>clearing</w:t>
      </w:r>
      <w:r w:rsidRPr="008714F9">
        <w:rPr>
          <w:rFonts w:ascii="Arial" w:hAnsi="Arial" w:cs="Arial"/>
          <w:color w:val="24292E"/>
          <w:sz w:val="22"/>
          <w:szCs w:val="22"/>
          <w:lang w:val="en-US"/>
        </w:rPr>
        <w:t xml:space="preserve"> as “the process of transmitting, reconciling and, in some cases, confirming transactions prior to settlement, including the netting of transactions and the establishment of final positions for settlement.” According to </w:t>
      </w:r>
      <w:proofErr w:type="spellStart"/>
      <w:r w:rsidRPr="008714F9">
        <w:rPr>
          <w:rFonts w:ascii="Arial" w:hAnsi="Arial" w:cs="Arial"/>
          <w:color w:val="24292E"/>
          <w:sz w:val="22"/>
          <w:szCs w:val="22"/>
          <w:lang w:val="en-US"/>
        </w:rPr>
        <w:t>Megue</w:t>
      </w:r>
      <w:proofErr w:type="spellEnd"/>
      <w:r w:rsidRPr="008714F9">
        <w:rPr>
          <w:rFonts w:ascii="Arial" w:hAnsi="Arial" w:cs="Arial"/>
          <w:color w:val="24292E"/>
          <w:sz w:val="22"/>
          <w:szCs w:val="22"/>
          <w:lang w:val="en-US"/>
        </w:rPr>
        <w:t xml:space="preserve">, </w:t>
      </w:r>
      <w:r w:rsidRPr="008714F9">
        <w:rPr>
          <w:rFonts w:ascii="Arial" w:hAnsi="Arial" w:cs="Arial"/>
          <w:b/>
          <w:bCs/>
          <w:color w:val="24292E"/>
          <w:sz w:val="22"/>
          <w:szCs w:val="22"/>
          <w:lang w:val="en-US"/>
        </w:rPr>
        <w:t>netting</w:t>
      </w:r>
      <w:r w:rsidRPr="008714F9">
        <w:rPr>
          <w:rFonts w:ascii="Arial" w:hAnsi="Arial" w:cs="Arial"/>
          <w:color w:val="24292E"/>
          <w:sz w:val="22"/>
          <w:szCs w:val="22"/>
          <w:lang w:val="en-US"/>
        </w:rPr>
        <w:t xml:space="preserve"> is what is “key” to this definition, which the BIS is quoted to define as “the offsetting of obligations between or among participants in the netting arrangement, thereby reducing the number and value of payments or deliveries needed to settle a set of transactions.”</w:t>
      </w:r>
    </w:p>
    <w:p w14:paraId="42434BC1" w14:textId="77777777" w:rsidR="008714F9" w:rsidRPr="008714F9" w:rsidRDefault="008714F9" w:rsidP="009627A4">
      <w:pPr>
        <w:pStyle w:val="NormalWeb"/>
        <w:spacing w:before="0" w:beforeAutospacing="0" w:after="240" w:afterAutospacing="0" w:line="360" w:lineRule="auto"/>
        <w:jc w:val="both"/>
        <w:rPr>
          <w:rFonts w:ascii="Arial" w:hAnsi="Arial" w:cs="Arial"/>
          <w:color w:val="24292E"/>
          <w:sz w:val="22"/>
          <w:szCs w:val="22"/>
          <w:lang w:val="en-US"/>
        </w:rPr>
      </w:pPr>
      <w:r w:rsidRPr="008714F9">
        <w:rPr>
          <w:rFonts w:ascii="Arial" w:hAnsi="Arial" w:cs="Arial"/>
          <w:color w:val="24292E"/>
          <w:sz w:val="22"/>
          <w:szCs w:val="22"/>
          <w:lang w:val="en-US"/>
        </w:rPr>
        <w:t xml:space="preserve">A simple example of </w:t>
      </w:r>
      <w:r w:rsidRPr="008714F9">
        <w:rPr>
          <w:rFonts w:ascii="Arial" w:hAnsi="Arial" w:cs="Arial"/>
          <w:b/>
          <w:bCs/>
          <w:color w:val="24292E"/>
          <w:sz w:val="22"/>
          <w:szCs w:val="22"/>
          <w:lang w:val="en-US"/>
        </w:rPr>
        <w:t>bilateral clearing</w:t>
      </w:r>
      <w:r w:rsidRPr="008714F9">
        <w:rPr>
          <w:rFonts w:ascii="Arial" w:hAnsi="Arial" w:cs="Arial"/>
          <w:color w:val="24292E"/>
          <w:sz w:val="22"/>
          <w:szCs w:val="22"/>
          <w:lang w:val="en-US"/>
        </w:rPr>
        <w:t xml:space="preserve">—which, in this case, can be understood as netting that only involves two parties—is presented. It is assumed that a party A orders 100€ to be transferred to a party B, while party B orders 25€ to be transferred to party A. 75€ is what is considered the “final position after the netting.” It is noted that if only this final position were to be transferred from A to B, “only one transfer [would have to be] made” and one transaction could be “save[d].” </w:t>
      </w:r>
      <w:proofErr w:type="spellStart"/>
      <w:r w:rsidRPr="008714F9">
        <w:rPr>
          <w:rFonts w:ascii="Arial" w:hAnsi="Arial" w:cs="Arial"/>
          <w:color w:val="24292E"/>
          <w:sz w:val="22"/>
          <w:szCs w:val="22"/>
          <w:lang w:val="en-US"/>
        </w:rPr>
        <w:t>Megue</w:t>
      </w:r>
      <w:proofErr w:type="spellEnd"/>
      <w:r w:rsidRPr="008714F9">
        <w:rPr>
          <w:rFonts w:ascii="Arial" w:hAnsi="Arial" w:cs="Arial"/>
          <w:color w:val="24292E"/>
          <w:sz w:val="22"/>
          <w:szCs w:val="22"/>
          <w:lang w:val="en-US"/>
        </w:rPr>
        <w:t xml:space="preserve"> describes </w:t>
      </w:r>
      <w:r w:rsidRPr="008714F9">
        <w:rPr>
          <w:rFonts w:ascii="Arial" w:hAnsi="Arial" w:cs="Arial"/>
          <w:b/>
          <w:bCs/>
          <w:color w:val="24292E"/>
          <w:sz w:val="22"/>
          <w:szCs w:val="22"/>
          <w:lang w:val="en-US"/>
        </w:rPr>
        <w:t>multilateral clearing</w:t>
      </w:r>
      <w:r w:rsidRPr="008714F9">
        <w:rPr>
          <w:rFonts w:ascii="Arial" w:hAnsi="Arial" w:cs="Arial"/>
          <w:color w:val="24292E"/>
          <w:sz w:val="22"/>
          <w:szCs w:val="22"/>
          <w:lang w:val="en-US"/>
        </w:rPr>
        <w:t xml:space="preserve"> as “the same as […] bilateral clearing” in principle but with “a high number of financial institutions […] involved.”</w:t>
      </w:r>
    </w:p>
    <w:p w14:paraId="2ABDFD3C" w14:textId="77777777" w:rsidR="008714F9" w:rsidRPr="008714F9" w:rsidRDefault="008714F9" w:rsidP="009627A4">
      <w:pPr>
        <w:pStyle w:val="NormalWeb"/>
        <w:spacing w:before="0" w:beforeAutospacing="0" w:after="240" w:afterAutospacing="0" w:line="360" w:lineRule="auto"/>
        <w:jc w:val="both"/>
        <w:rPr>
          <w:rFonts w:ascii="Arial" w:hAnsi="Arial" w:cs="Arial"/>
          <w:color w:val="24292E"/>
          <w:sz w:val="22"/>
          <w:szCs w:val="22"/>
          <w:lang w:val="en-US"/>
        </w:rPr>
      </w:pPr>
      <w:r w:rsidRPr="008714F9">
        <w:rPr>
          <w:rFonts w:ascii="Arial" w:hAnsi="Arial" w:cs="Arial"/>
          <w:color w:val="24292E"/>
          <w:sz w:val="22"/>
          <w:szCs w:val="22"/>
          <w:lang w:val="en-US"/>
        </w:rPr>
        <w:t>In the absence of a central party, financial institutions performing multilateral clearing would have to “establish a point-to-point connection with each of them.” In such a “fully connected network topology”—which is considered “extremely impractical”</w:t>
      </w:r>
      <w:proofErr w:type="gramStart"/>
      <w:r w:rsidRPr="008714F9">
        <w:rPr>
          <w:rFonts w:ascii="Arial" w:hAnsi="Arial" w:cs="Arial"/>
          <w:color w:val="24292E"/>
          <w:sz w:val="22"/>
          <w:szCs w:val="22"/>
          <w:lang w:val="en-US"/>
        </w:rPr>
        <w:t>—“</w:t>
      </w:r>
      <w:proofErr w:type="gramEnd"/>
      <w:r w:rsidRPr="008714F9">
        <w:rPr>
          <w:rFonts w:ascii="Arial" w:hAnsi="Arial" w:cs="Arial"/>
          <w:color w:val="24292E"/>
          <w:sz w:val="22"/>
          <w:szCs w:val="22"/>
          <w:lang w:val="en-US"/>
        </w:rPr>
        <w:t>many bilateral clearings [would have to] be performed.” This approach is described to be problematic for a variety of reasons, most prominently because “[e]ach bank in the system must take care of the netting […] itself” and “[</w:t>
      </w:r>
      <w:proofErr w:type="spellStart"/>
      <w:r w:rsidRPr="008714F9">
        <w:rPr>
          <w:rFonts w:ascii="Arial" w:hAnsi="Arial" w:cs="Arial"/>
          <w:color w:val="24292E"/>
          <w:sz w:val="22"/>
          <w:szCs w:val="22"/>
          <w:lang w:val="en-US"/>
        </w:rPr>
        <w:t>i</w:t>
      </w:r>
      <w:proofErr w:type="spellEnd"/>
      <w:r w:rsidRPr="008714F9">
        <w:rPr>
          <w:rFonts w:ascii="Arial" w:hAnsi="Arial" w:cs="Arial"/>
          <w:color w:val="24292E"/>
          <w:sz w:val="22"/>
          <w:szCs w:val="22"/>
          <w:lang w:val="en-US"/>
        </w:rPr>
        <w:t xml:space="preserve">]t must do that for each of the bank[s] it is connected to.” As a solution to these problems, </w:t>
      </w:r>
      <w:proofErr w:type="spellStart"/>
      <w:r w:rsidRPr="008714F9">
        <w:rPr>
          <w:rFonts w:ascii="Arial" w:hAnsi="Arial" w:cs="Arial"/>
          <w:color w:val="24292E"/>
          <w:sz w:val="22"/>
          <w:szCs w:val="22"/>
          <w:lang w:val="en-US"/>
        </w:rPr>
        <w:t>Megue</w:t>
      </w:r>
      <w:proofErr w:type="spellEnd"/>
      <w:r w:rsidRPr="008714F9">
        <w:rPr>
          <w:rFonts w:ascii="Arial" w:hAnsi="Arial" w:cs="Arial"/>
          <w:color w:val="24292E"/>
          <w:sz w:val="22"/>
          <w:szCs w:val="22"/>
          <w:lang w:val="en-US"/>
        </w:rPr>
        <w:t xml:space="preserve"> introduces the concept of a </w:t>
      </w:r>
      <w:r w:rsidRPr="008714F9">
        <w:rPr>
          <w:rFonts w:ascii="Arial" w:hAnsi="Arial" w:cs="Arial"/>
          <w:b/>
          <w:bCs/>
          <w:color w:val="24292E"/>
          <w:sz w:val="22"/>
          <w:szCs w:val="22"/>
          <w:lang w:val="en-US"/>
        </w:rPr>
        <w:t>clearing house</w:t>
      </w:r>
      <w:r w:rsidRPr="008714F9">
        <w:rPr>
          <w:rFonts w:ascii="Arial" w:hAnsi="Arial" w:cs="Arial"/>
          <w:color w:val="24292E"/>
          <w:sz w:val="22"/>
          <w:szCs w:val="22"/>
          <w:lang w:val="en-US"/>
        </w:rPr>
        <w:t>—a “third party” to which all participating institutions are connected. A clearing house “implements the clearing mechanism” and enables participating banks “[t]o reach all [b]</w:t>
      </w:r>
      <w:proofErr w:type="spellStart"/>
      <w:r w:rsidRPr="008714F9">
        <w:rPr>
          <w:rFonts w:ascii="Arial" w:hAnsi="Arial" w:cs="Arial"/>
          <w:color w:val="24292E"/>
          <w:sz w:val="22"/>
          <w:szCs w:val="22"/>
          <w:lang w:val="en-US"/>
        </w:rPr>
        <w:t>anks</w:t>
      </w:r>
      <w:proofErr w:type="spellEnd"/>
      <w:r w:rsidRPr="008714F9">
        <w:rPr>
          <w:rFonts w:ascii="Arial" w:hAnsi="Arial" w:cs="Arial"/>
          <w:color w:val="24292E"/>
          <w:sz w:val="22"/>
          <w:szCs w:val="22"/>
          <w:lang w:val="en-US"/>
        </w:rPr>
        <w:t xml:space="preserve"> connected to the CSM” simply by being connected to it. It is then pointed out that a participating bank does, in fact, not deal with the other banks connected to the clearing house but “considers the clearing system as a single counterparty.” Concretely, this means that “[w]hen a bank receives a credit transaction, it considers […] the clearing system to [owe] it money,” whereas, </w:t>
      </w:r>
      <w:r w:rsidRPr="008714F9">
        <w:rPr>
          <w:rFonts w:ascii="Arial" w:hAnsi="Arial" w:cs="Arial"/>
          <w:color w:val="24292E"/>
          <w:sz w:val="22"/>
          <w:szCs w:val="22"/>
          <w:lang w:val="en-US"/>
        </w:rPr>
        <w:lastRenderedPageBreak/>
        <w:t xml:space="preserve">conversely, in case of a debit transaction, “it owes money to the clearing system.” According to </w:t>
      </w:r>
      <w:proofErr w:type="spellStart"/>
      <w:r w:rsidRPr="008714F9">
        <w:rPr>
          <w:rFonts w:ascii="Arial" w:hAnsi="Arial" w:cs="Arial"/>
          <w:color w:val="24292E"/>
          <w:sz w:val="22"/>
          <w:szCs w:val="22"/>
          <w:lang w:val="en-US"/>
        </w:rPr>
        <w:t>Megue</w:t>
      </w:r>
      <w:proofErr w:type="spellEnd"/>
      <w:r w:rsidRPr="008714F9">
        <w:rPr>
          <w:rFonts w:ascii="Arial" w:hAnsi="Arial" w:cs="Arial"/>
          <w:color w:val="24292E"/>
          <w:sz w:val="22"/>
          <w:szCs w:val="22"/>
          <w:lang w:val="en-US"/>
        </w:rPr>
        <w:t>, clearing houses are—“[</w:t>
      </w:r>
      <w:proofErr w:type="spellStart"/>
      <w:r w:rsidRPr="008714F9">
        <w:rPr>
          <w:rFonts w:ascii="Arial" w:hAnsi="Arial" w:cs="Arial"/>
          <w:color w:val="24292E"/>
          <w:sz w:val="22"/>
          <w:szCs w:val="22"/>
          <w:lang w:val="en-US"/>
        </w:rPr>
        <w:t>i</w:t>
      </w:r>
      <w:proofErr w:type="spellEnd"/>
      <w:r w:rsidRPr="008714F9">
        <w:rPr>
          <w:rFonts w:ascii="Arial" w:hAnsi="Arial" w:cs="Arial"/>
          <w:color w:val="24292E"/>
          <w:sz w:val="22"/>
          <w:szCs w:val="22"/>
          <w:lang w:val="en-US"/>
        </w:rPr>
        <w:t>]n reality”—“connected to the central [b]</w:t>
      </w:r>
      <w:proofErr w:type="spellStart"/>
      <w:r w:rsidRPr="008714F9">
        <w:rPr>
          <w:rFonts w:ascii="Arial" w:hAnsi="Arial" w:cs="Arial"/>
          <w:color w:val="24292E"/>
          <w:sz w:val="22"/>
          <w:szCs w:val="22"/>
          <w:lang w:val="en-US"/>
        </w:rPr>
        <w:t>ank</w:t>
      </w:r>
      <w:proofErr w:type="spellEnd"/>
      <w:r w:rsidRPr="008714F9">
        <w:rPr>
          <w:rFonts w:ascii="Arial" w:hAnsi="Arial" w:cs="Arial"/>
          <w:color w:val="24292E"/>
          <w:sz w:val="22"/>
          <w:szCs w:val="22"/>
          <w:lang w:val="en-US"/>
        </w:rPr>
        <w:t>”, for two reasons: Firstly, “[t]he central bank comes into play […] as overseer of the banking system,” and, secondly, because it is said to implement the settlement system.</w:t>
      </w:r>
    </w:p>
    <w:p w14:paraId="55A8C3A2" w14:textId="77777777" w:rsidR="008714F9" w:rsidRPr="008714F9" w:rsidRDefault="008714F9" w:rsidP="009627A4">
      <w:pPr>
        <w:pStyle w:val="NormalWeb"/>
        <w:spacing w:before="0" w:beforeAutospacing="0" w:after="240" w:afterAutospacing="0" w:line="360" w:lineRule="auto"/>
        <w:jc w:val="both"/>
        <w:rPr>
          <w:rFonts w:ascii="Arial" w:hAnsi="Arial" w:cs="Arial"/>
          <w:color w:val="24292E"/>
          <w:sz w:val="22"/>
          <w:szCs w:val="22"/>
          <w:lang w:val="en-US"/>
        </w:rPr>
      </w:pPr>
      <w:proofErr w:type="spellStart"/>
      <w:r w:rsidRPr="008714F9">
        <w:rPr>
          <w:rFonts w:ascii="Arial" w:hAnsi="Arial" w:cs="Arial"/>
          <w:color w:val="24292E"/>
          <w:sz w:val="22"/>
          <w:szCs w:val="22"/>
          <w:lang w:val="en-US"/>
        </w:rPr>
        <w:t>Megue</w:t>
      </w:r>
      <w:proofErr w:type="spellEnd"/>
      <w:r w:rsidRPr="008714F9">
        <w:rPr>
          <w:rFonts w:ascii="Arial" w:hAnsi="Arial" w:cs="Arial"/>
          <w:color w:val="24292E"/>
          <w:sz w:val="22"/>
          <w:szCs w:val="22"/>
          <w:lang w:val="en-US"/>
        </w:rPr>
        <w:t xml:space="preserve"> interprets the BIS’ definition of </w:t>
      </w:r>
      <w:r w:rsidRPr="008714F9">
        <w:rPr>
          <w:rFonts w:ascii="Arial" w:hAnsi="Arial" w:cs="Arial"/>
          <w:b/>
          <w:bCs/>
          <w:color w:val="24292E"/>
          <w:sz w:val="22"/>
          <w:szCs w:val="22"/>
          <w:lang w:val="en-US"/>
        </w:rPr>
        <w:t>settlement</w:t>
      </w:r>
      <w:r w:rsidRPr="008714F9">
        <w:rPr>
          <w:rFonts w:ascii="Arial" w:hAnsi="Arial" w:cs="Arial"/>
          <w:color w:val="24292E"/>
          <w:sz w:val="22"/>
          <w:szCs w:val="22"/>
          <w:lang w:val="en-US"/>
        </w:rPr>
        <w:t xml:space="preserve"> like so: “[S]</w:t>
      </w:r>
      <w:proofErr w:type="spellStart"/>
      <w:r w:rsidRPr="008714F9">
        <w:rPr>
          <w:rFonts w:ascii="Arial" w:hAnsi="Arial" w:cs="Arial"/>
          <w:color w:val="24292E"/>
          <w:sz w:val="22"/>
          <w:szCs w:val="22"/>
          <w:lang w:val="en-US"/>
        </w:rPr>
        <w:t>ettlement</w:t>
      </w:r>
      <w:proofErr w:type="spellEnd"/>
      <w:r w:rsidRPr="008714F9">
        <w:rPr>
          <w:rFonts w:ascii="Arial" w:hAnsi="Arial" w:cs="Arial"/>
          <w:color w:val="24292E"/>
          <w:sz w:val="22"/>
          <w:szCs w:val="22"/>
          <w:lang w:val="en-US"/>
        </w:rPr>
        <w:t xml:space="preserve"> is the funds transfer that is carried out by one party to fulfill its obligations towards the counterparty in a financial operation.” This is said to generally happen after clearing.</w:t>
      </w:r>
    </w:p>
    <w:p w14:paraId="4665F9B7" w14:textId="77777777" w:rsidR="008714F9" w:rsidRPr="008714F9" w:rsidRDefault="008714F9" w:rsidP="009627A4">
      <w:pPr>
        <w:pStyle w:val="NormalWeb"/>
        <w:spacing w:before="0" w:beforeAutospacing="0" w:after="240" w:afterAutospacing="0" w:line="360" w:lineRule="auto"/>
        <w:jc w:val="both"/>
        <w:rPr>
          <w:rFonts w:ascii="Arial" w:hAnsi="Arial" w:cs="Arial"/>
          <w:color w:val="24292E"/>
          <w:sz w:val="22"/>
          <w:szCs w:val="22"/>
          <w:lang w:val="en-US"/>
        </w:rPr>
      </w:pPr>
      <w:r w:rsidRPr="008714F9">
        <w:rPr>
          <w:rFonts w:ascii="Arial" w:hAnsi="Arial" w:cs="Arial"/>
          <w:color w:val="24292E"/>
          <w:sz w:val="22"/>
          <w:szCs w:val="22"/>
          <w:lang w:val="en-US"/>
        </w:rPr>
        <w:t xml:space="preserve">Two mechanisms of settlement are introduced. Firstly, a </w:t>
      </w:r>
      <w:r w:rsidRPr="008714F9">
        <w:rPr>
          <w:rFonts w:ascii="Arial" w:hAnsi="Arial" w:cs="Arial"/>
          <w:b/>
          <w:bCs/>
          <w:color w:val="24292E"/>
          <w:sz w:val="22"/>
          <w:szCs w:val="22"/>
          <w:lang w:val="en-US"/>
        </w:rPr>
        <w:t>gross settlement system</w:t>
      </w:r>
      <w:r w:rsidRPr="008714F9">
        <w:rPr>
          <w:rFonts w:ascii="Arial" w:hAnsi="Arial" w:cs="Arial"/>
          <w:color w:val="24292E"/>
          <w:sz w:val="22"/>
          <w:szCs w:val="22"/>
          <w:lang w:val="en-US"/>
        </w:rPr>
        <w:t xml:space="preserve"> is defined as “a system in which the settlement or funds transfer occurs individually after each payment transaction is processed in the system.” It is stated that banks use this method of settlement in case of “urgent” and/or “large” transfers. Since the “instructions are executed instantaneously,” these systems are said to also be called </w:t>
      </w:r>
      <w:r w:rsidRPr="008714F9">
        <w:rPr>
          <w:rFonts w:ascii="Arial" w:hAnsi="Arial" w:cs="Arial"/>
          <w:b/>
          <w:bCs/>
          <w:color w:val="24292E"/>
          <w:sz w:val="22"/>
          <w:szCs w:val="22"/>
          <w:lang w:val="en-US"/>
        </w:rPr>
        <w:t>real-time gross settlement systems (RTGSs)</w:t>
      </w:r>
      <w:r w:rsidRPr="008714F9">
        <w:rPr>
          <w:rFonts w:ascii="Arial" w:hAnsi="Arial" w:cs="Arial"/>
          <w:color w:val="24292E"/>
          <w:sz w:val="22"/>
          <w:szCs w:val="22"/>
          <w:lang w:val="en-US"/>
        </w:rPr>
        <w:t xml:space="preserve">. RTGSs are described to usually be operated by central banks. Secondly, a </w:t>
      </w:r>
      <w:r w:rsidRPr="008714F9">
        <w:rPr>
          <w:rFonts w:ascii="Arial" w:hAnsi="Arial" w:cs="Arial"/>
          <w:b/>
          <w:bCs/>
          <w:color w:val="24292E"/>
          <w:sz w:val="22"/>
          <w:szCs w:val="22"/>
          <w:lang w:val="en-US"/>
        </w:rPr>
        <w:t>net settlement system</w:t>
      </w:r>
      <w:r w:rsidRPr="008714F9">
        <w:rPr>
          <w:rFonts w:ascii="Arial" w:hAnsi="Arial" w:cs="Arial"/>
          <w:color w:val="24292E"/>
          <w:sz w:val="22"/>
          <w:szCs w:val="22"/>
          <w:lang w:val="en-US"/>
        </w:rPr>
        <w:t xml:space="preserve"> is described: To begin with, “[t]</w:t>
      </w:r>
      <w:proofErr w:type="spellStart"/>
      <w:r w:rsidRPr="008714F9">
        <w:rPr>
          <w:rFonts w:ascii="Arial" w:hAnsi="Arial" w:cs="Arial"/>
          <w:color w:val="24292E"/>
          <w:sz w:val="22"/>
          <w:szCs w:val="22"/>
          <w:lang w:val="en-US"/>
        </w:rPr>
        <w:t>ransactions</w:t>
      </w:r>
      <w:proofErr w:type="spellEnd"/>
      <w:r w:rsidRPr="008714F9">
        <w:rPr>
          <w:rFonts w:ascii="Arial" w:hAnsi="Arial" w:cs="Arial"/>
          <w:color w:val="24292E"/>
          <w:sz w:val="22"/>
          <w:szCs w:val="22"/>
          <w:lang w:val="en-US"/>
        </w:rPr>
        <w:t xml:space="preserve"> are exchanged […] without transfers of funds.” Then, at specific times, “the multilateral net settlement positions are calculated.” The “actual moving of funds” is then said to happen at “settlement times,” presumably at the end of so-called “settlement cycles.”</w:t>
      </w:r>
    </w:p>
    <w:p w14:paraId="5129AF7B" w14:textId="77777777" w:rsidR="008714F9" w:rsidRPr="008714F9" w:rsidRDefault="008714F9" w:rsidP="009627A4">
      <w:pPr>
        <w:pStyle w:val="NormalWeb"/>
        <w:spacing w:before="0" w:beforeAutospacing="0" w:after="240" w:afterAutospacing="0" w:line="360" w:lineRule="auto"/>
        <w:jc w:val="both"/>
        <w:rPr>
          <w:rFonts w:ascii="Arial" w:hAnsi="Arial" w:cs="Arial"/>
          <w:color w:val="24292E"/>
          <w:sz w:val="22"/>
          <w:szCs w:val="22"/>
          <w:lang w:val="en-US"/>
        </w:rPr>
      </w:pPr>
      <w:r w:rsidRPr="008714F9">
        <w:rPr>
          <w:rFonts w:ascii="Arial" w:hAnsi="Arial" w:cs="Arial"/>
          <w:color w:val="24292E"/>
          <w:sz w:val="22"/>
          <w:szCs w:val="22"/>
          <w:lang w:val="en-US"/>
        </w:rPr>
        <w:t xml:space="preserve">Clearing houses and the settlement systems are oftentimes collectively referred to as </w:t>
      </w:r>
      <w:r w:rsidRPr="008714F9">
        <w:rPr>
          <w:rFonts w:ascii="Arial" w:hAnsi="Arial" w:cs="Arial"/>
          <w:b/>
          <w:bCs/>
          <w:color w:val="24292E"/>
          <w:sz w:val="22"/>
          <w:szCs w:val="22"/>
          <w:lang w:val="en-US"/>
        </w:rPr>
        <w:t>clearing and settlement mechanisms (CSMs)</w:t>
      </w:r>
      <w:r w:rsidRPr="008714F9">
        <w:rPr>
          <w:rFonts w:ascii="Arial" w:hAnsi="Arial" w:cs="Arial"/>
          <w:color w:val="24292E"/>
          <w:sz w:val="22"/>
          <w:szCs w:val="22"/>
          <w:lang w:val="en-US"/>
        </w:rPr>
        <w:t xml:space="preserve">. Although </w:t>
      </w:r>
      <w:proofErr w:type="spellStart"/>
      <w:r w:rsidRPr="008714F9">
        <w:rPr>
          <w:rFonts w:ascii="Arial" w:hAnsi="Arial" w:cs="Arial"/>
          <w:color w:val="24292E"/>
          <w:sz w:val="22"/>
          <w:szCs w:val="22"/>
          <w:lang w:val="en-US"/>
        </w:rPr>
        <w:t>Megue</w:t>
      </w:r>
      <w:proofErr w:type="spellEnd"/>
      <w:r w:rsidRPr="008714F9">
        <w:rPr>
          <w:rFonts w:ascii="Arial" w:hAnsi="Arial" w:cs="Arial"/>
          <w:color w:val="24292E"/>
          <w:sz w:val="22"/>
          <w:szCs w:val="22"/>
          <w:lang w:val="en-US"/>
        </w:rPr>
        <w:t xml:space="preserve"> mentions CSMs continuously, the acronym is never actually defined in his book.</w:t>
      </w:r>
    </w:p>
    <w:p w14:paraId="473DDEE5" w14:textId="03A2879D" w:rsidR="008714F9" w:rsidRDefault="008714F9" w:rsidP="009627A4">
      <w:pPr>
        <w:pStyle w:val="NormalWeb"/>
        <w:spacing w:before="0" w:beforeAutospacing="0" w:after="240" w:afterAutospacing="0" w:line="360" w:lineRule="auto"/>
        <w:jc w:val="both"/>
        <w:rPr>
          <w:rFonts w:ascii="Arial" w:hAnsi="Arial" w:cs="Arial"/>
          <w:color w:val="24292E"/>
          <w:sz w:val="22"/>
          <w:szCs w:val="22"/>
          <w:lang w:val="en-US"/>
        </w:rPr>
      </w:pPr>
      <w:r w:rsidRPr="008714F9">
        <w:rPr>
          <w:rFonts w:ascii="Arial" w:hAnsi="Arial" w:cs="Arial"/>
          <w:color w:val="24292E"/>
          <w:sz w:val="22"/>
          <w:szCs w:val="22"/>
          <w:lang w:val="en-US"/>
        </w:rPr>
        <w:t xml:space="preserve">There are, according to </w:t>
      </w:r>
      <w:proofErr w:type="spellStart"/>
      <w:r w:rsidRPr="008714F9">
        <w:rPr>
          <w:rFonts w:ascii="Arial" w:hAnsi="Arial" w:cs="Arial"/>
          <w:color w:val="24292E"/>
          <w:sz w:val="22"/>
          <w:szCs w:val="22"/>
          <w:lang w:val="en-US"/>
        </w:rPr>
        <w:t>Megue</w:t>
      </w:r>
      <w:proofErr w:type="spellEnd"/>
      <w:r w:rsidRPr="008714F9">
        <w:rPr>
          <w:rFonts w:ascii="Arial" w:hAnsi="Arial" w:cs="Arial"/>
          <w:color w:val="24292E"/>
          <w:sz w:val="22"/>
          <w:szCs w:val="22"/>
          <w:lang w:val="en-US"/>
        </w:rPr>
        <w:t xml:space="preserve">, numerous “clearing systems in the SEPA zone” that are SEPA-compliant, which can be differentiated into national, regional and pan-European ones. While national clearing systems are described to serve banks within the scope of one country, regional and pan-European </w:t>
      </w:r>
      <w:proofErr w:type="gramStart"/>
      <w:r w:rsidRPr="008714F9">
        <w:rPr>
          <w:rFonts w:ascii="Arial" w:hAnsi="Arial" w:cs="Arial"/>
          <w:color w:val="24292E"/>
          <w:sz w:val="22"/>
          <w:szCs w:val="22"/>
          <w:lang w:val="en-US"/>
        </w:rPr>
        <w:t>ones</w:t>
      </w:r>
      <w:proofErr w:type="gramEnd"/>
      <w:r w:rsidRPr="008714F9">
        <w:rPr>
          <w:rFonts w:ascii="Arial" w:hAnsi="Arial" w:cs="Arial"/>
          <w:color w:val="24292E"/>
          <w:sz w:val="22"/>
          <w:szCs w:val="22"/>
          <w:lang w:val="en-US"/>
        </w:rPr>
        <w:t xml:space="preserve"> “interconnect” banks from “many” or “all” SEPA countries, respectively. A pan-European, SEPA-compliant clearing house is said to be called a </w:t>
      </w:r>
      <w:r w:rsidRPr="008714F9">
        <w:rPr>
          <w:rFonts w:ascii="Arial" w:hAnsi="Arial" w:cs="Arial"/>
          <w:b/>
          <w:bCs/>
          <w:color w:val="24292E"/>
          <w:sz w:val="22"/>
          <w:szCs w:val="22"/>
          <w:lang w:val="en-US"/>
        </w:rPr>
        <w:t>pan-European Automated Clearing House (PE-ACH)</w:t>
      </w:r>
      <w:r w:rsidRPr="008714F9">
        <w:rPr>
          <w:rFonts w:ascii="Arial" w:hAnsi="Arial" w:cs="Arial"/>
          <w:color w:val="24292E"/>
          <w:sz w:val="22"/>
          <w:szCs w:val="22"/>
          <w:lang w:val="en-US"/>
        </w:rPr>
        <w:t xml:space="preserve">. Currently, there “is only one” of those: </w:t>
      </w:r>
      <w:r w:rsidRPr="008714F9">
        <w:rPr>
          <w:rFonts w:ascii="Arial" w:hAnsi="Arial" w:cs="Arial"/>
          <w:b/>
          <w:bCs/>
          <w:color w:val="24292E"/>
          <w:sz w:val="22"/>
          <w:szCs w:val="22"/>
          <w:lang w:val="en-US"/>
        </w:rPr>
        <w:t>STEP2</w:t>
      </w:r>
      <w:r w:rsidRPr="008714F9">
        <w:rPr>
          <w:rFonts w:ascii="Arial" w:hAnsi="Arial" w:cs="Arial"/>
          <w:color w:val="24292E"/>
          <w:sz w:val="22"/>
          <w:szCs w:val="22"/>
          <w:lang w:val="en-US"/>
        </w:rPr>
        <w:t>, operated by EBA Clearing. It is noted that not every bank has to be connected to STEP2 as a “[d]</w:t>
      </w:r>
      <w:proofErr w:type="spellStart"/>
      <w:r w:rsidRPr="008714F9">
        <w:rPr>
          <w:rFonts w:ascii="Arial" w:hAnsi="Arial" w:cs="Arial"/>
          <w:color w:val="24292E"/>
          <w:sz w:val="22"/>
          <w:szCs w:val="22"/>
          <w:lang w:val="en-US"/>
        </w:rPr>
        <w:t>irect</w:t>
      </w:r>
      <w:proofErr w:type="spellEnd"/>
      <w:r w:rsidRPr="008714F9">
        <w:rPr>
          <w:rFonts w:ascii="Arial" w:hAnsi="Arial" w:cs="Arial"/>
          <w:color w:val="24292E"/>
          <w:sz w:val="22"/>
          <w:szCs w:val="22"/>
          <w:lang w:val="en-US"/>
        </w:rPr>
        <w:t xml:space="preserve"> [p]</w:t>
      </w:r>
      <w:proofErr w:type="spellStart"/>
      <w:r w:rsidRPr="008714F9">
        <w:rPr>
          <w:rFonts w:ascii="Arial" w:hAnsi="Arial" w:cs="Arial"/>
          <w:color w:val="24292E"/>
          <w:sz w:val="22"/>
          <w:szCs w:val="22"/>
          <w:lang w:val="en-US"/>
        </w:rPr>
        <w:t>articipant</w:t>
      </w:r>
      <w:proofErr w:type="spellEnd"/>
      <w:r w:rsidRPr="008714F9">
        <w:rPr>
          <w:rFonts w:ascii="Arial" w:hAnsi="Arial" w:cs="Arial"/>
          <w:color w:val="24292E"/>
          <w:sz w:val="22"/>
          <w:szCs w:val="22"/>
          <w:lang w:val="en-US"/>
        </w:rPr>
        <w:t xml:space="preserve"> (DP).” Instead, “[t]he national CSM can establish interoperability with STEP2 or with a CSM interoperable with STEP2.” </w:t>
      </w:r>
      <w:proofErr w:type="spellStart"/>
      <w:r w:rsidRPr="008714F9">
        <w:rPr>
          <w:rFonts w:ascii="Arial" w:hAnsi="Arial" w:cs="Arial"/>
          <w:color w:val="24292E"/>
          <w:sz w:val="22"/>
          <w:szCs w:val="22"/>
          <w:lang w:val="en-US"/>
        </w:rPr>
        <w:t>Megue</w:t>
      </w:r>
      <w:proofErr w:type="spellEnd"/>
      <w:r w:rsidRPr="008714F9">
        <w:rPr>
          <w:rFonts w:ascii="Arial" w:hAnsi="Arial" w:cs="Arial"/>
          <w:color w:val="24292E"/>
          <w:sz w:val="22"/>
          <w:szCs w:val="22"/>
          <w:lang w:val="en-US"/>
        </w:rPr>
        <w:t xml:space="preserve"> considers a bank that is connected to STEP2 via an intermediary CSM an “indirect participant (IP).” A mentioned example </w:t>
      </w:r>
      <w:r w:rsidRPr="008714F9">
        <w:rPr>
          <w:rFonts w:ascii="Arial" w:hAnsi="Arial" w:cs="Arial"/>
          <w:color w:val="24292E"/>
          <w:sz w:val="22"/>
          <w:szCs w:val="22"/>
          <w:lang w:val="en-US"/>
        </w:rPr>
        <w:lastRenderedPageBreak/>
        <w:t xml:space="preserve">of an RTGS is </w:t>
      </w:r>
      <w:r w:rsidRPr="008714F9">
        <w:rPr>
          <w:rFonts w:ascii="Arial" w:hAnsi="Arial" w:cs="Arial"/>
          <w:b/>
          <w:bCs/>
          <w:color w:val="24292E"/>
          <w:sz w:val="22"/>
          <w:szCs w:val="22"/>
          <w:lang w:val="en-US"/>
        </w:rPr>
        <w:t>TARGET2</w:t>
      </w:r>
      <w:r w:rsidRPr="008714F9">
        <w:rPr>
          <w:rFonts w:ascii="Arial" w:hAnsi="Arial" w:cs="Arial"/>
          <w:color w:val="24292E"/>
          <w:sz w:val="22"/>
          <w:szCs w:val="22"/>
          <w:lang w:val="en-US"/>
        </w:rPr>
        <w:t xml:space="preserve">, the RTGS system for the euro, “owned and operated by the </w:t>
      </w:r>
      <w:proofErr w:type="spellStart"/>
      <w:r w:rsidRPr="008714F9">
        <w:rPr>
          <w:rFonts w:ascii="Arial" w:hAnsi="Arial" w:cs="Arial"/>
          <w:color w:val="24292E"/>
          <w:sz w:val="22"/>
          <w:szCs w:val="22"/>
          <w:lang w:val="en-US"/>
        </w:rPr>
        <w:t>Eurosystem</w:t>
      </w:r>
      <w:proofErr w:type="spellEnd"/>
      <w:r w:rsidRPr="008714F9">
        <w:rPr>
          <w:rFonts w:ascii="Arial" w:hAnsi="Arial" w:cs="Arial"/>
          <w:color w:val="24292E"/>
          <w:sz w:val="22"/>
          <w:szCs w:val="22"/>
          <w:lang w:val="en-US"/>
        </w:rPr>
        <w:t>.” In fact, according to the EBA Clearing web site [</w:t>
      </w:r>
      <w:r w:rsidRPr="001F69B9">
        <w:rPr>
          <w:rFonts w:ascii="Arial" w:hAnsi="Arial" w:cs="Arial"/>
          <w:sz w:val="22"/>
          <w:szCs w:val="22"/>
          <w:lang w:val="en-US"/>
        </w:rPr>
        <w:t>9</w:t>
      </w:r>
      <w:r w:rsidRPr="008714F9">
        <w:rPr>
          <w:rFonts w:ascii="Arial" w:hAnsi="Arial" w:cs="Arial"/>
          <w:color w:val="24292E"/>
          <w:sz w:val="22"/>
          <w:szCs w:val="22"/>
          <w:lang w:val="en-US"/>
        </w:rPr>
        <w:t>], banks participating in STEP2 “settle their STEP2 obligations by paying a net calculated amount in TARGET2.” To be more precise, “STEP2 first creates bilateral gross obligations and reports them to the banks,” “then calculates the multilateral net positions,” and, finally, “sends these multilateral net amounts to TARGET2.”</w:t>
      </w:r>
    </w:p>
    <w:p w14:paraId="590BEAEA" w14:textId="54E004CD" w:rsidR="008714F9" w:rsidRPr="000114C5" w:rsidRDefault="008714F9" w:rsidP="008238EC">
      <w:pPr>
        <w:pStyle w:val="Heading2"/>
        <w:rPr>
          <w:lang w:val="en-US"/>
        </w:rPr>
      </w:pPr>
      <w:bookmarkStart w:id="22" w:name="_Toc53958269"/>
      <w:r>
        <w:rPr>
          <w:lang w:val="en-US"/>
        </w:rPr>
        <w:t>SEPA Credit Transfer</w:t>
      </w:r>
      <w:bookmarkEnd w:id="22"/>
    </w:p>
    <w:p w14:paraId="191CFF53" w14:textId="57FD24C5" w:rsidR="008714F9" w:rsidRPr="008714F9" w:rsidRDefault="008714F9" w:rsidP="009627A4">
      <w:pPr>
        <w:pStyle w:val="NormalWeb"/>
        <w:spacing w:before="240" w:beforeAutospacing="0" w:after="240" w:afterAutospacing="0" w:line="360" w:lineRule="auto"/>
        <w:jc w:val="both"/>
        <w:rPr>
          <w:rFonts w:ascii="Arial" w:hAnsi="Arial" w:cs="Arial"/>
          <w:color w:val="24292E"/>
          <w:sz w:val="22"/>
          <w:szCs w:val="22"/>
          <w:lang w:val="en-US"/>
        </w:rPr>
      </w:pPr>
      <w:r w:rsidRPr="008714F9">
        <w:rPr>
          <w:rFonts w:ascii="Arial" w:hAnsi="Arial" w:cs="Arial"/>
          <w:color w:val="24292E"/>
          <w:sz w:val="22"/>
          <w:szCs w:val="22"/>
          <w:lang w:val="en-US"/>
        </w:rPr>
        <w:t xml:space="preserve">This subsection introduces SCT, the SEPA payment instrument for </w:t>
      </w:r>
      <w:r w:rsidRPr="008714F9">
        <w:rPr>
          <w:rFonts w:ascii="Arial" w:hAnsi="Arial" w:cs="Arial"/>
          <w:b/>
          <w:bCs/>
          <w:color w:val="24292E"/>
          <w:sz w:val="22"/>
          <w:szCs w:val="22"/>
          <w:lang w:val="en-US"/>
        </w:rPr>
        <w:t>credit transfers</w:t>
      </w:r>
      <w:r w:rsidRPr="008714F9">
        <w:rPr>
          <w:rFonts w:ascii="Arial" w:hAnsi="Arial" w:cs="Arial"/>
          <w:color w:val="24292E"/>
          <w:sz w:val="22"/>
          <w:szCs w:val="22"/>
          <w:lang w:val="en-US"/>
        </w:rPr>
        <w:t>. It is intended to provide an overview of the SCT Scheme’s vision, objectives and scope as well as of its operating rules. This subsection is based on version 1.1 of the “SEPA Credit Transfer Scheme Rulebook” [</w:t>
      </w:r>
      <w:r w:rsidRPr="001F69B9">
        <w:rPr>
          <w:rFonts w:ascii="Arial" w:hAnsi="Arial" w:cs="Arial"/>
          <w:sz w:val="22"/>
          <w:szCs w:val="22"/>
          <w:lang w:val="en-US"/>
        </w:rPr>
        <w:t>10</w:t>
      </w:r>
      <w:r w:rsidRPr="008714F9">
        <w:rPr>
          <w:rFonts w:ascii="Arial" w:hAnsi="Arial" w:cs="Arial"/>
          <w:color w:val="24292E"/>
          <w:sz w:val="22"/>
          <w:szCs w:val="22"/>
          <w:lang w:val="en-US"/>
        </w:rPr>
        <w:t>], which was published by the EPC in March 2020.</w:t>
      </w:r>
    </w:p>
    <w:p w14:paraId="087BC43C" w14:textId="77777777" w:rsidR="008714F9" w:rsidRPr="008714F9" w:rsidRDefault="008714F9" w:rsidP="009627A4">
      <w:pPr>
        <w:pStyle w:val="NormalWeb"/>
        <w:spacing w:before="0" w:beforeAutospacing="0" w:after="240" w:afterAutospacing="0" w:line="360" w:lineRule="auto"/>
        <w:jc w:val="both"/>
        <w:rPr>
          <w:rFonts w:ascii="Arial" w:hAnsi="Arial" w:cs="Arial"/>
          <w:color w:val="24292E"/>
          <w:sz w:val="22"/>
          <w:szCs w:val="22"/>
          <w:lang w:val="en-US"/>
        </w:rPr>
      </w:pPr>
      <w:r w:rsidRPr="008714F9">
        <w:rPr>
          <w:rFonts w:ascii="Arial" w:hAnsi="Arial" w:cs="Arial"/>
          <w:color w:val="24292E"/>
          <w:sz w:val="22"/>
          <w:szCs w:val="22"/>
          <w:lang w:val="en-US"/>
        </w:rPr>
        <w:t>With regards to the Scheme’s vision, the SCT Rulebook states that the Scheme “provides a set of inter[-]bank rules, practices and standards” allowing for “payment services providers in SEPA to offer a [...] basic euro credit transfer product.” Among listed objectives of the Scheme is the removal of “disparities between national and cross[-]border payments in euro within SEPA,” aiming to make it “as easy and secure to make a payment within SEPA as it is within one national environment.” It is, furthermore, highlighted that “SEPA Credit Transfers will be automated, based on the use of open standards and [...] without manual intervention.” Lastly, it is noteworthy that a clear “[s]</w:t>
      </w:r>
      <w:proofErr w:type="spellStart"/>
      <w:r w:rsidRPr="008714F9">
        <w:rPr>
          <w:rFonts w:ascii="Arial" w:hAnsi="Arial" w:cs="Arial"/>
          <w:color w:val="24292E"/>
          <w:sz w:val="22"/>
          <w:szCs w:val="22"/>
          <w:lang w:val="en-US"/>
        </w:rPr>
        <w:t>eparation</w:t>
      </w:r>
      <w:proofErr w:type="spellEnd"/>
      <w:r w:rsidRPr="008714F9">
        <w:rPr>
          <w:rFonts w:ascii="Arial" w:hAnsi="Arial" w:cs="Arial"/>
          <w:color w:val="24292E"/>
          <w:sz w:val="22"/>
          <w:szCs w:val="22"/>
          <w:lang w:val="en-US"/>
        </w:rPr>
        <w:t xml:space="preserve"> of the Scheme from [</w:t>
      </w:r>
      <w:proofErr w:type="spellStart"/>
      <w:r w:rsidRPr="008714F9">
        <w:rPr>
          <w:rFonts w:ascii="Arial" w:hAnsi="Arial" w:cs="Arial"/>
          <w:color w:val="24292E"/>
          <w:sz w:val="22"/>
          <w:szCs w:val="22"/>
          <w:lang w:val="en-US"/>
        </w:rPr>
        <w:t>i</w:t>
      </w:r>
      <w:proofErr w:type="spellEnd"/>
      <w:r w:rsidRPr="008714F9">
        <w:rPr>
          <w:rFonts w:ascii="Arial" w:hAnsi="Arial" w:cs="Arial"/>
          <w:color w:val="24292E"/>
          <w:sz w:val="22"/>
          <w:szCs w:val="22"/>
          <w:lang w:val="en-US"/>
        </w:rPr>
        <w:t>]</w:t>
      </w:r>
      <w:proofErr w:type="spellStart"/>
      <w:r w:rsidRPr="008714F9">
        <w:rPr>
          <w:rFonts w:ascii="Arial" w:hAnsi="Arial" w:cs="Arial"/>
          <w:color w:val="24292E"/>
          <w:sz w:val="22"/>
          <w:szCs w:val="22"/>
          <w:lang w:val="en-US"/>
        </w:rPr>
        <w:t>nfrastructure</w:t>
      </w:r>
      <w:proofErr w:type="spellEnd"/>
      <w:r w:rsidRPr="008714F9">
        <w:rPr>
          <w:rFonts w:ascii="Arial" w:hAnsi="Arial" w:cs="Arial"/>
          <w:color w:val="24292E"/>
          <w:sz w:val="22"/>
          <w:szCs w:val="22"/>
          <w:lang w:val="en-US"/>
        </w:rPr>
        <w:t>” is emphasized. In this regard, it is specified that the “rules, practices and standards” that make up SCT are “operated” by “potentially multiple infrastructure providers”—infrastructure is, thus, declared “an area where market forces operate.”</w:t>
      </w:r>
    </w:p>
    <w:p w14:paraId="0F23E44D" w14:textId="4A76CA66" w:rsidR="008714F9" w:rsidRPr="008714F9" w:rsidRDefault="008714F9" w:rsidP="009627A4">
      <w:pPr>
        <w:pStyle w:val="NormalWeb"/>
        <w:spacing w:before="0" w:beforeAutospacing="0" w:after="240" w:afterAutospacing="0" w:line="360" w:lineRule="auto"/>
        <w:jc w:val="both"/>
        <w:rPr>
          <w:rFonts w:ascii="Arial" w:hAnsi="Arial" w:cs="Arial"/>
          <w:color w:val="24292E"/>
          <w:sz w:val="22"/>
          <w:szCs w:val="22"/>
          <w:lang w:val="en-US"/>
        </w:rPr>
      </w:pPr>
      <w:r w:rsidRPr="008714F9">
        <w:rPr>
          <w:rFonts w:ascii="Arial" w:hAnsi="Arial" w:cs="Arial"/>
          <w:color w:val="24292E"/>
          <w:sz w:val="22"/>
          <w:szCs w:val="22"/>
          <w:lang w:val="en-US"/>
        </w:rPr>
        <w:t xml:space="preserve">On the Scheme’s scope, the SCT Rulebook clarifies that the Scheme “is applicable in the countries listed in the EPC List of SEPA Scheme Countries,” which lists the same 36 countries that were previously mentioned in the subsection on the SEPA project. It is pointed out that “[a] SEPA Credit Transfer is a payment instrument for the execution of credit transfers in euro between Customer payments accounts located in SEPA” and that such transfers are “executed on behalf of an Originator [..] in fav[o]r of a Beneficiary.” Subsequently, the SCT Rulebook lists five “key elements [...] included within the scope of the Scheme.” Firstly, it is reiterated that the Scheme includes “[a] set of interbank rules, practices and standards for the execution of credit </w:t>
      </w:r>
      <w:r w:rsidRPr="008714F9">
        <w:rPr>
          <w:rFonts w:ascii="Arial" w:hAnsi="Arial" w:cs="Arial"/>
          <w:color w:val="24292E"/>
          <w:sz w:val="22"/>
          <w:szCs w:val="22"/>
          <w:lang w:val="en-US"/>
        </w:rPr>
        <w:lastRenderedPageBreak/>
        <w:t xml:space="preserve">transfer payments in euro within SEPA.” Those Participants who “subscribe to the Scheme and its rules” are then defined “Adherents.” The Scheme is, furthermore, said to provide “the basis for credit transfer products provided by Participants [i.e., financial institutions] to all users of mass-market, non-urgent payment services.” Afterwards, it is repeated that “the </w:t>
      </w:r>
      <w:proofErr w:type="gramStart"/>
      <w:r w:rsidRPr="008714F9">
        <w:rPr>
          <w:rFonts w:ascii="Arial" w:hAnsi="Arial" w:cs="Arial"/>
          <w:color w:val="24292E"/>
          <w:sz w:val="22"/>
          <w:szCs w:val="22"/>
          <w:lang w:val="en-US"/>
        </w:rPr>
        <w:t>inter[</w:t>
      </w:r>
      <w:proofErr w:type="gramEnd"/>
      <w:r w:rsidRPr="008714F9">
        <w:rPr>
          <w:rFonts w:ascii="Arial" w:hAnsi="Arial" w:cs="Arial"/>
          <w:color w:val="24292E"/>
          <w:sz w:val="22"/>
          <w:szCs w:val="22"/>
          <w:lang w:val="en-US"/>
        </w:rPr>
        <w:t xml:space="preserve">-]bank elements of the Scheme are always fully automated and electronic.” The last of the listed key elements states that “a minimum set of data elements to be provided by the Originator” </w:t>
      </w:r>
      <w:r w:rsidR="0027331A">
        <w:rPr>
          <w:rFonts w:ascii="Arial" w:hAnsi="Arial" w:cs="Arial"/>
          <w:color w:val="24292E"/>
          <w:sz w:val="22"/>
          <w:szCs w:val="22"/>
          <w:lang w:val="en-US"/>
        </w:rPr>
        <w:t>is</w:t>
      </w:r>
      <w:r w:rsidRPr="008714F9">
        <w:rPr>
          <w:rFonts w:ascii="Arial" w:hAnsi="Arial" w:cs="Arial"/>
          <w:color w:val="24292E"/>
          <w:sz w:val="22"/>
          <w:szCs w:val="22"/>
          <w:lang w:val="en-US"/>
        </w:rPr>
        <w:t xml:space="preserve"> specified by the Scheme. Concerning the scope, it should also be pointed out that there is emphasis on the Participant</w:t>
      </w:r>
      <w:r w:rsidR="009004B8">
        <w:rPr>
          <w:rFonts w:ascii="Arial" w:hAnsi="Arial" w:cs="Arial"/>
          <w:color w:val="24292E"/>
          <w:sz w:val="22"/>
          <w:szCs w:val="22"/>
          <w:lang w:val="en-US"/>
        </w:rPr>
        <w:t>s</w:t>
      </w:r>
      <w:r w:rsidRPr="008714F9">
        <w:rPr>
          <w:rFonts w:ascii="Arial" w:hAnsi="Arial" w:cs="Arial"/>
          <w:color w:val="24292E"/>
          <w:sz w:val="22"/>
          <w:szCs w:val="22"/>
          <w:lang w:val="en-US"/>
        </w:rPr>
        <w:t>’ ability to “provide complementary services based on the Scheme”—so-called Additional Optional Services (AOS)—presumably so they can stand out from the competition.</w:t>
      </w:r>
    </w:p>
    <w:p w14:paraId="6EFA21C8" w14:textId="77777777" w:rsidR="008714F9" w:rsidRPr="008714F9" w:rsidRDefault="008714F9" w:rsidP="009627A4">
      <w:pPr>
        <w:pStyle w:val="NormalWeb"/>
        <w:spacing w:before="0" w:beforeAutospacing="0" w:after="240" w:afterAutospacing="0" w:line="360" w:lineRule="auto"/>
        <w:jc w:val="both"/>
        <w:rPr>
          <w:rFonts w:ascii="Arial" w:hAnsi="Arial" w:cs="Arial"/>
          <w:color w:val="24292E"/>
          <w:sz w:val="22"/>
          <w:szCs w:val="22"/>
          <w:lang w:val="en-US"/>
        </w:rPr>
      </w:pPr>
      <w:r w:rsidRPr="008714F9">
        <w:rPr>
          <w:rFonts w:ascii="Arial" w:hAnsi="Arial" w:cs="Arial"/>
          <w:color w:val="24292E"/>
          <w:sz w:val="22"/>
          <w:szCs w:val="22"/>
          <w:lang w:val="en-US"/>
        </w:rPr>
        <w:t>The SCT Rulebook names four “main actors” that are involved in “[t]he execution of a SEPA Credit Transfer payment”:</w:t>
      </w:r>
    </w:p>
    <w:p w14:paraId="0CEEDE42" w14:textId="77777777" w:rsidR="008714F9" w:rsidRPr="008714F9" w:rsidRDefault="008714F9" w:rsidP="009627A4">
      <w:pPr>
        <w:pStyle w:val="NormalWeb"/>
        <w:numPr>
          <w:ilvl w:val="0"/>
          <w:numId w:val="20"/>
        </w:numPr>
        <w:spacing w:before="0" w:beforeAutospacing="0" w:after="120" w:afterAutospacing="0" w:line="360" w:lineRule="auto"/>
        <w:ind w:left="714" w:hanging="357"/>
        <w:jc w:val="both"/>
        <w:rPr>
          <w:rFonts w:ascii="Arial" w:hAnsi="Arial" w:cs="Arial"/>
          <w:color w:val="24292E"/>
          <w:sz w:val="22"/>
          <w:szCs w:val="22"/>
          <w:lang w:val="en-US"/>
        </w:rPr>
      </w:pPr>
      <w:r w:rsidRPr="008714F9">
        <w:rPr>
          <w:rFonts w:ascii="Arial" w:hAnsi="Arial" w:cs="Arial"/>
          <w:color w:val="24292E"/>
          <w:sz w:val="22"/>
          <w:szCs w:val="22"/>
          <w:lang w:val="en-US"/>
        </w:rPr>
        <w:t xml:space="preserve">The </w:t>
      </w:r>
      <w:r w:rsidRPr="008714F9">
        <w:rPr>
          <w:rFonts w:ascii="Arial" w:hAnsi="Arial" w:cs="Arial"/>
          <w:b/>
          <w:bCs/>
          <w:color w:val="24292E"/>
          <w:sz w:val="22"/>
          <w:szCs w:val="22"/>
          <w:lang w:val="en-US"/>
        </w:rPr>
        <w:t>Originator</w:t>
      </w:r>
      <w:r w:rsidRPr="008714F9">
        <w:rPr>
          <w:rFonts w:ascii="Arial" w:hAnsi="Arial" w:cs="Arial"/>
          <w:color w:val="24292E"/>
          <w:sz w:val="22"/>
          <w:szCs w:val="22"/>
          <w:lang w:val="en-US"/>
        </w:rPr>
        <w:t xml:space="preserve"> is described as “the Customer who initiates [...] the SEPA Credit Transfer by providing the Originator Bank with an instruction.” The funds for the transaction are said to be debited from “a specified Payment Account of which the Originator is account holder.”</w:t>
      </w:r>
    </w:p>
    <w:p w14:paraId="42D15355" w14:textId="77777777" w:rsidR="008714F9" w:rsidRPr="008714F9" w:rsidRDefault="008714F9" w:rsidP="009627A4">
      <w:pPr>
        <w:pStyle w:val="NormalWeb"/>
        <w:numPr>
          <w:ilvl w:val="0"/>
          <w:numId w:val="20"/>
        </w:numPr>
        <w:spacing w:before="0" w:beforeAutospacing="0" w:after="120" w:afterAutospacing="0" w:line="360" w:lineRule="auto"/>
        <w:ind w:left="714" w:hanging="357"/>
        <w:jc w:val="both"/>
        <w:rPr>
          <w:rFonts w:ascii="Arial" w:hAnsi="Arial" w:cs="Arial"/>
          <w:color w:val="24292E"/>
          <w:sz w:val="22"/>
          <w:szCs w:val="22"/>
          <w:lang w:val="en-US"/>
        </w:rPr>
      </w:pPr>
      <w:r w:rsidRPr="008714F9">
        <w:rPr>
          <w:rFonts w:ascii="Arial" w:hAnsi="Arial" w:cs="Arial"/>
          <w:color w:val="24292E"/>
          <w:sz w:val="22"/>
          <w:szCs w:val="22"/>
          <w:lang w:val="en-US"/>
        </w:rPr>
        <w:t xml:space="preserve">The </w:t>
      </w:r>
      <w:r w:rsidRPr="008714F9">
        <w:rPr>
          <w:rFonts w:ascii="Arial" w:hAnsi="Arial" w:cs="Arial"/>
          <w:b/>
          <w:bCs/>
          <w:color w:val="24292E"/>
          <w:sz w:val="22"/>
          <w:szCs w:val="22"/>
          <w:lang w:val="en-US"/>
        </w:rPr>
        <w:t>Originator Bank</w:t>
      </w:r>
      <w:r w:rsidRPr="008714F9">
        <w:rPr>
          <w:rFonts w:ascii="Arial" w:hAnsi="Arial" w:cs="Arial"/>
          <w:color w:val="24292E"/>
          <w:sz w:val="22"/>
          <w:szCs w:val="22"/>
          <w:lang w:val="en-US"/>
        </w:rPr>
        <w:t xml:space="preserve"> is described as “the Participant that receives the Credit Transfer Instruction from the Originator and acts on the payment instruction by making the payment to the Beneficiary Bank in fav[o]r of the Beneficiary’s account.”</w:t>
      </w:r>
    </w:p>
    <w:p w14:paraId="7376B70C" w14:textId="77777777" w:rsidR="008714F9" w:rsidRPr="008714F9" w:rsidRDefault="008714F9" w:rsidP="009627A4">
      <w:pPr>
        <w:pStyle w:val="NormalWeb"/>
        <w:numPr>
          <w:ilvl w:val="0"/>
          <w:numId w:val="20"/>
        </w:numPr>
        <w:spacing w:before="0" w:beforeAutospacing="0" w:after="120" w:afterAutospacing="0" w:line="360" w:lineRule="auto"/>
        <w:ind w:left="714" w:hanging="357"/>
        <w:jc w:val="both"/>
        <w:rPr>
          <w:rFonts w:ascii="Arial" w:hAnsi="Arial" w:cs="Arial"/>
          <w:color w:val="24292E"/>
          <w:sz w:val="22"/>
          <w:szCs w:val="22"/>
          <w:lang w:val="en-US"/>
        </w:rPr>
      </w:pPr>
      <w:r w:rsidRPr="008714F9">
        <w:rPr>
          <w:rFonts w:ascii="Arial" w:hAnsi="Arial" w:cs="Arial"/>
          <w:color w:val="24292E"/>
          <w:sz w:val="22"/>
          <w:szCs w:val="22"/>
          <w:lang w:val="en-US"/>
        </w:rPr>
        <w:t xml:space="preserve">The </w:t>
      </w:r>
      <w:r w:rsidRPr="008714F9">
        <w:rPr>
          <w:rFonts w:ascii="Arial" w:hAnsi="Arial" w:cs="Arial"/>
          <w:b/>
          <w:bCs/>
          <w:color w:val="24292E"/>
          <w:sz w:val="22"/>
          <w:szCs w:val="22"/>
          <w:lang w:val="en-US"/>
        </w:rPr>
        <w:t>Beneficiary Bank</w:t>
      </w:r>
      <w:r w:rsidRPr="008714F9">
        <w:rPr>
          <w:rFonts w:ascii="Arial" w:hAnsi="Arial" w:cs="Arial"/>
          <w:color w:val="24292E"/>
          <w:sz w:val="22"/>
          <w:szCs w:val="22"/>
          <w:lang w:val="en-US"/>
        </w:rPr>
        <w:t xml:space="preserve"> is described as “the Participant that receives the Credit Transfer Instruction from the Originator Bank and credits the account of the Beneficiary.”</w:t>
      </w:r>
    </w:p>
    <w:p w14:paraId="2C593907" w14:textId="77777777" w:rsidR="008714F9" w:rsidRPr="008714F9" w:rsidRDefault="008714F9" w:rsidP="009627A4">
      <w:pPr>
        <w:pStyle w:val="NormalWeb"/>
        <w:numPr>
          <w:ilvl w:val="0"/>
          <w:numId w:val="20"/>
        </w:numPr>
        <w:spacing w:before="0" w:beforeAutospacing="0" w:after="240" w:afterAutospacing="0" w:line="360" w:lineRule="auto"/>
        <w:jc w:val="both"/>
        <w:rPr>
          <w:rFonts w:ascii="Arial" w:hAnsi="Arial" w:cs="Arial"/>
          <w:color w:val="24292E"/>
          <w:sz w:val="22"/>
          <w:szCs w:val="22"/>
          <w:lang w:val="en-US"/>
        </w:rPr>
      </w:pPr>
      <w:r w:rsidRPr="008714F9">
        <w:rPr>
          <w:rFonts w:ascii="Arial" w:hAnsi="Arial" w:cs="Arial"/>
          <w:color w:val="24292E"/>
          <w:sz w:val="22"/>
          <w:szCs w:val="22"/>
          <w:lang w:val="en-US"/>
        </w:rPr>
        <w:t xml:space="preserve">The </w:t>
      </w:r>
      <w:r w:rsidRPr="008714F9">
        <w:rPr>
          <w:rFonts w:ascii="Arial" w:hAnsi="Arial" w:cs="Arial"/>
          <w:b/>
          <w:bCs/>
          <w:color w:val="24292E"/>
          <w:sz w:val="22"/>
          <w:szCs w:val="22"/>
          <w:lang w:val="en-US"/>
        </w:rPr>
        <w:t>Beneficiary</w:t>
      </w:r>
      <w:r w:rsidRPr="008714F9">
        <w:rPr>
          <w:rFonts w:ascii="Arial" w:hAnsi="Arial" w:cs="Arial"/>
          <w:color w:val="24292E"/>
          <w:sz w:val="22"/>
          <w:szCs w:val="22"/>
          <w:lang w:val="en-US"/>
        </w:rPr>
        <w:t xml:space="preserve"> is described as “the Customer identified in the Credit Transfer Instruction whom the Funds are sent to.”</w:t>
      </w:r>
    </w:p>
    <w:p w14:paraId="75ED8A25" w14:textId="77777777" w:rsidR="008714F9" w:rsidRPr="008714F9" w:rsidRDefault="008714F9" w:rsidP="009627A4">
      <w:pPr>
        <w:pStyle w:val="NormalWeb"/>
        <w:spacing w:before="0" w:beforeAutospacing="0" w:after="240" w:afterAutospacing="0" w:line="360" w:lineRule="auto"/>
        <w:jc w:val="both"/>
        <w:rPr>
          <w:rFonts w:ascii="Arial" w:hAnsi="Arial" w:cs="Arial"/>
          <w:color w:val="24292E"/>
          <w:sz w:val="22"/>
          <w:szCs w:val="22"/>
          <w:lang w:val="en-US"/>
        </w:rPr>
      </w:pPr>
      <w:r w:rsidRPr="008714F9">
        <w:rPr>
          <w:rFonts w:ascii="Arial" w:hAnsi="Arial" w:cs="Arial"/>
          <w:color w:val="24292E"/>
          <w:sz w:val="22"/>
          <w:szCs w:val="22"/>
          <w:lang w:val="en-US"/>
        </w:rPr>
        <w:t>It is noted that the Originator Bank and the Beneficiary Bank may be the same Participant. Moreover, it is noted that there are “other parties” that are involved “indirectly,” i.e., CSMs, intermediary banks and PISPs.</w:t>
      </w:r>
    </w:p>
    <w:p w14:paraId="34D9AE05" w14:textId="77777777" w:rsidR="008714F9" w:rsidRPr="008714F9" w:rsidRDefault="008714F9" w:rsidP="009627A4">
      <w:pPr>
        <w:pStyle w:val="NormalWeb"/>
        <w:spacing w:before="0" w:beforeAutospacing="0" w:after="240" w:afterAutospacing="0" w:line="360" w:lineRule="auto"/>
        <w:jc w:val="both"/>
        <w:rPr>
          <w:rFonts w:ascii="Arial" w:hAnsi="Arial" w:cs="Arial"/>
          <w:color w:val="24292E"/>
          <w:sz w:val="22"/>
          <w:szCs w:val="22"/>
          <w:lang w:val="en-US"/>
        </w:rPr>
      </w:pPr>
      <w:proofErr w:type="gramStart"/>
      <w:r w:rsidRPr="008714F9">
        <w:rPr>
          <w:rFonts w:ascii="Arial" w:hAnsi="Arial" w:cs="Arial"/>
          <w:color w:val="24292E"/>
          <w:sz w:val="22"/>
          <w:szCs w:val="22"/>
          <w:lang w:val="en-US"/>
        </w:rPr>
        <w:t>Based on the fact that</w:t>
      </w:r>
      <w:proofErr w:type="gramEnd"/>
      <w:r w:rsidRPr="008714F9">
        <w:rPr>
          <w:rFonts w:ascii="Arial" w:hAnsi="Arial" w:cs="Arial"/>
          <w:color w:val="24292E"/>
          <w:sz w:val="22"/>
          <w:szCs w:val="22"/>
          <w:lang w:val="en-US"/>
        </w:rPr>
        <w:t xml:space="preserve"> there are four main actors, the SCT Rulebook presents the “contractual relationships and interaction” between those in the form of a </w:t>
      </w:r>
      <w:r w:rsidRPr="008714F9">
        <w:rPr>
          <w:rFonts w:ascii="Arial" w:hAnsi="Arial" w:cs="Arial"/>
          <w:b/>
          <w:bCs/>
          <w:color w:val="24292E"/>
          <w:sz w:val="22"/>
          <w:szCs w:val="22"/>
          <w:lang w:val="en-US"/>
        </w:rPr>
        <w:t>four-corner model</w:t>
      </w:r>
      <w:r w:rsidRPr="008714F9">
        <w:rPr>
          <w:rFonts w:ascii="Arial" w:hAnsi="Arial" w:cs="Arial"/>
          <w:color w:val="24292E"/>
          <w:sz w:val="22"/>
          <w:szCs w:val="22"/>
          <w:lang w:val="en-US"/>
        </w:rPr>
        <w:t xml:space="preserve">. As a side note, it should be mentioned that there are payment instruments that can be conceptualized as </w:t>
      </w:r>
      <w:r w:rsidRPr="008714F9">
        <w:rPr>
          <w:rFonts w:ascii="Arial" w:hAnsi="Arial" w:cs="Arial"/>
          <w:b/>
          <w:bCs/>
          <w:color w:val="24292E"/>
          <w:sz w:val="22"/>
          <w:szCs w:val="22"/>
          <w:lang w:val="en-US"/>
        </w:rPr>
        <w:t>three-corner models</w:t>
      </w:r>
      <w:r w:rsidRPr="008714F9">
        <w:rPr>
          <w:rFonts w:ascii="Arial" w:hAnsi="Arial" w:cs="Arial"/>
          <w:color w:val="24292E"/>
          <w:sz w:val="22"/>
          <w:szCs w:val="22"/>
          <w:lang w:val="en-US"/>
        </w:rPr>
        <w:t xml:space="preserve">, e.g., the card payment schemes </w:t>
      </w:r>
      <w:r w:rsidRPr="008714F9">
        <w:rPr>
          <w:rFonts w:ascii="Arial" w:hAnsi="Arial" w:cs="Arial"/>
          <w:color w:val="24292E"/>
          <w:sz w:val="22"/>
          <w:szCs w:val="22"/>
          <w:lang w:val="en-US"/>
        </w:rPr>
        <w:lastRenderedPageBreak/>
        <w:t>American Express and Diner’s Club, where there are three main actors—the card holder, the merchant, and the card scheme. The SCT four-corner model is illustrated as follows: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3"/>
      </w:tblGrid>
      <w:tr w:rsidR="00935254" w:rsidRPr="00935254" w14:paraId="0C573F57" w14:textId="77777777" w:rsidTr="00935254">
        <w:trPr>
          <w:cantSplit/>
          <w:jc w:val="center"/>
        </w:trPr>
        <w:tc>
          <w:tcPr>
            <w:tcW w:w="7923" w:type="dxa"/>
            <w:hideMark/>
          </w:tcPr>
          <w:p w14:paraId="3F87E5C9" w14:textId="77777777" w:rsidR="00935254" w:rsidRPr="00935254" w:rsidRDefault="00935254" w:rsidP="00A4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Menlo" w:hAnsi="Menlo" w:cs="Menlo"/>
                <w:sz w:val="16"/>
                <w:szCs w:val="16"/>
                <w:lang w:val="en-US"/>
              </w:rPr>
            </w:pPr>
            <w:r w:rsidRPr="00935254">
              <w:rPr>
                <w:rFonts w:ascii="Menlo" w:hAnsi="Menlo" w:cs="Menlo"/>
                <w:sz w:val="16"/>
                <w:szCs w:val="16"/>
                <w:lang w:val="en-US"/>
              </w:rPr>
              <w:t xml:space="preserve">        ┌─────────────┐                                 ┌─────────────┐         </w:t>
            </w:r>
          </w:p>
          <w:p w14:paraId="5B873851" w14:textId="77777777" w:rsidR="00935254" w:rsidRPr="00935254" w:rsidRDefault="00935254" w:rsidP="00A4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Menlo" w:hAnsi="Menlo" w:cs="Menlo"/>
                <w:sz w:val="16"/>
                <w:szCs w:val="16"/>
                <w:lang w:val="en-US"/>
              </w:rPr>
            </w:pPr>
            <w:r w:rsidRPr="00935254">
              <w:rPr>
                <w:rFonts w:ascii="Menlo" w:hAnsi="Menlo" w:cs="Menlo"/>
                <w:sz w:val="16"/>
                <w:szCs w:val="16"/>
                <w:lang w:val="en-US"/>
              </w:rPr>
              <w:t xml:space="preserve">        │ </w:t>
            </w:r>
            <w:proofErr w:type="gramStart"/>
            <w:r w:rsidRPr="00935254">
              <w:rPr>
                <w:rFonts w:ascii="Menlo" w:hAnsi="Menlo" w:cs="Menlo"/>
                <w:sz w:val="16"/>
                <w:szCs w:val="16"/>
                <w:lang w:val="en-US"/>
              </w:rPr>
              <w:t>Originator  │</w:t>
            </w:r>
            <w:proofErr w:type="gramEnd"/>
            <w:r w:rsidRPr="00935254">
              <w:rPr>
                <w:rFonts w:ascii="Menlo" w:hAnsi="Menlo" w:cs="Menlo"/>
                <w:sz w:val="16"/>
                <w:szCs w:val="16"/>
                <w:lang w:val="en-US"/>
              </w:rPr>
              <w:t xml:space="preserve">─────────────── 2 ───────────────│ Beneficiary │         </w:t>
            </w:r>
          </w:p>
          <w:p w14:paraId="6D8875A2" w14:textId="77777777" w:rsidR="00935254" w:rsidRPr="00935254" w:rsidRDefault="00935254" w:rsidP="00A4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Menlo" w:hAnsi="Menlo" w:cs="Menlo"/>
                <w:sz w:val="16"/>
                <w:szCs w:val="16"/>
                <w:lang w:val="en-US"/>
              </w:rPr>
            </w:pPr>
            <w:r w:rsidRPr="00935254">
              <w:rPr>
                <w:rFonts w:ascii="Menlo" w:hAnsi="Menlo" w:cs="Menlo"/>
                <w:sz w:val="16"/>
                <w:szCs w:val="16"/>
                <w:lang w:val="en-US"/>
              </w:rPr>
              <w:t xml:space="preserve">        │             │                                 │             │         </w:t>
            </w:r>
          </w:p>
          <w:p w14:paraId="2715AB82" w14:textId="77777777" w:rsidR="00935254" w:rsidRPr="00935254" w:rsidRDefault="00935254" w:rsidP="00A4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Menlo" w:hAnsi="Menlo" w:cs="Menlo"/>
                <w:sz w:val="16"/>
                <w:szCs w:val="16"/>
                <w:lang w:val="en-US"/>
              </w:rPr>
            </w:pPr>
            <w:r w:rsidRPr="00935254">
              <w:rPr>
                <w:rFonts w:ascii="Menlo" w:hAnsi="Menlo" w:cs="Menlo"/>
                <w:sz w:val="16"/>
                <w:szCs w:val="16"/>
                <w:lang w:val="en-US"/>
              </w:rPr>
              <w:t xml:space="preserve">        └─────────────┘                                 └─────────────┘         </w:t>
            </w:r>
          </w:p>
          <w:p w14:paraId="0561642F" w14:textId="77777777" w:rsidR="00935254" w:rsidRPr="00935254" w:rsidRDefault="00935254" w:rsidP="00A4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Menlo" w:hAnsi="Menlo" w:cs="Menlo"/>
                <w:sz w:val="16"/>
                <w:szCs w:val="16"/>
                <w:lang w:val="en-US"/>
              </w:rPr>
            </w:pPr>
            <w:r w:rsidRPr="00935254">
              <w:rPr>
                <w:rFonts w:ascii="Menlo" w:hAnsi="Menlo" w:cs="Menlo"/>
                <w:sz w:val="16"/>
                <w:szCs w:val="16"/>
                <w:lang w:val="en-US"/>
              </w:rPr>
              <w:t xml:space="preserve">               │                                               │                </w:t>
            </w:r>
          </w:p>
          <w:p w14:paraId="044D1D45" w14:textId="77777777" w:rsidR="00935254" w:rsidRPr="00935254" w:rsidRDefault="00935254" w:rsidP="00A4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Menlo" w:hAnsi="Menlo" w:cs="Menlo"/>
                <w:sz w:val="16"/>
                <w:szCs w:val="16"/>
                <w:lang w:val="en-US"/>
              </w:rPr>
            </w:pPr>
            <w:r w:rsidRPr="00935254">
              <w:rPr>
                <w:rFonts w:ascii="Menlo" w:hAnsi="Menlo" w:cs="Menlo"/>
                <w:sz w:val="16"/>
                <w:szCs w:val="16"/>
                <w:lang w:val="en-US"/>
              </w:rPr>
              <w:t xml:space="preserve">               3                ┌─────────────┐                4                </w:t>
            </w:r>
          </w:p>
          <w:p w14:paraId="1D688A67" w14:textId="77777777" w:rsidR="00935254" w:rsidRPr="00935254" w:rsidRDefault="00935254" w:rsidP="00A4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Menlo" w:hAnsi="Menlo" w:cs="Menlo"/>
                <w:sz w:val="16"/>
                <w:szCs w:val="16"/>
                <w:lang w:val="en-US"/>
              </w:rPr>
            </w:pPr>
            <w:r w:rsidRPr="00935254">
              <w:rPr>
                <w:rFonts w:ascii="Menlo" w:hAnsi="Menlo" w:cs="Menlo"/>
                <w:sz w:val="16"/>
                <w:szCs w:val="16"/>
                <w:lang w:val="en-US"/>
              </w:rPr>
              <w:t xml:space="preserve">               │                │    CSMs     │                │                </w:t>
            </w:r>
          </w:p>
          <w:p w14:paraId="4E925CF2" w14:textId="77777777" w:rsidR="00935254" w:rsidRPr="00935254" w:rsidRDefault="00935254" w:rsidP="00A4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Menlo" w:hAnsi="Menlo" w:cs="Menlo"/>
                <w:sz w:val="16"/>
                <w:szCs w:val="16"/>
                <w:lang w:val="en-US"/>
              </w:rPr>
            </w:pPr>
            <w:r w:rsidRPr="00935254">
              <w:rPr>
                <w:rFonts w:ascii="Menlo" w:hAnsi="Menlo" w:cs="Menlo"/>
                <w:sz w:val="16"/>
                <w:szCs w:val="16"/>
                <w:lang w:val="en-US"/>
              </w:rPr>
              <w:t xml:space="preserve">        ┌─────────────┐    ┌────│             │────┐    ┌─────────────┐         </w:t>
            </w:r>
          </w:p>
          <w:p w14:paraId="60048D59" w14:textId="77777777" w:rsidR="00935254" w:rsidRPr="00935254" w:rsidRDefault="00935254" w:rsidP="00A4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Menlo" w:hAnsi="Menlo" w:cs="Menlo"/>
                <w:sz w:val="16"/>
                <w:szCs w:val="16"/>
                <w:lang w:val="en-US"/>
              </w:rPr>
            </w:pPr>
            <w:r w:rsidRPr="00935254">
              <w:rPr>
                <w:rFonts w:ascii="Menlo" w:hAnsi="Menlo" w:cs="Menlo"/>
                <w:sz w:val="16"/>
                <w:szCs w:val="16"/>
                <w:lang w:val="en-US"/>
              </w:rPr>
              <w:t xml:space="preserve">        │ </w:t>
            </w:r>
            <w:proofErr w:type="gramStart"/>
            <w:r w:rsidRPr="00935254">
              <w:rPr>
                <w:rFonts w:ascii="Menlo" w:hAnsi="Menlo" w:cs="Menlo"/>
                <w:sz w:val="16"/>
                <w:szCs w:val="16"/>
                <w:lang w:val="en-US"/>
              </w:rPr>
              <w:t>Originator  │</w:t>
            </w:r>
            <w:proofErr w:type="gramEnd"/>
            <w:r w:rsidRPr="00935254">
              <w:rPr>
                <w:rFonts w:ascii="Menlo" w:hAnsi="Menlo" w:cs="Menlo"/>
                <w:sz w:val="16"/>
                <w:szCs w:val="16"/>
                <w:lang w:val="en-US"/>
              </w:rPr>
              <w:t xml:space="preserve">    5    └─────────────┘    5    │ Beneficiary │         </w:t>
            </w:r>
          </w:p>
          <w:p w14:paraId="29AF7C94" w14:textId="77777777" w:rsidR="00935254" w:rsidRPr="00935254" w:rsidRDefault="00935254" w:rsidP="00A4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Menlo" w:hAnsi="Menlo" w:cs="Menlo"/>
                <w:sz w:val="16"/>
                <w:szCs w:val="16"/>
                <w:lang w:val="en-US"/>
              </w:rPr>
            </w:pPr>
            <w:r w:rsidRPr="00935254">
              <w:rPr>
                <w:rFonts w:ascii="Menlo" w:hAnsi="Menlo" w:cs="Menlo"/>
                <w:sz w:val="16"/>
                <w:szCs w:val="16"/>
                <w:lang w:val="en-US"/>
              </w:rPr>
              <w:t xml:space="preserve">        │    Bank     │────┘                       └────│    Bank     │         </w:t>
            </w:r>
          </w:p>
          <w:p w14:paraId="4C4B0D29" w14:textId="77777777" w:rsidR="00935254" w:rsidRPr="00935254" w:rsidRDefault="00935254" w:rsidP="00A4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Menlo" w:hAnsi="Menlo" w:cs="Menlo"/>
                <w:sz w:val="16"/>
                <w:szCs w:val="16"/>
                <w:lang w:val="en-US"/>
              </w:rPr>
            </w:pPr>
            <w:r w:rsidRPr="00935254">
              <w:rPr>
                <w:rFonts w:ascii="Menlo" w:hAnsi="Menlo" w:cs="Menlo"/>
                <w:sz w:val="16"/>
                <w:szCs w:val="16"/>
                <w:lang w:val="en-US"/>
              </w:rPr>
              <w:t xml:space="preserve">        └─────────────┘                                 └─────────────┘         </w:t>
            </w:r>
          </w:p>
          <w:p w14:paraId="7644BE19" w14:textId="77777777" w:rsidR="00935254" w:rsidRPr="00935254" w:rsidRDefault="00935254" w:rsidP="00A4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Menlo" w:hAnsi="Menlo" w:cs="Menlo"/>
                <w:sz w:val="16"/>
                <w:szCs w:val="16"/>
                <w:lang w:val="en-US"/>
              </w:rPr>
            </w:pPr>
            <w:r w:rsidRPr="00935254">
              <w:rPr>
                <w:rFonts w:ascii="Menlo" w:hAnsi="Menlo" w:cs="Menlo"/>
                <w:sz w:val="16"/>
                <w:szCs w:val="16"/>
                <w:lang w:val="en-US"/>
              </w:rPr>
              <w:t xml:space="preserve">               │                ┌─────────────┐                │                </w:t>
            </w:r>
          </w:p>
          <w:p w14:paraId="463DCDFA" w14:textId="77777777" w:rsidR="00935254" w:rsidRPr="00935254" w:rsidRDefault="00935254" w:rsidP="00A4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Menlo" w:hAnsi="Menlo" w:cs="Menlo"/>
                <w:sz w:val="16"/>
                <w:szCs w:val="16"/>
                <w:lang w:val="en-US"/>
              </w:rPr>
            </w:pPr>
            <w:r w:rsidRPr="00935254">
              <w:rPr>
                <w:rFonts w:ascii="Menlo" w:hAnsi="Menlo" w:cs="Menlo"/>
                <w:sz w:val="16"/>
                <w:szCs w:val="16"/>
                <w:lang w:val="en-US"/>
              </w:rPr>
              <w:t xml:space="preserve">               │                │   Scheme    │                │                </w:t>
            </w:r>
          </w:p>
          <w:p w14:paraId="4C13C444" w14:textId="77777777" w:rsidR="00935254" w:rsidRPr="00935254" w:rsidRDefault="00935254" w:rsidP="00A4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Menlo" w:hAnsi="Menlo" w:cs="Menlo"/>
                <w:sz w:val="16"/>
                <w:szCs w:val="16"/>
                <w:lang w:val="en-US"/>
              </w:rPr>
            </w:pPr>
            <w:r w:rsidRPr="00935254">
              <w:rPr>
                <w:rFonts w:ascii="Menlo" w:hAnsi="Menlo" w:cs="Menlo"/>
                <w:sz w:val="16"/>
                <w:szCs w:val="16"/>
                <w:lang w:val="en-US"/>
              </w:rPr>
              <w:t xml:space="preserve">               └────── 1 ───────│    Rules    │─────── 1 ──────┘                </w:t>
            </w:r>
          </w:p>
          <w:p w14:paraId="2D5D3361" w14:textId="77777777" w:rsidR="00935254" w:rsidRPr="00935254" w:rsidRDefault="00935254" w:rsidP="00A4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Menlo" w:hAnsi="Menlo" w:cs="Menlo"/>
                <w:sz w:val="16"/>
                <w:szCs w:val="16"/>
                <w:lang w:val="en-US"/>
              </w:rPr>
            </w:pPr>
            <w:r w:rsidRPr="00935254">
              <w:rPr>
                <w:rFonts w:ascii="Menlo" w:hAnsi="Menlo" w:cs="Menlo"/>
                <w:sz w:val="16"/>
                <w:szCs w:val="16"/>
                <w:lang w:val="en-US"/>
              </w:rPr>
              <w:t xml:space="preserve">                                └─────────────┘                                 </w:t>
            </w:r>
          </w:p>
          <w:p w14:paraId="6B88DF6F" w14:textId="77777777" w:rsidR="00935254" w:rsidRPr="00935254" w:rsidRDefault="00935254" w:rsidP="00A4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Menlo" w:hAnsi="Menlo" w:cs="Menlo"/>
                <w:sz w:val="16"/>
                <w:szCs w:val="16"/>
                <w:lang w:val="en-US"/>
              </w:rPr>
            </w:pPr>
            <w:r w:rsidRPr="00935254">
              <w:rPr>
                <w:rFonts w:ascii="Menlo" w:hAnsi="Menlo" w:cs="Menlo"/>
                <w:sz w:val="16"/>
                <w:szCs w:val="16"/>
                <w:lang w:val="en-US"/>
              </w:rPr>
              <w:t xml:space="preserve">                                                                                </w:t>
            </w:r>
          </w:p>
          <w:p w14:paraId="7CF0A54C" w14:textId="77777777" w:rsidR="00935254" w:rsidRPr="00935254" w:rsidRDefault="00935254" w:rsidP="00A4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Menlo" w:hAnsi="Menlo" w:cs="Menlo"/>
                <w:sz w:val="16"/>
                <w:szCs w:val="16"/>
                <w:lang w:val="en-US"/>
              </w:rPr>
            </w:pPr>
            <w:r w:rsidRPr="00935254">
              <w:rPr>
                <w:rFonts w:ascii="Menlo" w:hAnsi="Menlo" w:cs="Menlo"/>
                <w:sz w:val="16"/>
                <w:szCs w:val="16"/>
                <w:lang w:val="en-US"/>
              </w:rPr>
              <w:t>┌──────────────────────────────────────────────────────────────────────────────┐</w:t>
            </w:r>
          </w:p>
          <w:p w14:paraId="37025E1B" w14:textId="77777777" w:rsidR="00935254" w:rsidRPr="00935254" w:rsidRDefault="00935254" w:rsidP="00A4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Menlo" w:hAnsi="Menlo" w:cs="Menlo"/>
                <w:sz w:val="16"/>
                <w:szCs w:val="16"/>
                <w:lang w:val="en-US"/>
              </w:rPr>
            </w:pPr>
            <w:r w:rsidRPr="00935254">
              <w:rPr>
                <w:rFonts w:ascii="Menlo" w:hAnsi="Menlo" w:cs="Menlo"/>
                <w:sz w:val="16"/>
                <w:szCs w:val="16"/>
                <w:lang w:val="en-US"/>
              </w:rPr>
              <w:t>│                       Figure 1: SCT four-corner model                        │</w:t>
            </w:r>
          </w:p>
          <w:p w14:paraId="70E0F145" w14:textId="77777777" w:rsidR="00935254" w:rsidRPr="00935254" w:rsidRDefault="00935254" w:rsidP="00A4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Menlo" w:hAnsi="Menlo" w:cs="Menlo"/>
                <w:sz w:val="16"/>
                <w:szCs w:val="16"/>
                <w:lang w:val="en-US"/>
              </w:rPr>
            </w:pPr>
            <w:r w:rsidRPr="00935254">
              <w:rPr>
                <w:rFonts w:ascii="Menlo" w:hAnsi="Menlo" w:cs="Menlo"/>
                <w:sz w:val="16"/>
                <w:szCs w:val="16"/>
                <w:lang w:val="en-US"/>
              </w:rPr>
              <w:t xml:space="preserve">│                </w:t>
            </w:r>
            <w:proofErr w:type="gramStart"/>
            <w:r w:rsidRPr="00935254">
              <w:rPr>
                <w:rFonts w:ascii="Menlo" w:hAnsi="Menlo" w:cs="Menlo"/>
                <w:sz w:val="16"/>
                <w:szCs w:val="16"/>
                <w:lang w:val="en-US"/>
              </w:rPr>
              <w:t xml:space="preserve">   (</w:t>
            </w:r>
            <w:proofErr w:type="gramEnd"/>
            <w:r w:rsidRPr="00935254">
              <w:rPr>
                <w:rFonts w:ascii="Menlo" w:hAnsi="Menlo" w:cs="Menlo"/>
                <w:sz w:val="16"/>
                <w:szCs w:val="16"/>
                <w:lang w:val="en-US"/>
              </w:rPr>
              <w:t>based on figure 2 of the SCT Rulebook)                    │</w:t>
            </w:r>
          </w:p>
          <w:p w14:paraId="2D50B5B2" w14:textId="209BD9DE" w:rsidR="00935254" w:rsidRPr="00A461BF" w:rsidRDefault="00935254" w:rsidP="00A4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line="240" w:lineRule="auto"/>
              <w:jc w:val="left"/>
              <w:rPr>
                <w:rStyle w:val="HTMLCode"/>
                <w:rFonts w:ascii="Menlo" w:hAnsi="Menlo" w:cs="Menlo"/>
                <w:sz w:val="16"/>
                <w:szCs w:val="16"/>
              </w:rPr>
            </w:pPr>
            <w:r w:rsidRPr="00935254">
              <w:rPr>
                <w:rFonts w:ascii="Menlo" w:hAnsi="Menlo" w:cs="Menlo"/>
                <w:sz w:val="16"/>
                <w:szCs w:val="16"/>
              </w:rPr>
              <w:t>└──────────────────────────────────────────────────────────────────────────────┘</w:t>
            </w:r>
          </w:p>
        </w:tc>
      </w:tr>
    </w:tbl>
    <w:p w14:paraId="23265B14" w14:textId="77777777" w:rsidR="008714F9" w:rsidRPr="008714F9" w:rsidRDefault="008714F9" w:rsidP="009627A4">
      <w:pPr>
        <w:pStyle w:val="NormalWeb"/>
        <w:spacing w:before="0" w:beforeAutospacing="0" w:after="240" w:afterAutospacing="0" w:line="360" w:lineRule="auto"/>
        <w:jc w:val="both"/>
        <w:rPr>
          <w:rFonts w:ascii="Arial" w:hAnsi="Arial" w:cs="Arial"/>
          <w:color w:val="24292E"/>
          <w:sz w:val="22"/>
          <w:szCs w:val="22"/>
          <w:lang w:val="en-US"/>
        </w:rPr>
      </w:pPr>
      <w:r w:rsidRPr="008714F9">
        <w:rPr>
          <w:rFonts w:ascii="Arial" w:hAnsi="Arial" w:cs="Arial"/>
          <w:color w:val="24292E"/>
          <w:sz w:val="22"/>
          <w:szCs w:val="22"/>
          <w:lang w:val="en-US"/>
        </w:rPr>
        <w:t>The relationships between the actors are described as follows:</w:t>
      </w:r>
    </w:p>
    <w:p w14:paraId="1180E51C" w14:textId="77777777" w:rsidR="008714F9" w:rsidRPr="008714F9" w:rsidRDefault="008714F9" w:rsidP="009627A4">
      <w:pPr>
        <w:pStyle w:val="NormalWeb"/>
        <w:numPr>
          <w:ilvl w:val="0"/>
          <w:numId w:val="21"/>
        </w:numPr>
        <w:spacing w:before="0" w:beforeAutospacing="0" w:after="120" w:afterAutospacing="0" w:line="360" w:lineRule="auto"/>
        <w:ind w:left="714" w:hanging="357"/>
        <w:jc w:val="both"/>
        <w:rPr>
          <w:rFonts w:ascii="Arial" w:hAnsi="Arial" w:cs="Arial"/>
          <w:color w:val="24292E"/>
          <w:sz w:val="22"/>
          <w:szCs w:val="22"/>
          <w:lang w:val="en-US"/>
        </w:rPr>
      </w:pPr>
      <w:r w:rsidRPr="008714F9">
        <w:rPr>
          <w:rFonts w:ascii="Arial" w:hAnsi="Arial" w:cs="Arial"/>
          <w:color w:val="24292E"/>
          <w:sz w:val="22"/>
          <w:szCs w:val="22"/>
          <w:lang w:val="en-US"/>
        </w:rPr>
        <w:t>The Participants, i.e., the Originator Bank and the Beneficiary Bank, are said to “[a]</w:t>
      </w:r>
      <w:proofErr w:type="spellStart"/>
      <w:r w:rsidRPr="008714F9">
        <w:rPr>
          <w:rFonts w:ascii="Arial" w:hAnsi="Arial" w:cs="Arial"/>
          <w:color w:val="24292E"/>
          <w:sz w:val="22"/>
          <w:szCs w:val="22"/>
          <w:lang w:val="en-US"/>
        </w:rPr>
        <w:t>dhere</w:t>
      </w:r>
      <w:proofErr w:type="spellEnd"/>
      <w:r w:rsidRPr="008714F9">
        <w:rPr>
          <w:rFonts w:ascii="Arial" w:hAnsi="Arial" w:cs="Arial"/>
          <w:color w:val="24292E"/>
          <w:sz w:val="22"/>
          <w:szCs w:val="22"/>
          <w:lang w:val="en-US"/>
        </w:rPr>
        <w:t xml:space="preserve"> to” the Scheme rules.</w:t>
      </w:r>
    </w:p>
    <w:p w14:paraId="18E22AA8" w14:textId="77777777" w:rsidR="008714F9" w:rsidRPr="008714F9" w:rsidRDefault="008714F9" w:rsidP="009627A4">
      <w:pPr>
        <w:pStyle w:val="NormalWeb"/>
        <w:numPr>
          <w:ilvl w:val="0"/>
          <w:numId w:val="21"/>
        </w:numPr>
        <w:spacing w:before="0" w:beforeAutospacing="0" w:after="120" w:afterAutospacing="0" w:line="360" w:lineRule="auto"/>
        <w:ind w:left="714" w:hanging="357"/>
        <w:jc w:val="both"/>
        <w:rPr>
          <w:rFonts w:ascii="Arial" w:hAnsi="Arial" w:cs="Arial"/>
          <w:color w:val="24292E"/>
          <w:sz w:val="22"/>
          <w:szCs w:val="22"/>
          <w:lang w:val="en-US"/>
        </w:rPr>
      </w:pPr>
      <w:r w:rsidRPr="008714F9">
        <w:rPr>
          <w:rFonts w:ascii="Arial" w:hAnsi="Arial" w:cs="Arial"/>
          <w:color w:val="24292E"/>
          <w:sz w:val="22"/>
          <w:szCs w:val="22"/>
          <w:lang w:val="en-US"/>
        </w:rPr>
        <w:t>The Originator and the Beneficiary are described to form a relationship based on the “[p]</w:t>
      </w:r>
      <w:proofErr w:type="spellStart"/>
      <w:r w:rsidRPr="008714F9">
        <w:rPr>
          <w:rFonts w:ascii="Arial" w:hAnsi="Arial" w:cs="Arial"/>
          <w:color w:val="24292E"/>
          <w:sz w:val="22"/>
          <w:szCs w:val="22"/>
          <w:lang w:val="en-US"/>
        </w:rPr>
        <w:t>rovision</w:t>
      </w:r>
      <w:proofErr w:type="spellEnd"/>
      <w:r w:rsidRPr="008714F9">
        <w:rPr>
          <w:rFonts w:ascii="Arial" w:hAnsi="Arial" w:cs="Arial"/>
          <w:color w:val="24292E"/>
          <w:sz w:val="22"/>
          <w:szCs w:val="22"/>
          <w:lang w:val="en-US"/>
        </w:rPr>
        <w:t xml:space="preserve"> of goods and services and/or requirement to move money.” It is noted that “[t]his relationship does not form part of the operation of the Scheme.”</w:t>
      </w:r>
    </w:p>
    <w:p w14:paraId="378B2D73" w14:textId="77777777" w:rsidR="008714F9" w:rsidRPr="008714F9" w:rsidRDefault="008714F9" w:rsidP="009627A4">
      <w:pPr>
        <w:pStyle w:val="NormalWeb"/>
        <w:numPr>
          <w:ilvl w:val="0"/>
          <w:numId w:val="21"/>
        </w:numPr>
        <w:spacing w:before="0" w:beforeAutospacing="0" w:after="120" w:afterAutospacing="0" w:line="360" w:lineRule="auto"/>
        <w:ind w:left="714" w:hanging="357"/>
        <w:jc w:val="both"/>
        <w:rPr>
          <w:rFonts w:ascii="Arial" w:hAnsi="Arial" w:cs="Arial"/>
          <w:color w:val="24292E"/>
          <w:sz w:val="22"/>
          <w:szCs w:val="22"/>
          <w:lang w:val="en-US"/>
        </w:rPr>
      </w:pPr>
      <w:r w:rsidRPr="008714F9">
        <w:rPr>
          <w:rFonts w:ascii="Arial" w:hAnsi="Arial" w:cs="Arial"/>
          <w:color w:val="24292E"/>
          <w:sz w:val="22"/>
          <w:szCs w:val="22"/>
          <w:lang w:val="en-US"/>
        </w:rPr>
        <w:t>The Originator and the Originator Bank are described to be in a relationship based on the “[p]</w:t>
      </w:r>
      <w:proofErr w:type="spellStart"/>
      <w:r w:rsidRPr="008714F9">
        <w:rPr>
          <w:rFonts w:ascii="Arial" w:hAnsi="Arial" w:cs="Arial"/>
          <w:color w:val="24292E"/>
          <w:sz w:val="22"/>
          <w:szCs w:val="22"/>
          <w:lang w:val="en-US"/>
        </w:rPr>
        <w:t>rovision</w:t>
      </w:r>
      <w:proofErr w:type="spellEnd"/>
      <w:r w:rsidRPr="008714F9">
        <w:rPr>
          <w:rFonts w:ascii="Arial" w:hAnsi="Arial" w:cs="Arial"/>
          <w:color w:val="24292E"/>
          <w:sz w:val="22"/>
          <w:szCs w:val="22"/>
          <w:lang w:val="en-US"/>
        </w:rPr>
        <w:t xml:space="preserve"> of payment under terms and conditions agreed with [the] Originator Bank.” This relationship is also said to “not [be] governed by the Scheme,” except for the parts “relevant to the initiation and execution of a SEPA Credit Transfer.”</w:t>
      </w:r>
    </w:p>
    <w:p w14:paraId="715B5404" w14:textId="77777777" w:rsidR="008714F9" w:rsidRPr="008714F9" w:rsidRDefault="008714F9" w:rsidP="009627A4">
      <w:pPr>
        <w:pStyle w:val="NormalWeb"/>
        <w:numPr>
          <w:ilvl w:val="0"/>
          <w:numId w:val="21"/>
        </w:numPr>
        <w:spacing w:before="0" w:beforeAutospacing="0" w:after="120" w:afterAutospacing="0" w:line="360" w:lineRule="auto"/>
        <w:ind w:left="714" w:hanging="357"/>
        <w:jc w:val="both"/>
        <w:rPr>
          <w:rFonts w:ascii="Arial" w:hAnsi="Arial" w:cs="Arial"/>
          <w:color w:val="24292E"/>
          <w:sz w:val="22"/>
          <w:szCs w:val="22"/>
          <w:lang w:val="en-US"/>
        </w:rPr>
      </w:pPr>
      <w:r w:rsidRPr="008714F9">
        <w:rPr>
          <w:rFonts w:ascii="Arial" w:hAnsi="Arial" w:cs="Arial"/>
          <w:color w:val="24292E"/>
          <w:sz w:val="22"/>
          <w:szCs w:val="22"/>
          <w:lang w:val="en-US"/>
        </w:rPr>
        <w:t xml:space="preserve">The Beneficiary and the Beneficiary Bank are described to be in a relationship based on the provision of payment services as well—just like the Originator and the Originator Bank. This relationship is also said to not be covered by the Scheme </w:t>
      </w:r>
      <w:proofErr w:type="gramStart"/>
      <w:r w:rsidRPr="008714F9">
        <w:rPr>
          <w:rFonts w:ascii="Arial" w:hAnsi="Arial" w:cs="Arial"/>
          <w:color w:val="24292E"/>
          <w:sz w:val="22"/>
          <w:szCs w:val="22"/>
          <w:lang w:val="en-US"/>
        </w:rPr>
        <w:t>with the exception of</w:t>
      </w:r>
      <w:proofErr w:type="gramEnd"/>
      <w:r w:rsidRPr="008714F9">
        <w:rPr>
          <w:rFonts w:ascii="Arial" w:hAnsi="Arial" w:cs="Arial"/>
          <w:color w:val="24292E"/>
          <w:sz w:val="22"/>
          <w:szCs w:val="22"/>
          <w:lang w:val="en-US"/>
        </w:rPr>
        <w:t xml:space="preserve"> those “elements [that are] relevant to the receipt of a SEPA Credit Transfer.”</w:t>
      </w:r>
    </w:p>
    <w:p w14:paraId="57B302FB" w14:textId="77777777" w:rsidR="008714F9" w:rsidRPr="008714F9" w:rsidRDefault="008714F9" w:rsidP="009627A4">
      <w:pPr>
        <w:pStyle w:val="NormalWeb"/>
        <w:numPr>
          <w:ilvl w:val="0"/>
          <w:numId w:val="21"/>
        </w:numPr>
        <w:spacing w:before="0" w:beforeAutospacing="0" w:after="240" w:afterAutospacing="0" w:line="360" w:lineRule="auto"/>
        <w:jc w:val="both"/>
        <w:rPr>
          <w:rFonts w:ascii="Arial" w:hAnsi="Arial" w:cs="Arial"/>
          <w:color w:val="24292E"/>
          <w:sz w:val="22"/>
          <w:szCs w:val="22"/>
          <w:lang w:val="en-US"/>
        </w:rPr>
      </w:pPr>
      <w:r w:rsidRPr="008714F9">
        <w:rPr>
          <w:rFonts w:ascii="Arial" w:hAnsi="Arial" w:cs="Arial"/>
          <w:color w:val="24292E"/>
          <w:sz w:val="22"/>
          <w:szCs w:val="22"/>
          <w:lang w:val="en-US"/>
        </w:rPr>
        <w:t>The Originator Bank and Beneficiary Bank are said to be “[u]sing” CSMs.</w:t>
      </w:r>
    </w:p>
    <w:p w14:paraId="098635D2" w14:textId="77777777" w:rsidR="008714F9" w:rsidRPr="008714F9" w:rsidRDefault="008714F9" w:rsidP="009627A4">
      <w:pPr>
        <w:pStyle w:val="NormalWeb"/>
        <w:spacing w:before="0" w:beforeAutospacing="0" w:after="240" w:afterAutospacing="0" w:line="360" w:lineRule="auto"/>
        <w:jc w:val="both"/>
        <w:rPr>
          <w:rFonts w:ascii="Arial" w:hAnsi="Arial" w:cs="Arial"/>
          <w:color w:val="24292E"/>
          <w:sz w:val="22"/>
          <w:szCs w:val="22"/>
          <w:lang w:val="en-US"/>
        </w:rPr>
      </w:pPr>
      <w:r w:rsidRPr="008714F9">
        <w:rPr>
          <w:rFonts w:ascii="Arial" w:hAnsi="Arial" w:cs="Arial"/>
          <w:color w:val="24292E"/>
          <w:sz w:val="22"/>
          <w:szCs w:val="22"/>
          <w:lang w:val="en-US"/>
        </w:rPr>
        <w:lastRenderedPageBreak/>
        <w:t>With regards to the “governing laws of the agreements in the four-corner model,” it is stated that both the SCT Rulebook as well as the “Adherence Agreement” are “governed by Belgian law.”</w:t>
      </w:r>
    </w:p>
    <w:p w14:paraId="7CCB7C92" w14:textId="562AB760" w:rsidR="008714F9" w:rsidRPr="008714F9" w:rsidRDefault="008714F9" w:rsidP="009627A4">
      <w:pPr>
        <w:pStyle w:val="NormalWeb"/>
        <w:spacing w:before="0" w:beforeAutospacing="0" w:after="240" w:afterAutospacing="0" w:line="360" w:lineRule="auto"/>
        <w:jc w:val="both"/>
        <w:rPr>
          <w:rFonts w:ascii="Arial" w:hAnsi="Arial" w:cs="Arial"/>
          <w:color w:val="24292E"/>
          <w:sz w:val="22"/>
          <w:szCs w:val="22"/>
          <w:lang w:val="en-US"/>
        </w:rPr>
      </w:pPr>
      <w:r w:rsidRPr="008714F9">
        <w:rPr>
          <w:rFonts w:ascii="Arial" w:hAnsi="Arial" w:cs="Arial"/>
          <w:color w:val="24292E"/>
          <w:sz w:val="22"/>
          <w:szCs w:val="22"/>
          <w:lang w:val="en-US"/>
        </w:rPr>
        <w:t xml:space="preserve">The SCT Rulebook lists “business and operational rules,” which are to be “observed by Participants and by other actors as necessary such that the Scheme can function properly.” To begin with, rules with regards to the “execution time cycle” are stipulated. </w:t>
      </w:r>
      <w:r w:rsidR="009004B8">
        <w:rPr>
          <w:rFonts w:ascii="Arial" w:hAnsi="Arial" w:cs="Arial"/>
          <w:color w:val="24292E"/>
          <w:sz w:val="22"/>
          <w:szCs w:val="22"/>
          <w:lang w:val="en-US"/>
        </w:rPr>
        <w:t>I</w:t>
      </w:r>
      <w:r w:rsidRPr="008714F9">
        <w:rPr>
          <w:rFonts w:ascii="Arial" w:hAnsi="Arial" w:cs="Arial"/>
          <w:color w:val="24292E"/>
          <w:sz w:val="22"/>
          <w:szCs w:val="22"/>
          <w:lang w:val="en-US"/>
        </w:rPr>
        <w:t>t is stated that “[t]he execution time for a SEPA Credit Transfer shall commence at the point in time of receipt of the Credit Transfer Instruction”</w:t>
      </w:r>
      <w:proofErr w:type="gramStart"/>
      <w:r w:rsidRPr="008714F9">
        <w:rPr>
          <w:rFonts w:ascii="Arial" w:hAnsi="Arial" w:cs="Arial"/>
          <w:color w:val="24292E"/>
          <w:sz w:val="22"/>
          <w:szCs w:val="22"/>
          <w:lang w:val="en-US"/>
        </w:rPr>
        <w:t>—“</w:t>
      </w:r>
      <w:proofErr w:type="gramEnd"/>
      <w:r w:rsidRPr="008714F9">
        <w:rPr>
          <w:rFonts w:ascii="Arial" w:hAnsi="Arial" w:cs="Arial"/>
          <w:color w:val="24292E"/>
          <w:sz w:val="22"/>
          <w:szCs w:val="22"/>
          <w:lang w:val="en-US"/>
        </w:rPr>
        <w:t>as defined in the Payment Services Directive.” Also based on the stipulations of the PSD are the rules on “[c]</w:t>
      </w:r>
      <w:proofErr w:type="spellStart"/>
      <w:r w:rsidRPr="008714F9">
        <w:rPr>
          <w:rFonts w:ascii="Arial" w:hAnsi="Arial" w:cs="Arial"/>
          <w:color w:val="24292E"/>
          <w:sz w:val="22"/>
          <w:szCs w:val="22"/>
          <w:lang w:val="en-US"/>
        </w:rPr>
        <w:t>ut</w:t>
      </w:r>
      <w:proofErr w:type="spellEnd"/>
      <w:r w:rsidRPr="008714F9">
        <w:rPr>
          <w:rFonts w:ascii="Arial" w:hAnsi="Arial" w:cs="Arial"/>
          <w:color w:val="24292E"/>
          <w:sz w:val="22"/>
          <w:szCs w:val="22"/>
          <w:lang w:val="en-US"/>
        </w:rPr>
        <w:t>-off [t]</w:t>
      </w:r>
      <w:proofErr w:type="spellStart"/>
      <w:r w:rsidRPr="008714F9">
        <w:rPr>
          <w:rFonts w:ascii="Arial" w:hAnsi="Arial" w:cs="Arial"/>
          <w:color w:val="24292E"/>
          <w:sz w:val="22"/>
          <w:szCs w:val="22"/>
          <w:lang w:val="en-US"/>
        </w:rPr>
        <w:t>imes</w:t>
      </w:r>
      <w:proofErr w:type="spellEnd"/>
      <w:r w:rsidRPr="008714F9">
        <w:rPr>
          <w:rFonts w:ascii="Arial" w:hAnsi="Arial" w:cs="Arial"/>
          <w:color w:val="24292E"/>
          <w:sz w:val="22"/>
          <w:szCs w:val="22"/>
          <w:lang w:val="en-US"/>
        </w:rPr>
        <w:t>,” “[m]</w:t>
      </w:r>
      <w:proofErr w:type="spellStart"/>
      <w:r w:rsidRPr="008714F9">
        <w:rPr>
          <w:rFonts w:ascii="Arial" w:hAnsi="Arial" w:cs="Arial"/>
          <w:color w:val="24292E"/>
          <w:sz w:val="22"/>
          <w:szCs w:val="22"/>
          <w:lang w:val="en-US"/>
        </w:rPr>
        <w:t>aximum</w:t>
      </w:r>
      <w:proofErr w:type="spellEnd"/>
      <w:r w:rsidRPr="008714F9">
        <w:rPr>
          <w:rFonts w:ascii="Arial" w:hAnsi="Arial" w:cs="Arial"/>
          <w:color w:val="24292E"/>
          <w:sz w:val="22"/>
          <w:szCs w:val="22"/>
          <w:lang w:val="en-US"/>
        </w:rPr>
        <w:t xml:space="preserve"> [e]</w:t>
      </w:r>
      <w:proofErr w:type="spellStart"/>
      <w:r w:rsidRPr="008714F9">
        <w:rPr>
          <w:rFonts w:ascii="Arial" w:hAnsi="Arial" w:cs="Arial"/>
          <w:color w:val="24292E"/>
          <w:sz w:val="22"/>
          <w:szCs w:val="22"/>
          <w:lang w:val="en-US"/>
        </w:rPr>
        <w:t>xecution</w:t>
      </w:r>
      <w:proofErr w:type="spellEnd"/>
      <w:r w:rsidRPr="008714F9">
        <w:rPr>
          <w:rFonts w:ascii="Arial" w:hAnsi="Arial" w:cs="Arial"/>
          <w:color w:val="24292E"/>
          <w:sz w:val="22"/>
          <w:szCs w:val="22"/>
          <w:lang w:val="en-US"/>
        </w:rPr>
        <w:t xml:space="preserve"> [t]</w:t>
      </w:r>
      <w:proofErr w:type="spellStart"/>
      <w:r w:rsidRPr="008714F9">
        <w:rPr>
          <w:rFonts w:ascii="Arial" w:hAnsi="Arial" w:cs="Arial"/>
          <w:color w:val="24292E"/>
          <w:sz w:val="22"/>
          <w:szCs w:val="22"/>
          <w:lang w:val="en-US"/>
        </w:rPr>
        <w:t>ime</w:t>
      </w:r>
      <w:proofErr w:type="spellEnd"/>
      <w:r w:rsidRPr="008714F9">
        <w:rPr>
          <w:rFonts w:ascii="Arial" w:hAnsi="Arial" w:cs="Arial"/>
          <w:color w:val="24292E"/>
          <w:sz w:val="22"/>
          <w:szCs w:val="22"/>
          <w:lang w:val="en-US"/>
        </w:rPr>
        <w:t>” and “[c]</w:t>
      </w:r>
      <w:proofErr w:type="spellStart"/>
      <w:r w:rsidRPr="008714F9">
        <w:rPr>
          <w:rFonts w:ascii="Arial" w:hAnsi="Arial" w:cs="Arial"/>
          <w:color w:val="24292E"/>
          <w:sz w:val="22"/>
          <w:szCs w:val="22"/>
          <w:lang w:val="en-US"/>
        </w:rPr>
        <w:t>harging</w:t>
      </w:r>
      <w:proofErr w:type="spellEnd"/>
      <w:r w:rsidRPr="008714F9">
        <w:rPr>
          <w:rFonts w:ascii="Arial" w:hAnsi="Arial" w:cs="Arial"/>
          <w:color w:val="24292E"/>
          <w:sz w:val="22"/>
          <w:szCs w:val="22"/>
          <w:lang w:val="en-US"/>
        </w:rPr>
        <w:t xml:space="preserve"> [p]</w:t>
      </w:r>
      <w:proofErr w:type="spellStart"/>
      <w:r w:rsidRPr="008714F9">
        <w:rPr>
          <w:rFonts w:ascii="Arial" w:hAnsi="Arial" w:cs="Arial"/>
          <w:color w:val="24292E"/>
          <w:sz w:val="22"/>
          <w:szCs w:val="22"/>
          <w:lang w:val="en-US"/>
        </w:rPr>
        <w:t>rinciples</w:t>
      </w:r>
      <w:proofErr w:type="spellEnd"/>
      <w:r w:rsidRPr="008714F9">
        <w:rPr>
          <w:rFonts w:ascii="Arial" w:hAnsi="Arial" w:cs="Arial"/>
          <w:color w:val="24292E"/>
          <w:sz w:val="22"/>
          <w:szCs w:val="22"/>
          <w:lang w:val="en-US"/>
        </w:rPr>
        <w:t xml:space="preserve">.” Concerning said maximum execution time, it is, for example, stipulated that “Originator Banks are obliged to ensure that the amount of the SEPA Credit Transfer is credited to the account of the Beneficiary Bank within one Banking Business Day following the point in time of receipt of the Credit Transfer Instruction”—just as is required by the PSD’s D+1 rule. For the crediting of the Beneficiary’s account, a maximum execution time is not specified, it is simply stated that this </w:t>
      </w:r>
      <w:proofErr w:type="gramStart"/>
      <w:r w:rsidRPr="008714F9">
        <w:rPr>
          <w:rFonts w:ascii="Arial" w:hAnsi="Arial" w:cs="Arial"/>
          <w:color w:val="24292E"/>
          <w:sz w:val="22"/>
          <w:szCs w:val="22"/>
          <w:lang w:val="en-US"/>
        </w:rPr>
        <w:t>has to</w:t>
      </w:r>
      <w:proofErr w:type="gramEnd"/>
      <w:r w:rsidRPr="008714F9">
        <w:rPr>
          <w:rFonts w:ascii="Arial" w:hAnsi="Arial" w:cs="Arial"/>
          <w:color w:val="24292E"/>
          <w:sz w:val="22"/>
          <w:szCs w:val="22"/>
          <w:lang w:val="en-US"/>
        </w:rPr>
        <w:t xml:space="preserve"> happen “in accordance with the provisions of the Payment Services Directive.”</w:t>
      </w:r>
    </w:p>
    <w:p w14:paraId="2576F197" w14:textId="77777777" w:rsidR="008714F9" w:rsidRPr="008714F9" w:rsidRDefault="008714F9" w:rsidP="009627A4">
      <w:pPr>
        <w:pStyle w:val="NormalWeb"/>
        <w:spacing w:before="0" w:beforeAutospacing="0" w:after="240" w:afterAutospacing="0" w:line="360" w:lineRule="auto"/>
        <w:jc w:val="both"/>
        <w:rPr>
          <w:rFonts w:ascii="Arial" w:hAnsi="Arial" w:cs="Arial"/>
          <w:color w:val="24292E"/>
          <w:sz w:val="22"/>
          <w:szCs w:val="22"/>
          <w:lang w:val="en-US"/>
        </w:rPr>
      </w:pPr>
      <w:r w:rsidRPr="008714F9">
        <w:rPr>
          <w:rFonts w:ascii="Arial" w:hAnsi="Arial" w:cs="Arial"/>
          <w:color w:val="24292E"/>
          <w:sz w:val="22"/>
          <w:szCs w:val="22"/>
          <w:lang w:val="en-US"/>
        </w:rPr>
        <w:t>The execution time cycle rules are followed by rules concerning the “[p]</w:t>
      </w:r>
      <w:proofErr w:type="spellStart"/>
      <w:r w:rsidRPr="008714F9">
        <w:rPr>
          <w:rFonts w:ascii="Arial" w:hAnsi="Arial" w:cs="Arial"/>
          <w:color w:val="24292E"/>
          <w:sz w:val="22"/>
          <w:szCs w:val="22"/>
          <w:lang w:val="en-US"/>
        </w:rPr>
        <w:t>rocessing</w:t>
      </w:r>
      <w:proofErr w:type="spellEnd"/>
      <w:r w:rsidRPr="008714F9">
        <w:rPr>
          <w:rFonts w:ascii="Arial" w:hAnsi="Arial" w:cs="Arial"/>
          <w:color w:val="24292E"/>
          <w:sz w:val="22"/>
          <w:szCs w:val="22"/>
          <w:lang w:val="en-US"/>
        </w:rPr>
        <w:t xml:space="preserve"> [f]low.” These are presented in the form of diagrams, which lay out the Processes that make up the SCT Scheme step-by-step. For the sake of brevity, this paper will only briefly summarize the </w:t>
      </w:r>
      <w:r w:rsidRPr="008714F9">
        <w:rPr>
          <w:rFonts w:ascii="Arial" w:hAnsi="Arial" w:cs="Arial"/>
          <w:b/>
          <w:bCs/>
          <w:color w:val="24292E"/>
          <w:sz w:val="22"/>
          <w:szCs w:val="22"/>
          <w:lang w:val="en-US"/>
        </w:rPr>
        <w:t>Credit Transfer Process (PR-01)</w:t>
      </w:r>
      <w:r w:rsidRPr="008714F9">
        <w:rPr>
          <w:rFonts w:ascii="Arial" w:hAnsi="Arial" w:cs="Arial"/>
          <w:color w:val="24292E"/>
          <w:sz w:val="22"/>
          <w:szCs w:val="22"/>
          <w:lang w:val="en-US"/>
        </w:rPr>
        <w:t>. When leaving out those steps that deal with Rejects and Returns, PR-01 defines the following Process steps:</w:t>
      </w:r>
    </w:p>
    <w:p w14:paraId="5F1EEDC5" w14:textId="77777777" w:rsidR="008714F9" w:rsidRPr="008714F9" w:rsidRDefault="008714F9" w:rsidP="008238EC">
      <w:pPr>
        <w:pStyle w:val="NormalWeb"/>
        <w:numPr>
          <w:ilvl w:val="0"/>
          <w:numId w:val="22"/>
        </w:numPr>
        <w:spacing w:before="0" w:beforeAutospacing="0" w:after="120" w:afterAutospacing="0" w:line="360" w:lineRule="auto"/>
        <w:ind w:left="714" w:hanging="357"/>
        <w:jc w:val="both"/>
        <w:rPr>
          <w:rFonts w:ascii="Arial" w:hAnsi="Arial" w:cs="Arial"/>
          <w:color w:val="24292E"/>
          <w:sz w:val="22"/>
          <w:szCs w:val="22"/>
          <w:lang w:val="en-US"/>
        </w:rPr>
      </w:pPr>
      <w:r w:rsidRPr="008714F9">
        <w:rPr>
          <w:rFonts w:ascii="Arial" w:hAnsi="Arial" w:cs="Arial"/>
          <w:b/>
          <w:bCs/>
          <w:color w:val="24292E"/>
          <w:sz w:val="22"/>
          <w:szCs w:val="22"/>
          <w:lang w:val="en-US"/>
        </w:rPr>
        <w:t>CT-01.01</w:t>
      </w:r>
      <w:r w:rsidRPr="008714F9">
        <w:rPr>
          <w:rFonts w:ascii="Arial" w:hAnsi="Arial" w:cs="Arial"/>
          <w:color w:val="24292E"/>
          <w:sz w:val="22"/>
          <w:szCs w:val="22"/>
          <w:lang w:val="en-US"/>
        </w:rPr>
        <w:t>: “The Originator completes and forwards the Credit Transfer Instruction.”</w:t>
      </w:r>
    </w:p>
    <w:p w14:paraId="40947615" w14:textId="77777777" w:rsidR="008714F9" w:rsidRPr="008714F9" w:rsidRDefault="008714F9" w:rsidP="008238EC">
      <w:pPr>
        <w:pStyle w:val="NormalWeb"/>
        <w:numPr>
          <w:ilvl w:val="0"/>
          <w:numId w:val="22"/>
        </w:numPr>
        <w:spacing w:before="0" w:beforeAutospacing="0" w:after="120" w:afterAutospacing="0" w:line="360" w:lineRule="auto"/>
        <w:ind w:left="714" w:hanging="357"/>
        <w:jc w:val="both"/>
        <w:rPr>
          <w:rFonts w:ascii="Arial" w:hAnsi="Arial" w:cs="Arial"/>
          <w:color w:val="24292E"/>
          <w:sz w:val="22"/>
          <w:szCs w:val="22"/>
          <w:lang w:val="en-US"/>
        </w:rPr>
      </w:pPr>
      <w:r w:rsidRPr="008714F9">
        <w:rPr>
          <w:rFonts w:ascii="Arial" w:hAnsi="Arial" w:cs="Arial"/>
          <w:b/>
          <w:bCs/>
          <w:color w:val="24292E"/>
          <w:sz w:val="22"/>
          <w:szCs w:val="22"/>
          <w:lang w:val="en-US"/>
        </w:rPr>
        <w:t>CT-01.02</w:t>
      </w:r>
      <w:r w:rsidRPr="008714F9">
        <w:rPr>
          <w:rFonts w:ascii="Arial" w:hAnsi="Arial" w:cs="Arial"/>
          <w:color w:val="24292E"/>
          <w:sz w:val="22"/>
          <w:szCs w:val="22"/>
          <w:lang w:val="en-US"/>
        </w:rPr>
        <w:t>: “The Originator Bank receives and checks” said Instruction.</w:t>
      </w:r>
    </w:p>
    <w:p w14:paraId="1A82E377" w14:textId="77777777" w:rsidR="008714F9" w:rsidRPr="008714F9" w:rsidRDefault="008714F9" w:rsidP="008238EC">
      <w:pPr>
        <w:pStyle w:val="NormalWeb"/>
        <w:numPr>
          <w:ilvl w:val="0"/>
          <w:numId w:val="22"/>
        </w:numPr>
        <w:spacing w:before="0" w:beforeAutospacing="0" w:after="120" w:afterAutospacing="0" w:line="360" w:lineRule="auto"/>
        <w:ind w:left="714" w:hanging="357"/>
        <w:jc w:val="both"/>
        <w:rPr>
          <w:rFonts w:ascii="Arial" w:hAnsi="Arial" w:cs="Arial"/>
          <w:color w:val="24292E"/>
          <w:sz w:val="22"/>
          <w:szCs w:val="22"/>
          <w:lang w:val="en-US"/>
        </w:rPr>
      </w:pPr>
      <w:r w:rsidRPr="008714F9">
        <w:rPr>
          <w:rFonts w:ascii="Arial" w:hAnsi="Arial" w:cs="Arial"/>
          <w:b/>
          <w:bCs/>
          <w:color w:val="24292E"/>
          <w:sz w:val="22"/>
          <w:szCs w:val="22"/>
          <w:lang w:val="en-US"/>
        </w:rPr>
        <w:t>CT-01.03</w:t>
      </w:r>
      <w:r w:rsidRPr="008714F9">
        <w:rPr>
          <w:rFonts w:ascii="Arial" w:hAnsi="Arial" w:cs="Arial"/>
          <w:color w:val="24292E"/>
          <w:sz w:val="22"/>
          <w:szCs w:val="22"/>
          <w:lang w:val="en-US"/>
        </w:rPr>
        <w:t>: The Originator Bank is described to debit the Originator’s account “[o]n or following D.” This is said to be followed by “the sending of the Credit Transfer Instruction to ensure receipt by the Beneficiary Bank via the selected CSM.”</w:t>
      </w:r>
    </w:p>
    <w:p w14:paraId="2A5D0BEC" w14:textId="77777777" w:rsidR="008714F9" w:rsidRPr="008714F9" w:rsidRDefault="008714F9" w:rsidP="009627A4">
      <w:pPr>
        <w:pStyle w:val="NormalWeb"/>
        <w:numPr>
          <w:ilvl w:val="0"/>
          <w:numId w:val="22"/>
        </w:numPr>
        <w:spacing w:before="0" w:beforeAutospacing="0" w:after="240" w:afterAutospacing="0" w:line="360" w:lineRule="auto"/>
        <w:jc w:val="both"/>
        <w:rPr>
          <w:rFonts w:ascii="Arial" w:hAnsi="Arial" w:cs="Arial"/>
          <w:color w:val="24292E"/>
          <w:sz w:val="22"/>
          <w:szCs w:val="22"/>
          <w:lang w:val="en-US"/>
        </w:rPr>
      </w:pPr>
      <w:r w:rsidRPr="008714F9">
        <w:rPr>
          <w:rFonts w:ascii="Arial" w:hAnsi="Arial" w:cs="Arial"/>
          <w:b/>
          <w:bCs/>
          <w:color w:val="24292E"/>
          <w:sz w:val="22"/>
          <w:szCs w:val="22"/>
          <w:lang w:val="en-US"/>
        </w:rPr>
        <w:t>CT-01.04</w:t>
      </w:r>
      <w:r w:rsidRPr="008714F9">
        <w:rPr>
          <w:rFonts w:ascii="Arial" w:hAnsi="Arial" w:cs="Arial"/>
          <w:color w:val="24292E"/>
          <w:sz w:val="22"/>
          <w:szCs w:val="22"/>
          <w:lang w:val="en-US"/>
        </w:rPr>
        <w:t>: The Beneficiary Bank is described to credit the Beneficiary’s account.</w:t>
      </w:r>
    </w:p>
    <w:p w14:paraId="70540384" w14:textId="3832F4F5" w:rsidR="008238EC" w:rsidRDefault="008714F9" w:rsidP="008238EC">
      <w:pPr>
        <w:pStyle w:val="NormalWeb"/>
        <w:spacing w:before="0" w:beforeAutospacing="0" w:after="240" w:afterAutospacing="0" w:line="360" w:lineRule="auto"/>
        <w:jc w:val="both"/>
        <w:rPr>
          <w:lang w:val="en-US"/>
        </w:rPr>
      </w:pPr>
      <w:r w:rsidRPr="008714F9">
        <w:rPr>
          <w:rFonts w:ascii="Arial" w:hAnsi="Arial" w:cs="Arial"/>
          <w:color w:val="24292E"/>
          <w:sz w:val="22"/>
          <w:szCs w:val="22"/>
          <w:lang w:val="en-US"/>
        </w:rPr>
        <w:lastRenderedPageBreak/>
        <w:t>As said, the SCT Rulebook describes many more Processes—covering exception handling, corner cases, etc.—in much greater detail. For the sake of brevity, these will not be described in this paper.</w:t>
      </w:r>
    </w:p>
    <w:p w14:paraId="119490E7" w14:textId="3ED79AA2" w:rsidR="008238EC" w:rsidRPr="000114C5" w:rsidRDefault="008238EC" w:rsidP="008238EC">
      <w:pPr>
        <w:pStyle w:val="Heading2"/>
        <w:rPr>
          <w:lang w:val="en-US"/>
        </w:rPr>
      </w:pPr>
      <w:bookmarkStart w:id="23" w:name="_Toc53958270"/>
      <w:r>
        <w:rPr>
          <w:lang w:val="en-US"/>
        </w:rPr>
        <w:t>SEPA Direct Debit</w:t>
      </w:r>
      <w:bookmarkEnd w:id="23"/>
    </w:p>
    <w:p w14:paraId="54CB847D" w14:textId="4AC6373C" w:rsidR="008238EC" w:rsidRPr="008238EC" w:rsidRDefault="008238EC" w:rsidP="008238EC">
      <w:pPr>
        <w:pStyle w:val="NormalWeb"/>
        <w:spacing w:before="240" w:beforeAutospacing="0" w:after="240" w:afterAutospacing="0" w:line="360" w:lineRule="auto"/>
        <w:jc w:val="both"/>
        <w:rPr>
          <w:rFonts w:ascii="Arial" w:hAnsi="Arial" w:cs="Arial"/>
          <w:color w:val="24292E"/>
          <w:sz w:val="22"/>
          <w:szCs w:val="22"/>
          <w:lang w:val="en-US"/>
        </w:rPr>
      </w:pPr>
      <w:r w:rsidRPr="008238EC">
        <w:rPr>
          <w:rFonts w:ascii="Arial" w:hAnsi="Arial" w:cs="Arial"/>
          <w:color w:val="24292E"/>
          <w:sz w:val="22"/>
          <w:szCs w:val="22"/>
          <w:lang w:val="en-US"/>
        </w:rPr>
        <w:t xml:space="preserve">This subsection introduces SDD, the SEPA payment instrument for </w:t>
      </w:r>
      <w:r w:rsidRPr="008238EC">
        <w:rPr>
          <w:rFonts w:ascii="Arial" w:hAnsi="Arial" w:cs="Arial"/>
          <w:b/>
          <w:bCs/>
          <w:color w:val="24292E"/>
          <w:sz w:val="22"/>
          <w:szCs w:val="22"/>
          <w:lang w:val="en-US"/>
        </w:rPr>
        <w:t>direct debits</w:t>
      </w:r>
      <w:r w:rsidRPr="008238EC">
        <w:rPr>
          <w:rFonts w:ascii="Arial" w:hAnsi="Arial" w:cs="Arial"/>
          <w:color w:val="24292E"/>
          <w:sz w:val="22"/>
          <w:szCs w:val="22"/>
          <w:lang w:val="en-US"/>
        </w:rPr>
        <w:t>. It is intended to provide an overview of the SDD Scheme’s vision, objectives and scope as well as of its operating rules. This subsection is based on version 1.1 of the “SEPA Direct Debit Core Scheme Rulebook” [</w:t>
      </w:r>
      <w:r w:rsidRPr="001F69B9">
        <w:rPr>
          <w:rFonts w:ascii="Arial" w:hAnsi="Arial" w:cs="Arial"/>
          <w:sz w:val="22"/>
          <w:szCs w:val="22"/>
          <w:lang w:val="en-US"/>
        </w:rPr>
        <w:t>11</w:t>
      </w:r>
      <w:r w:rsidRPr="008238EC">
        <w:rPr>
          <w:rFonts w:ascii="Arial" w:hAnsi="Arial" w:cs="Arial"/>
          <w:color w:val="24292E"/>
          <w:sz w:val="22"/>
          <w:szCs w:val="22"/>
          <w:lang w:val="en-US"/>
        </w:rPr>
        <w:t>], which was published by the EPC in March 2020.</w:t>
      </w:r>
    </w:p>
    <w:p w14:paraId="1EA69C6F" w14:textId="7080A1FB" w:rsidR="008238EC" w:rsidRPr="008238EC" w:rsidRDefault="008238EC" w:rsidP="008238EC">
      <w:pPr>
        <w:pStyle w:val="NormalWeb"/>
        <w:spacing w:before="0" w:beforeAutospacing="0" w:after="240" w:afterAutospacing="0" w:line="360" w:lineRule="auto"/>
        <w:jc w:val="both"/>
        <w:rPr>
          <w:rFonts w:ascii="Arial" w:hAnsi="Arial" w:cs="Arial"/>
          <w:color w:val="24292E"/>
          <w:sz w:val="22"/>
          <w:szCs w:val="22"/>
          <w:lang w:val="en-US"/>
        </w:rPr>
      </w:pPr>
      <w:r w:rsidRPr="008238EC">
        <w:rPr>
          <w:rFonts w:ascii="Arial" w:hAnsi="Arial" w:cs="Arial"/>
          <w:color w:val="24292E"/>
          <w:sz w:val="22"/>
          <w:szCs w:val="22"/>
          <w:lang w:val="en-US"/>
        </w:rPr>
        <w:t>What is laid out in the SDD Rulebook with regards to the SDD Scheme’s vision and objectives is largely identical to the respective passages of the SCT Rulebook, although reference is made to direct debits and not credit transfers, obviously. For instance, the SDD Scheme is described to provide “a set of inter-bank rules, practices and standards” as well, allowing “payment services providers in SEPA to offer a [...] basic [...] product”—a “direct debit product,” though. Automation and open standards are mentioned, too, as is the objective to overcome disparities between national and cross-border payments, i.e., direct debits, in this case. Expectedly, the “[s]</w:t>
      </w:r>
      <w:proofErr w:type="spellStart"/>
      <w:r w:rsidRPr="008238EC">
        <w:rPr>
          <w:rFonts w:ascii="Arial" w:hAnsi="Arial" w:cs="Arial"/>
          <w:color w:val="24292E"/>
          <w:sz w:val="22"/>
          <w:szCs w:val="22"/>
          <w:lang w:val="en-US"/>
        </w:rPr>
        <w:t>eparation</w:t>
      </w:r>
      <w:proofErr w:type="spellEnd"/>
      <w:r w:rsidRPr="008238EC">
        <w:rPr>
          <w:rFonts w:ascii="Arial" w:hAnsi="Arial" w:cs="Arial"/>
          <w:color w:val="24292E"/>
          <w:sz w:val="22"/>
          <w:szCs w:val="22"/>
          <w:lang w:val="en-US"/>
        </w:rPr>
        <w:t xml:space="preserve"> of the Scheme from [</w:t>
      </w:r>
      <w:proofErr w:type="spellStart"/>
      <w:r w:rsidRPr="008238EC">
        <w:rPr>
          <w:rFonts w:ascii="Arial" w:hAnsi="Arial" w:cs="Arial"/>
          <w:color w:val="24292E"/>
          <w:sz w:val="22"/>
          <w:szCs w:val="22"/>
          <w:lang w:val="en-US"/>
        </w:rPr>
        <w:t>i</w:t>
      </w:r>
      <w:proofErr w:type="spellEnd"/>
      <w:r w:rsidRPr="008238EC">
        <w:rPr>
          <w:rFonts w:ascii="Arial" w:hAnsi="Arial" w:cs="Arial"/>
          <w:color w:val="24292E"/>
          <w:sz w:val="22"/>
          <w:szCs w:val="22"/>
          <w:lang w:val="en-US"/>
        </w:rPr>
        <w:t>]</w:t>
      </w:r>
      <w:proofErr w:type="spellStart"/>
      <w:r w:rsidRPr="008238EC">
        <w:rPr>
          <w:rFonts w:ascii="Arial" w:hAnsi="Arial" w:cs="Arial"/>
          <w:color w:val="24292E"/>
          <w:sz w:val="22"/>
          <w:szCs w:val="22"/>
          <w:lang w:val="en-US"/>
        </w:rPr>
        <w:t>nfrastructure</w:t>
      </w:r>
      <w:proofErr w:type="spellEnd"/>
      <w:r w:rsidRPr="008238EC">
        <w:rPr>
          <w:rFonts w:ascii="Arial" w:hAnsi="Arial" w:cs="Arial"/>
          <w:color w:val="24292E"/>
          <w:sz w:val="22"/>
          <w:szCs w:val="22"/>
          <w:lang w:val="en-US"/>
        </w:rPr>
        <w:t>” is emphasized also.</w:t>
      </w:r>
    </w:p>
    <w:p w14:paraId="78CC0CD0" w14:textId="77777777" w:rsidR="008238EC" w:rsidRPr="008238EC" w:rsidRDefault="008238EC" w:rsidP="008238EC">
      <w:pPr>
        <w:pStyle w:val="NormalWeb"/>
        <w:spacing w:before="0" w:beforeAutospacing="0" w:after="240" w:afterAutospacing="0" w:line="360" w:lineRule="auto"/>
        <w:jc w:val="both"/>
        <w:rPr>
          <w:rFonts w:ascii="Arial" w:hAnsi="Arial" w:cs="Arial"/>
          <w:color w:val="24292E"/>
          <w:sz w:val="22"/>
          <w:szCs w:val="22"/>
          <w:lang w:val="en-US"/>
        </w:rPr>
      </w:pPr>
      <w:r w:rsidRPr="008238EC">
        <w:rPr>
          <w:rFonts w:ascii="Arial" w:hAnsi="Arial" w:cs="Arial"/>
          <w:color w:val="24292E"/>
          <w:sz w:val="22"/>
          <w:szCs w:val="22"/>
          <w:lang w:val="en-US"/>
        </w:rPr>
        <w:t xml:space="preserve">The SDD Scheme’s scope, as described in the SDD Rulebook, is, however, partly different from that of the SCT Scheme. Obviously, SDD is a different payment instrument altogether, i.e., one for “for making Collections in euro throughout SEPA from accounts designated to accept Collections.” “Transactions for the Collection of Funds from a Debtor’s account” are described to be “initiated by a Creditor via the Creditor Bank as agreed between Debtor and Creditor,” although it is emphasized that these “are separate transactions from the underlying contract on which they are based.” Transactions are, furthermore, described as being “based on an </w:t>
      </w:r>
      <w:proofErr w:type="spellStart"/>
      <w:r w:rsidRPr="008238EC">
        <w:rPr>
          <w:rFonts w:ascii="Arial" w:hAnsi="Arial" w:cs="Arial"/>
          <w:color w:val="24292E"/>
          <w:sz w:val="22"/>
          <w:szCs w:val="22"/>
          <w:lang w:val="en-US"/>
        </w:rPr>
        <w:t>authori</w:t>
      </w:r>
      <w:proofErr w:type="spellEnd"/>
      <w:r w:rsidRPr="008238EC">
        <w:rPr>
          <w:rFonts w:ascii="Arial" w:hAnsi="Arial" w:cs="Arial"/>
          <w:color w:val="24292E"/>
          <w:sz w:val="22"/>
          <w:szCs w:val="22"/>
          <w:lang w:val="en-US"/>
        </w:rPr>
        <w:t>[z]</w:t>
      </w:r>
      <w:proofErr w:type="spellStart"/>
      <w:r w:rsidRPr="008238EC">
        <w:rPr>
          <w:rFonts w:ascii="Arial" w:hAnsi="Arial" w:cs="Arial"/>
          <w:color w:val="24292E"/>
          <w:sz w:val="22"/>
          <w:szCs w:val="22"/>
          <w:lang w:val="en-US"/>
        </w:rPr>
        <w:t>ation</w:t>
      </w:r>
      <w:proofErr w:type="spellEnd"/>
      <w:r w:rsidRPr="008238EC">
        <w:rPr>
          <w:rFonts w:ascii="Arial" w:hAnsi="Arial" w:cs="Arial"/>
          <w:color w:val="24292E"/>
          <w:sz w:val="22"/>
          <w:szCs w:val="22"/>
          <w:lang w:val="en-US"/>
        </w:rPr>
        <w:t xml:space="preserve"> for the Creditor and the Debtor Bank given to the Creditor by the Debtor”—the </w:t>
      </w:r>
      <w:r w:rsidRPr="008238EC">
        <w:rPr>
          <w:rFonts w:ascii="Arial" w:hAnsi="Arial" w:cs="Arial"/>
          <w:b/>
          <w:bCs/>
          <w:color w:val="24292E"/>
          <w:sz w:val="22"/>
          <w:szCs w:val="22"/>
          <w:lang w:val="en-US"/>
        </w:rPr>
        <w:t>Mandate</w:t>
      </w:r>
      <w:r w:rsidRPr="008238EC">
        <w:rPr>
          <w:rFonts w:ascii="Arial" w:hAnsi="Arial" w:cs="Arial"/>
          <w:color w:val="24292E"/>
          <w:sz w:val="22"/>
          <w:szCs w:val="22"/>
          <w:lang w:val="en-US"/>
        </w:rPr>
        <w:t xml:space="preserve">. It is stipulated that both the Creditor’s and the Debtor’s account must be held “with a Participant located within SEPA.” There is, according to the SDD Rulebook, “no difference in the legal nature” between “recurrent and one-off Collections,” and Debtors are said to be given “full discretion [...] to accept or refuse a Mandate.” The rest of what is described regarding the SDD Scheme’s scope is largely </w:t>
      </w:r>
      <w:proofErr w:type="gramStart"/>
      <w:r w:rsidRPr="008238EC">
        <w:rPr>
          <w:rFonts w:ascii="Arial" w:hAnsi="Arial" w:cs="Arial"/>
          <w:color w:val="24292E"/>
          <w:sz w:val="22"/>
          <w:szCs w:val="22"/>
          <w:lang w:val="en-US"/>
        </w:rPr>
        <w:t>similar to</w:t>
      </w:r>
      <w:proofErr w:type="gramEnd"/>
      <w:r w:rsidRPr="008238EC">
        <w:rPr>
          <w:rFonts w:ascii="Arial" w:hAnsi="Arial" w:cs="Arial"/>
          <w:color w:val="24292E"/>
          <w:sz w:val="22"/>
          <w:szCs w:val="22"/>
          <w:lang w:val="en-US"/>
        </w:rPr>
        <w:t xml:space="preserve"> what has been stated with regards to the SCT Scheme. For instance, it is also pointed out that </w:t>
      </w:r>
      <w:r w:rsidRPr="008238EC">
        <w:rPr>
          <w:rFonts w:ascii="Arial" w:hAnsi="Arial" w:cs="Arial"/>
          <w:color w:val="24292E"/>
          <w:sz w:val="22"/>
          <w:szCs w:val="22"/>
          <w:lang w:val="en-US"/>
        </w:rPr>
        <w:lastRenderedPageBreak/>
        <w:t>“room for competition between Participants” is left as the latter are allowed to “develop their own products and offer AOS.”</w:t>
      </w:r>
    </w:p>
    <w:p w14:paraId="47147422" w14:textId="77777777" w:rsidR="008238EC" w:rsidRPr="008238EC" w:rsidRDefault="008238EC" w:rsidP="008238EC">
      <w:pPr>
        <w:pStyle w:val="NormalWeb"/>
        <w:spacing w:before="0" w:beforeAutospacing="0" w:after="240" w:afterAutospacing="0" w:line="360" w:lineRule="auto"/>
        <w:jc w:val="both"/>
        <w:rPr>
          <w:rFonts w:ascii="Arial" w:hAnsi="Arial" w:cs="Arial"/>
          <w:color w:val="24292E"/>
          <w:sz w:val="22"/>
          <w:szCs w:val="22"/>
          <w:lang w:val="en-US"/>
        </w:rPr>
      </w:pPr>
      <w:r w:rsidRPr="008238EC">
        <w:rPr>
          <w:rFonts w:ascii="Arial" w:hAnsi="Arial" w:cs="Arial"/>
          <w:color w:val="24292E"/>
          <w:sz w:val="22"/>
          <w:szCs w:val="22"/>
          <w:lang w:val="en-US"/>
        </w:rPr>
        <w:t>The SDD Rulebook names four “main actors” that are involved in “[t]he execution of a SEPA Direct Debit payment”:</w:t>
      </w:r>
    </w:p>
    <w:p w14:paraId="76B81DD5" w14:textId="77777777" w:rsidR="008238EC" w:rsidRPr="008238EC" w:rsidRDefault="008238EC" w:rsidP="008238EC">
      <w:pPr>
        <w:pStyle w:val="NormalWeb"/>
        <w:numPr>
          <w:ilvl w:val="0"/>
          <w:numId w:val="23"/>
        </w:numPr>
        <w:spacing w:before="0" w:beforeAutospacing="0" w:after="120" w:afterAutospacing="0" w:line="360" w:lineRule="auto"/>
        <w:ind w:left="714" w:hanging="357"/>
        <w:jc w:val="both"/>
        <w:rPr>
          <w:rFonts w:ascii="Arial" w:hAnsi="Arial" w:cs="Arial"/>
          <w:color w:val="24292E"/>
          <w:sz w:val="22"/>
          <w:szCs w:val="22"/>
          <w:lang w:val="en-US"/>
        </w:rPr>
      </w:pPr>
      <w:r w:rsidRPr="008238EC">
        <w:rPr>
          <w:rFonts w:ascii="Arial" w:hAnsi="Arial" w:cs="Arial"/>
          <w:color w:val="24292E"/>
          <w:sz w:val="22"/>
          <w:szCs w:val="22"/>
          <w:lang w:val="en-US"/>
        </w:rPr>
        <w:t xml:space="preserve">The </w:t>
      </w:r>
      <w:r w:rsidRPr="008238EC">
        <w:rPr>
          <w:rFonts w:ascii="Arial" w:hAnsi="Arial" w:cs="Arial"/>
          <w:b/>
          <w:bCs/>
          <w:color w:val="24292E"/>
          <w:sz w:val="22"/>
          <w:szCs w:val="22"/>
          <w:lang w:val="en-US"/>
        </w:rPr>
        <w:t>Creditor</w:t>
      </w:r>
      <w:r w:rsidRPr="008238EC">
        <w:rPr>
          <w:rFonts w:ascii="Arial" w:hAnsi="Arial" w:cs="Arial"/>
          <w:color w:val="24292E"/>
          <w:sz w:val="22"/>
          <w:szCs w:val="22"/>
          <w:lang w:val="en-US"/>
        </w:rPr>
        <w:t xml:space="preserve"> is described to receive and store “the Mandate from the Debtor to initiate Collections.” The Mandate is considered the “basis” for the Creditor’s collection of the “direct debits.”</w:t>
      </w:r>
    </w:p>
    <w:p w14:paraId="105D5A49" w14:textId="77777777" w:rsidR="008238EC" w:rsidRPr="008238EC" w:rsidRDefault="008238EC" w:rsidP="008238EC">
      <w:pPr>
        <w:pStyle w:val="NormalWeb"/>
        <w:numPr>
          <w:ilvl w:val="0"/>
          <w:numId w:val="23"/>
        </w:numPr>
        <w:spacing w:before="0" w:beforeAutospacing="0" w:after="120" w:afterAutospacing="0" w:line="360" w:lineRule="auto"/>
        <w:ind w:left="714" w:hanging="357"/>
        <w:jc w:val="both"/>
        <w:rPr>
          <w:rFonts w:ascii="Arial" w:hAnsi="Arial" w:cs="Arial"/>
          <w:color w:val="24292E"/>
          <w:sz w:val="22"/>
          <w:szCs w:val="22"/>
          <w:lang w:val="en-US"/>
        </w:rPr>
      </w:pPr>
      <w:r w:rsidRPr="008238EC">
        <w:rPr>
          <w:rFonts w:ascii="Arial" w:hAnsi="Arial" w:cs="Arial"/>
          <w:color w:val="24292E"/>
          <w:sz w:val="22"/>
          <w:szCs w:val="22"/>
          <w:lang w:val="en-US"/>
        </w:rPr>
        <w:t xml:space="preserve">The </w:t>
      </w:r>
      <w:r w:rsidRPr="008238EC">
        <w:rPr>
          <w:rFonts w:ascii="Arial" w:hAnsi="Arial" w:cs="Arial"/>
          <w:b/>
          <w:bCs/>
          <w:color w:val="24292E"/>
          <w:sz w:val="22"/>
          <w:szCs w:val="22"/>
          <w:lang w:val="en-US"/>
        </w:rPr>
        <w:t>Creditor Bank</w:t>
      </w:r>
      <w:r w:rsidRPr="008238EC">
        <w:rPr>
          <w:rFonts w:ascii="Arial" w:hAnsi="Arial" w:cs="Arial"/>
          <w:color w:val="24292E"/>
          <w:sz w:val="22"/>
          <w:szCs w:val="22"/>
          <w:lang w:val="en-US"/>
        </w:rPr>
        <w:t xml:space="preserve"> “is [...] where the Creditor’s account is held.” It is stated that an “agreement” between the Creditor and the Creditor Bank with regards to “a product based on the Scheme” has been “concluded.” Based on the agreement, the Creditor Bank “receives and executes instructions from the Creditor to initiate the Direct Debit Transaction by forwarding the Collection instructions to the Debtor Bank.”</w:t>
      </w:r>
    </w:p>
    <w:p w14:paraId="685D5731" w14:textId="2105B1CD" w:rsidR="008238EC" w:rsidRPr="008238EC" w:rsidRDefault="008238EC" w:rsidP="008238EC">
      <w:pPr>
        <w:pStyle w:val="NormalWeb"/>
        <w:numPr>
          <w:ilvl w:val="0"/>
          <w:numId w:val="23"/>
        </w:numPr>
        <w:spacing w:before="0" w:beforeAutospacing="0" w:after="120" w:afterAutospacing="0" w:line="360" w:lineRule="auto"/>
        <w:ind w:left="714" w:hanging="357"/>
        <w:jc w:val="both"/>
        <w:rPr>
          <w:rFonts w:ascii="Arial" w:hAnsi="Arial" w:cs="Arial"/>
          <w:color w:val="24292E"/>
          <w:sz w:val="22"/>
          <w:szCs w:val="22"/>
          <w:lang w:val="en-US"/>
        </w:rPr>
      </w:pPr>
      <w:r w:rsidRPr="008238EC">
        <w:rPr>
          <w:rFonts w:ascii="Arial" w:hAnsi="Arial" w:cs="Arial"/>
          <w:color w:val="24292E"/>
          <w:sz w:val="22"/>
          <w:szCs w:val="22"/>
          <w:lang w:val="en-US"/>
        </w:rPr>
        <w:t xml:space="preserve">The </w:t>
      </w:r>
      <w:r w:rsidRPr="008238EC">
        <w:rPr>
          <w:rFonts w:ascii="Arial" w:hAnsi="Arial" w:cs="Arial"/>
          <w:b/>
          <w:bCs/>
          <w:color w:val="24292E"/>
          <w:sz w:val="22"/>
          <w:szCs w:val="22"/>
          <w:lang w:val="en-US"/>
        </w:rPr>
        <w:t>Debtor Bank</w:t>
      </w:r>
      <w:r w:rsidRPr="008238EC">
        <w:rPr>
          <w:rFonts w:ascii="Arial" w:hAnsi="Arial" w:cs="Arial"/>
          <w:color w:val="24292E"/>
          <w:sz w:val="22"/>
          <w:szCs w:val="22"/>
          <w:lang w:val="en-US"/>
        </w:rPr>
        <w:t xml:space="preserve"> “is [...] where the account to be debited is held.” Analog</w:t>
      </w:r>
      <w:r w:rsidR="003E68D1">
        <w:rPr>
          <w:rFonts w:ascii="Arial" w:hAnsi="Arial" w:cs="Arial"/>
          <w:color w:val="24292E"/>
          <w:sz w:val="22"/>
          <w:szCs w:val="22"/>
          <w:lang w:val="en-US"/>
        </w:rPr>
        <w:t>ou</w:t>
      </w:r>
      <w:r w:rsidRPr="008238EC">
        <w:rPr>
          <w:rFonts w:ascii="Arial" w:hAnsi="Arial" w:cs="Arial"/>
          <w:color w:val="24292E"/>
          <w:sz w:val="22"/>
          <w:szCs w:val="22"/>
          <w:lang w:val="en-US"/>
        </w:rPr>
        <w:t>sly to the relationship between the Creditor and the Creditor Bank, it is stated that an “agreement” between the Debtor and the Debtor Bank with regards to “a product based on the Scheme” has been “concluded.” Based on the agreement, the Debtor Bank “executes each Collection of the direct debit originated by the Creditor by debiting the Debtor’s account.”</w:t>
      </w:r>
    </w:p>
    <w:p w14:paraId="5FE6E73D" w14:textId="77777777" w:rsidR="008238EC" w:rsidRPr="008238EC" w:rsidRDefault="008238EC" w:rsidP="008238EC">
      <w:pPr>
        <w:pStyle w:val="NormalWeb"/>
        <w:numPr>
          <w:ilvl w:val="0"/>
          <w:numId w:val="23"/>
        </w:numPr>
        <w:spacing w:before="0" w:beforeAutospacing="0" w:after="240" w:afterAutospacing="0" w:line="360" w:lineRule="auto"/>
        <w:jc w:val="both"/>
        <w:rPr>
          <w:rFonts w:ascii="Arial" w:hAnsi="Arial" w:cs="Arial"/>
          <w:color w:val="24292E"/>
          <w:sz w:val="22"/>
          <w:szCs w:val="22"/>
          <w:lang w:val="en-US"/>
        </w:rPr>
      </w:pPr>
      <w:r w:rsidRPr="008238EC">
        <w:rPr>
          <w:rFonts w:ascii="Arial" w:hAnsi="Arial" w:cs="Arial"/>
          <w:color w:val="24292E"/>
          <w:sz w:val="22"/>
          <w:szCs w:val="22"/>
          <w:lang w:val="en-US"/>
        </w:rPr>
        <w:t xml:space="preserve">The </w:t>
      </w:r>
      <w:r w:rsidRPr="008238EC">
        <w:rPr>
          <w:rFonts w:ascii="Arial" w:hAnsi="Arial" w:cs="Arial"/>
          <w:b/>
          <w:bCs/>
          <w:color w:val="24292E"/>
          <w:sz w:val="22"/>
          <w:szCs w:val="22"/>
          <w:lang w:val="en-US"/>
        </w:rPr>
        <w:t>Debtor</w:t>
      </w:r>
      <w:r w:rsidRPr="008238EC">
        <w:rPr>
          <w:rFonts w:ascii="Arial" w:hAnsi="Arial" w:cs="Arial"/>
          <w:color w:val="24292E"/>
          <w:sz w:val="22"/>
          <w:szCs w:val="22"/>
          <w:lang w:val="en-US"/>
        </w:rPr>
        <w:t xml:space="preserve"> is described to give “the Mandate to the Creditor to initiate Collections.” It is stressed that</w:t>
      </w:r>
      <w:proofErr w:type="gramStart"/>
      <w:r w:rsidRPr="008238EC">
        <w:rPr>
          <w:rFonts w:ascii="Arial" w:hAnsi="Arial" w:cs="Arial"/>
          <w:color w:val="24292E"/>
          <w:sz w:val="22"/>
          <w:szCs w:val="22"/>
          <w:lang w:val="en-US"/>
        </w:rPr>
        <w:t>—“</w:t>
      </w:r>
      <w:proofErr w:type="gramEnd"/>
      <w:r w:rsidRPr="008238EC">
        <w:rPr>
          <w:rFonts w:ascii="Arial" w:hAnsi="Arial" w:cs="Arial"/>
          <w:color w:val="24292E"/>
          <w:sz w:val="22"/>
          <w:szCs w:val="22"/>
          <w:lang w:val="en-US"/>
        </w:rPr>
        <w:t>[b]y definition”—“the Debtor is always the holder of the account to be debited.”</w:t>
      </w:r>
    </w:p>
    <w:p w14:paraId="3841F357" w14:textId="77777777" w:rsidR="008238EC" w:rsidRPr="008238EC" w:rsidRDefault="008238EC" w:rsidP="008238EC">
      <w:pPr>
        <w:pStyle w:val="NormalWeb"/>
        <w:spacing w:before="0" w:beforeAutospacing="0" w:after="240" w:afterAutospacing="0" w:line="360" w:lineRule="auto"/>
        <w:jc w:val="both"/>
        <w:rPr>
          <w:rFonts w:ascii="Arial" w:hAnsi="Arial" w:cs="Arial"/>
          <w:color w:val="24292E"/>
          <w:sz w:val="22"/>
          <w:szCs w:val="22"/>
          <w:lang w:val="en-US"/>
        </w:rPr>
      </w:pPr>
      <w:r w:rsidRPr="008238EC">
        <w:rPr>
          <w:rFonts w:ascii="Arial" w:hAnsi="Arial" w:cs="Arial"/>
          <w:color w:val="24292E"/>
          <w:sz w:val="22"/>
          <w:szCs w:val="22"/>
          <w:lang w:val="en-US"/>
        </w:rPr>
        <w:t>Although not expressed explicitly, it can be assumed that the Debtor Bank and the Creditor Bank may be the same participant. Furthermore, it is noted that there are “other parties” that are involved “indirectly,” i.e., CSMs and intermediary banks.</w:t>
      </w:r>
    </w:p>
    <w:p w14:paraId="06864204" w14:textId="7357AC6C" w:rsidR="008238EC" w:rsidRDefault="008238EC" w:rsidP="008238EC">
      <w:pPr>
        <w:pStyle w:val="NormalWeb"/>
        <w:spacing w:before="0" w:beforeAutospacing="0" w:after="240" w:afterAutospacing="0" w:line="360" w:lineRule="auto"/>
        <w:jc w:val="both"/>
        <w:rPr>
          <w:rFonts w:ascii="Arial" w:hAnsi="Arial" w:cs="Arial"/>
          <w:color w:val="24292E"/>
          <w:sz w:val="22"/>
          <w:szCs w:val="22"/>
          <w:lang w:val="en-US"/>
        </w:rPr>
      </w:pPr>
      <w:r w:rsidRPr="008238EC">
        <w:rPr>
          <w:rFonts w:ascii="Arial" w:hAnsi="Arial" w:cs="Arial"/>
          <w:color w:val="24292E"/>
          <w:sz w:val="22"/>
          <w:szCs w:val="22"/>
          <w:lang w:val="en-US"/>
        </w:rPr>
        <w:t>Analogously to SCT, the SDD Rulebook “gives an overview of the contractual relationships and interaction” between the main actors by presenting a four-corner model: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3"/>
      </w:tblGrid>
      <w:tr w:rsidR="00A461BF" w:rsidRPr="00935254" w14:paraId="15D4BE70" w14:textId="77777777" w:rsidTr="00AD259D">
        <w:trPr>
          <w:cantSplit/>
          <w:jc w:val="center"/>
        </w:trPr>
        <w:tc>
          <w:tcPr>
            <w:tcW w:w="7923" w:type="dxa"/>
            <w:hideMark/>
          </w:tcPr>
          <w:p w14:paraId="5828D033" w14:textId="77777777" w:rsidR="00A461BF" w:rsidRPr="008238EC" w:rsidRDefault="00A461BF" w:rsidP="00A461BF">
            <w:pPr>
              <w:pStyle w:val="HTMLPreformatted"/>
              <w:spacing w:after="0"/>
              <w:jc w:val="both"/>
              <w:rPr>
                <w:rFonts w:ascii="Menlo" w:hAnsi="Menlo" w:cs="Menlo"/>
                <w:noProof/>
                <w:color w:val="24292E"/>
                <w:sz w:val="16"/>
                <w:szCs w:val="16"/>
                <w:bdr w:val="none" w:sz="0" w:space="0" w:color="auto" w:frame="1"/>
                <w:lang w:val="en-US"/>
              </w:rPr>
            </w:pPr>
            <w:r w:rsidRPr="008238EC">
              <w:rPr>
                <w:rFonts w:ascii="Menlo" w:hAnsi="Menlo" w:cs="Menlo"/>
                <w:noProof/>
                <w:color w:val="24292E"/>
                <w:sz w:val="16"/>
                <w:szCs w:val="16"/>
                <w:bdr w:val="none" w:sz="0" w:space="0" w:color="auto" w:frame="1"/>
                <w:lang w:val="en-US"/>
              </w:rPr>
              <w:lastRenderedPageBreak/>
              <w:t xml:space="preserve">        ┌─────────────┐                                 ┌─────────────┐         </w:t>
            </w:r>
          </w:p>
          <w:p w14:paraId="30C81CAE" w14:textId="77777777" w:rsidR="00A461BF" w:rsidRPr="008238EC" w:rsidRDefault="00A461BF" w:rsidP="00A461BF">
            <w:pPr>
              <w:pStyle w:val="HTMLPreformatted"/>
              <w:spacing w:after="0"/>
              <w:jc w:val="both"/>
              <w:rPr>
                <w:rFonts w:ascii="Menlo" w:hAnsi="Menlo" w:cs="Menlo"/>
                <w:noProof/>
                <w:color w:val="24292E"/>
                <w:sz w:val="16"/>
                <w:szCs w:val="16"/>
                <w:bdr w:val="none" w:sz="0" w:space="0" w:color="auto" w:frame="1"/>
                <w:lang w:val="en-US"/>
              </w:rPr>
            </w:pPr>
            <w:r w:rsidRPr="008238EC">
              <w:rPr>
                <w:rFonts w:ascii="Menlo" w:hAnsi="Menlo" w:cs="Menlo"/>
                <w:noProof/>
                <w:color w:val="24292E"/>
                <w:sz w:val="16"/>
                <w:szCs w:val="16"/>
                <w:bdr w:val="none" w:sz="0" w:space="0" w:color="auto" w:frame="1"/>
                <w:lang w:val="en-US"/>
              </w:rPr>
              <w:t xml:space="preserve">        │   Debtor    │─────────────── 2 ───────────────│  Creditor   │         </w:t>
            </w:r>
          </w:p>
          <w:p w14:paraId="0801051F" w14:textId="77777777" w:rsidR="00A461BF" w:rsidRPr="008238EC" w:rsidRDefault="00A461BF" w:rsidP="00A461BF">
            <w:pPr>
              <w:pStyle w:val="HTMLPreformatted"/>
              <w:spacing w:after="0"/>
              <w:jc w:val="both"/>
              <w:rPr>
                <w:rFonts w:ascii="Menlo" w:hAnsi="Menlo" w:cs="Menlo"/>
                <w:noProof/>
                <w:color w:val="24292E"/>
                <w:sz w:val="16"/>
                <w:szCs w:val="16"/>
                <w:bdr w:val="none" w:sz="0" w:space="0" w:color="auto" w:frame="1"/>
                <w:lang w:val="en-US"/>
              </w:rPr>
            </w:pPr>
            <w:r w:rsidRPr="008238EC">
              <w:rPr>
                <w:rFonts w:ascii="Menlo" w:hAnsi="Menlo" w:cs="Menlo"/>
                <w:noProof/>
                <w:color w:val="24292E"/>
                <w:sz w:val="16"/>
                <w:szCs w:val="16"/>
                <w:bdr w:val="none" w:sz="0" w:space="0" w:color="auto" w:frame="1"/>
                <w:lang w:val="en-US"/>
              </w:rPr>
              <w:t xml:space="preserve">        │             │                                 │             │         </w:t>
            </w:r>
          </w:p>
          <w:p w14:paraId="2A2E3BCC" w14:textId="77777777" w:rsidR="00A461BF" w:rsidRPr="008238EC" w:rsidRDefault="00A461BF" w:rsidP="00A461BF">
            <w:pPr>
              <w:pStyle w:val="HTMLPreformatted"/>
              <w:spacing w:after="0"/>
              <w:jc w:val="both"/>
              <w:rPr>
                <w:rFonts w:ascii="Menlo" w:hAnsi="Menlo" w:cs="Menlo"/>
                <w:noProof/>
                <w:color w:val="24292E"/>
                <w:sz w:val="16"/>
                <w:szCs w:val="16"/>
                <w:bdr w:val="none" w:sz="0" w:space="0" w:color="auto" w:frame="1"/>
                <w:lang w:val="en-US"/>
              </w:rPr>
            </w:pPr>
            <w:r w:rsidRPr="008238EC">
              <w:rPr>
                <w:rFonts w:ascii="Menlo" w:hAnsi="Menlo" w:cs="Menlo"/>
                <w:noProof/>
                <w:color w:val="24292E"/>
                <w:sz w:val="16"/>
                <w:szCs w:val="16"/>
                <w:bdr w:val="none" w:sz="0" w:space="0" w:color="auto" w:frame="1"/>
                <w:lang w:val="en-US"/>
              </w:rPr>
              <w:t xml:space="preserve">        └─────────────┘                                 └─────────────┘         </w:t>
            </w:r>
          </w:p>
          <w:p w14:paraId="4AB8CA2A" w14:textId="77777777" w:rsidR="00A461BF" w:rsidRPr="008238EC" w:rsidRDefault="00A461BF" w:rsidP="00A461BF">
            <w:pPr>
              <w:pStyle w:val="HTMLPreformatted"/>
              <w:spacing w:after="0"/>
              <w:jc w:val="both"/>
              <w:rPr>
                <w:rFonts w:ascii="Menlo" w:hAnsi="Menlo" w:cs="Menlo"/>
                <w:noProof/>
                <w:color w:val="24292E"/>
                <w:sz w:val="16"/>
                <w:szCs w:val="16"/>
                <w:bdr w:val="none" w:sz="0" w:space="0" w:color="auto" w:frame="1"/>
                <w:lang w:val="en-US"/>
              </w:rPr>
            </w:pPr>
            <w:r w:rsidRPr="008238EC">
              <w:rPr>
                <w:rFonts w:ascii="Menlo" w:hAnsi="Menlo" w:cs="Menlo"/>
                <w:noProof/>
                <w:color w:val="24292E"/>
                <w:sz w:val="16"/>
                <w:szCs w:val="16"/>
                <w:bdr w:val="none" w:sz="0" w:space="0" w:color="auto" w:frame="1"/>
                <w:lang w:val="en-US"/>
              </w:rPr>
              <w:t xml:space="preserve">               │                                               │                </w:t>
            </w:r>
          </w:p>
          <w:p w14:paraId="2E308AEB" w14:textId="77777777" w:rsidR="00A461BF" w:rsidRPr="008238EC" w:rsidRDefault="00A461BF" w:rsidP="00A461BF">
            <w:pPr>
              <w:pStyle w:val="HTMLPreformatted"/>
              <w:spacing w:after="0"/>
              <w:jc w:val="both"/>
              <w:rPr>
                <w:rFonts w:ascii="Menlo" w:hAnsi="Menlo" w:cs="Menlo"/>
                <w:noProof/>
                <w:color w:val="24292E"/>
                <w:sz w:val="16"/>
                <w:szCs w:val="16"/>
                <w:bdr w:val="none" w:sz="0" w:space="0" w:color="auto" w:frame="1"/>
                <w:lang w:val="en-US"/>
              </w:rPr>
            </w:pPr>
            <w:r w:rsidRPr="008238EC">
              <w:rPr>
                <w:rFonts w:ascii="Menlo" w:hAnsi="Menlo" w:cs="Menlo"/>
                <w:noProof/>
                <w:color w:val="24292E"/>
                <w:sz w:val="16"/>
                <w:szCs w:val="16"/>
                <w:bdr w:val="none" w:sz="0" w:space="0" w:color="auto" w:frame="1"/>
                <w:lang w:val="en-US"/>
              </w:rPr>
              <w:t xml:space="preserve">               3                ┌─────────────┐                4                </w:t>
            </w:r>
          </w:p>
          <w:p w14:paraId="174E3529" w14:textId="77777777" w:rsidR="00A461BF" w:rsidRPr="008238EC" w:rsidRDefault="00A461BF" w:rsidP="00A461BF">
            <w:pPr>
              <w:pStyle w:val="HTMLPreformatted"/>
              <w:spacing w:after="0"/>
              <w:jc w:val="both"/>
              <w:rPr>
                <w:rFonts w:ascii="Menlo" w:hAnsi="Menlo" w:cs="Menlo"/>
                <w:noProof/>
                <w:color w:val="24292E"/>
                <w:sz w:val="16"/>
                <w:szCs w:val="16"/>
                <w:bdr w:val="none" w:sz="0" w:space="0" w:color="auto" w:frame="1"/>
                <w:lang w:val="en-US"/>
              </w:rPr>
            </w:pPr>
            <w:r w:rsidRPr="008238EC">
              <w:rPr>
                <w:rFonts w:ascii="Menlo" w:hAnsi="Menlo" w:cs="Menlo"/>
                <w:noProof/>
                <w:color w:val="24292E"/>
                <w:sz w:val="16"/>
                <w:szCs w:val="16"/>
                <w:bdr w:val="none" w:sz="0" w:space="0" w:color="auto" w:frame="1"/>
                <w:lang w:val="en-US"/>
              </w:rPr>
              <w:t xml:space="preserve">               │                │    CSMs     │                │                </w:t>
            </w:r>
          </w:p>
          <w:p w14:paraId="2E5A2CEE" w14:textId="77777777" w:rsidR="00A461BF" w:rsidRPr="008238EC" w:rsidRDefault="00A461BF" w:rsidP="00A461BF">
            <w:pPr>
              <w:pStyle w:val="HTMLPreformatted"/>
              <w:spacing w:after="0"/>
              <w:jc w:val="both"/>
              <w:rPr>
                <w:rFonts w:ascii="Menlo" w:hAnsi="Menlo" w:cs="Menlo"/>
                <w:noProof/>
                <w:color w:val="24292E"/>
                <w:sz w:val="16"/>
                <w:szCs w:val="16"/>
                <w:bdr w:val="none" w:sz="0" w:space="0" w:color="auto" w:frame="1"/>
                <w:lang w:val="en-US"/>
              </w:rPr>
            </w:pPr>
            <w:r w:rsidRPr="008238EC">
              <w:rPr>
                <w:rFonts w:ascii="Menlo" w:hAnsi="Menlo" w:cs="Menlo"/>
                <w:noProof/>
                <w:color w:val="24292E"/>
                <w:sz w:val="16"/>
                <w:szCs w:val="16"/>
                <w:bdr w:val="none" w:sz="0" w:space="0" w:color="auto" w:frame="1"/>
                <w:lang w:val="en-US"/>
              </w:rPr>
              <w:t xml:space="preserve">        ┌─────────────┐    ┌────│             │────┐    ┌─────────────┐         </w:t>
            </w:r>
          </w:p>
          <w:p w14:paraId="547A616E" w14:textId="77777777" w:rsidR="00A461BF" w:rsidRPr="008238EC" w:rsidRDefault="00A461BF" w:rsidP="00A461BF">
            <w:pPr>
              <w:pStyle w:val="HTMLPreformatted"/>
              <w:spacing w:after="0"/>
              <w:jc w:val="both"/>
              <w:rPr>
                <w:rFonts w:ascii="Menlo" w:hAnsi="Menlo" w:cs="Menlo"/>
                <w:noProof/>
                <w:color w:val="24292E"/>
                <w:sz w:val="16"/>
                <w:szCs w:val="16"/>
                <w:bdr w:val="none" w:sz="0" w:space="0" w:color="auto" w:frame="1"/>
                <w:lang w:val="en-US"/>
              </w:rPr>
            </w:pPr>
            <w:r w:rsidRPr="008238EC">
              <w:rPr>
                <w:rFonts w:ascii="Menlo" w:hAnsi="Menlo" w:cs="Menlo"/>
                <w:noProof/>
                <w:color w:val="24292E"/>
                <w:sz w:val="16"/>
                <w:szCs w:val="16"/>
                <w:bdr w:val="none" w:sz="0" w:space="0" w:color="auto" w:frame="1"/>
                <w:lang w:val="en-US"/>
              </w:rPr>
              <w:t xml:space="preserve">        │   Debtor    │    5    └─────────────┘    5    │  Creditor   │         </w:t>
            </w:r>
          </w:p>
          <w:p w14:paraId="75F890EC" w14:textId="77777777" w:rsidR="00A461BF" w:rsidRPr="008238EC" w:rsidRDefault="00A461BF" w:rsidP="00A461BF">
            <w:pPr>
              <w:pStyle w:val="HTMLPreformatted"/>
              <w:spacing w:after="0"/>
              <w:jc w:val="both"/>
              <w:rPr>
                <w:rFonts w:ascii="Menlo" w:hAnsi="Menlo" w:cs="Menlo"/>
                <w:noProof/>
                <w:color w:val="24292E"/>
                <w:sz w:val="16"/>
                <w:szCs w:val="16"/>
                <w:bdr w:val="none" w:sz="0" w:space="0" w:color="auto" w:frame="1"/>
                <w:lang w:val="en-US"/>
              </w:rPr>
            </w:pPr>
            <w:r w:rsidRPr="008238EC">
              <w:rPr>
                <w:rFonts w:ascii="Menlo" w:hAnsi="Menlo" w:cs="Menlo"/>
                <w:noProof/>
                <w:color w:val="24292E"/>
                <w:sz w:val="16"/>
                <w:szCs w:val="16"/>
                <w:bdr w:val="none" w:sz="0" w:space="0" w:color="auto" w:frame="1"/>
                <w:lang w:val="en-US"/>
              </w:rPr>
              <w:t xml:space="preserve">        │    Bank     │────┘                       └────│    Bank     │         </w:t>
            </w:r>
          </w:p>
          <w:p w14:paraId="5BDCB760" w14:textId="77777777" w:rsidR="00A461BF" w:rsidRPr="008238EC" w:rsidRDefault="00A461BF" w:rsidP="00A461BF">
            <w:pPr>
              <w:pStyle w:val="HTMLPreformatted"/>
              <w:spacing w:after="0"/>
              <w:jc w:val="both"/>
              <w:rPr>
                <w:rFonts w:ascii="Menlo" w:hAnsi="Menlo" w:cs="Menlo"/>
                <w:noProof/>
                <w:color w:val="24292E"/>
                <w:sz w:val="16"/>
                <w:szCs w:val="16"/>
                <w:bdr w:val="none" w:sz="0" w:space="0" w:color="auto" w:frame="1"/>
                <w:lang w:val="en-US"/>
              </w:rPr>
            </w:pPr>
            <w:r w:rsidRPr="008238EC">
              <w:rPr>
                <w:rFonts w:ascii="Menlo" w:hAnsi="Menlo" w:cs="Menlo"/>
                <w:noProof/>
                <w:color w:val="24292E"/>
                <w:sz w:val="16"/>
                <w:szCs w:val="16"/>
                <w:bdr w:val="none" w:sz="0" w:space="0" w:color="auto" w:frame="1"/>
                <w:lang w:val="en-US"/>
              </w:rPr>
              <w:t xml:space="preserve">        └─────────────┘                                 └─────────────┘         </w:t>
            </w:r>
          </w:p>
          <w:p w14:paraId="3D73D1A4" w14:textId="77777777" w:rsidR="00A461BF" w:rsidRPr="008238EC" w:rsidRDefault="00A461BF" w:rsidP="00A461BF">
            <w:pPr>
              <w:pStyle w:val="HTMLPreformatted"/>
              <w:spacing w:after="0"/>
              <w:jc w:val="both"/>
              <w:rPr>
                <w:rFonts w:ascii="Menlo" w:hAnsi="Menlo" w:cs="Menlo"/>
                <w:noProof/>
                <w:color w:val="24292E"/>
                <w:sz w:val="16"/>
                <w:szCs w:val="16"/>
                <w:bdr w:val="none" w:sz="0" w:space="0" w:color="auto" w:frame="1"/>
                <w:lang w:val="en-US"/>
              </w:rPr>
            </w:pPr>
            <w:r w:rsidRPr="008238EC">
              <w:rPr>
                <w:rFonts w:ascii="Menlo" w:hAnsi="Menlo" w:cs="Menlo"/>
                <w:noProof/>
                <w:color w:val="24292E"/>
                <w:sz w:val="16"/>
                <w:szCs w:val="16"/>
                <w:bdr w:val="none" w:sz="0" w:space="0" w:color="auto" w:frame="1"/>
                <w:lang w:val="en-US"/>
              </w:rPr>
              <w:t xml:space="preserve">               │                ┌─────────────┐                │                </w:t>
            </w:r>
          </w:p>
          <w:p w14:paraId="1F3E4C68" w14:textId="77777777" w:rsidR="00A461BF" w:rsidRPr="008238EC" w:rsidRDefault="00A461BF" w:rsidP="00A461BF">
            <w:pPr>
              <w:pStyle w:val="HTMLPreformatted"/>
              <w:spacing w:after="0"/>
              <w:jc w:val="both"/>
              <w:rPr>
                <w:rFonts w:ascii="Menlo" w:hAnsi="Menlo" w:cs="Menlo"/>
                <w:noProof/>
                <w:color w:val="24292E"/>
                <w:sz w:val="16"/>
                <w:szCs w:val="16"/>
                <w:bdr w:val="none" w:sz="0" w:space="0" w:color="auto" w:frame="1"/>
                <w:lang w:val="en-US"/>
              </w:rPr>
            </w:pPr>
            <w:r w:rsidRPr="008238EC">
              <w:rPr>
                <w:rFonts w:ascii="Menlo" w:hAnsi="Menlo" w:cs="Menlo"/>
                <w:noProof/>
                <w:color w:val="24292E"/>
                <w:sz w:val="16"/>
                <w:szCs w:val="16"/>
                <w:bdr w:val="none" w:sz="0" w:space="0" w:color="auto" w:frame="1"/>
                <w:lang w:val="en-US"/>
              </w:rPr>
              <w:t xml:space="preserve">               │                │   Scheme    │                │                </w:t>
            </w:r>
          </w:p>
          <w:p w14:paraId="340604BA" w14:textId="77777777" w:rsidR="00A461BF" w:rsidRPr="008238EC" w:rsidRDefault="00A461BF" w:rsidP="00A461BF">
            <w:pPr>
              <w:pStyle w:val="HTMLPreformatted"/>
              <w:spacing w:after="0"/>
              <w:jc w:val="both"/>
              <w:rPr>
                <w:rFonts w:ascii="Menlo" w:hAnsi="Menlo" w:cs="Menlo"/>
                <w:noProof/>
                <w:color w:val="24292E"/>
                <w:sz w:val="16"/>
                <w:szCs w:val="16"/>
                <w:bdr w:val="none" w:sz="0" w:space="0" w:color="auto" w:frame="1"/>
                <w:lang w:val="en-US"/>
              </w:rPr>
            </w:pPr>
            <w:r w:rsidRPr="008238EC">
              <w:rPr>
                <w:rFonts w:ascii="Menlo" w:hAnsi="Menlo" w:cs="Menlo"/>
                <w:noProof/>
                <w:color w:val="24292E"/>
                <w:sz w:val="16"/>
                <w:szCs w:val="16"/>
                <w:bdr w:val="none" w:sz="0" w:space="0" w:color="auto" w:frame="1"/>
                <w:lang w:val="en-US"/>
              </w:rPr>
              <w:t xml:space="preserve">               └────── 1 ───────│    Rules    │─────── 1 ──────┘                </w:t>
            </w:r>
          </w:p>
          <w:p w14:paraId="65F03054" w14:textId="77777777" w:rsidR="00A461BF" w:rsidRPr="008238EC" w:rsidRDefault="00A461BF" w:rsidP="00A461BF">
            <w:pPr>
              <w:pStyle w:val="HTMLPreformatted"/>
              <w:spacing w:after="0"/>
              <w:jc w:val="both"/>
              <w:rPr>
                <w:rFonts w:ascii="Menlo" w:hAnsi="Menlo" w:cs="Menlo"/>
                <w:noProof/>
                <w:color w:val="24292E"/>
                <w:sz w:val="16"/>
                <w:szCs w:val="16"/>
                <w:bdr w:val="none" w:sz="0" w:space="0" w:color="auto" w:frame="1"/>
                <w:lang w:val="en-US"/>
              </w:rPr>
            </w:pPr>
            <w:r w:rsidRPr="008238EC">
              <w:rPr>
                <w:rFonts w:ascii="Menlo" w:hAnsi="Menlo" w:cs="Menlo"/>
                <w:noProof/>
                <w:color w:val="24292E"/>
                <w:sz w:val="16"/>
                <w:szCs w:val="16"/>
                <w:bdr w:val="none" w:sz="0" w:space="0" w:color="auto" w:frame="1"/>
                <w:lang w:val="en-US"/>
              </w:rPr>
              <w:t xml:space="preserve">                                └─────────────┘                                 </w:t>
            </w:r>
          </w:p>
          <w:p w14:paraId="4A7B01C6" w14:textId="77777777" w:rsidR="00A461BF" w:rsidRPr="008238EC" w:rsidRDefault="00A461BF" w:rsidP="00A461BF">
            <w:pPr>
              <w:pStyle w:val="HTMLPreformatted"/>
              <w:spacing w:after="0"/>
              <w:jc w:val="both"/>
              <w:rPr>
                <w:rFonts w:ascii="Menlo" w:hAnsi="Menlo" w:cs="Menlo"/>
                <w:noProof/>
                <w:color w:val="24292E"/>
                <w:sz w:val="16"/>
                <w:szCs w:val="16"/>
                <w:bdr w:val="none" w:sz="0" w:space="0" w:color="auto" w:frame="1"/>
                <w:lang w:val="en-US"/>
              </w:rPr>
            </w:pPr>
            <w:r w:rsidRPr="008238EC">
              <w:rPr>
                <w:rFonts w:ascii="Menlo" w:hAnsi="Menlo" w:cs="Menlo"/>
                <w:noProof/>
                <w:color w:val="24292E"/>
                <w:sz w:val="16"/>
                <w:szCs w:val="16"/>
                <w:bdr w:val="none" w:sz="0" w:space="0" w:color="auto" w:frame="1"/>
                <w:lang w:val="en-US"/>
              </w:rPr>
              <w:t xml:space="preserve">                                                                                </w:t>
            </w:r>
          </w:p>
          <w:p w14:paraId="6BFFDB0C" w14:textId="77777777" w:rsidR="00A461BF" w:rsidRPr="008238EC" w:rsidRDefault="00A461BF" w:rsidP="00A461BF">
            <w:pPr>
              <w:pStyle w:val="HTMLPreformatted"/>
              <w:spacing w:after="0"/>
              <w:jc w:val="both"/>
              <w:rPr>
                <w:rFonts w:ascii="Menlo" w:hAnsi="Menlo" w:cs="Menlo"/>
                <w:noProof/>
                <w:color w:val="24292E"/>
                <w:sz w:val="16"/>
                <w:szCs w:val="16"/>
                <w:bdr w:val="none" w:sz="0" w:space="0" w:color="auto" w:frame="1"/>
                <w:lang w:val="en-US"/>
              </w:rPr>
            </w:pPr>
            <w:r w:rsidRPr="008238EC">
              <w:rPr>
                <w:rFonts w:ascii="Menlo" w:hAnsi="Menlo" w:cs="Menlo"/>
                <w:noProof/>
                <w:color w:val="24292E"/>
                <w:sz w:val="16"/>
                <w:szCs w:val="16"/>
                <w:bdr w:val="none" w:sz="0" w:space="0" w:color="auto" w:frame="1"/>
                <w:lang w:val="en-US"/>
              </w:rPr>
              <w:t>┌──────────────────────────────────────────────────────────────────────────────┐</w:t>
            </w:r>
          </w:p>
          <w:p w14:paraId="51835E8F" w14:textId="77777777" w:rsidR="00A461BF" w:rsidRPr="008238EC" w:rsidRDefault="00A461BF" w:rsidP="00A461BF">
            <w:pPr>
              <w:pStyle w:val="HTMLPreformatted"/>
              <w:spacing w:after="0"/>
              <w:jc w:val="both"/>
              <w:rPr>
                <w:rFonts w:ascii="Menlo" w:hAnsi="Menlo" w:cs="Menlo"/>
                <w:noProof/>
                <w:color w:val="24292E"/>
                <w:sz w:val="16"/>
                <w:szCs w:val="16"/>
                <w:bdr w:val="none" w:sz="0" w:space="0" w:color="auto" w:frame="1"/>
                <w:lang w:val="en-US"/>
              </w:rPr>
            </w:pPr>
            <w:r w:rsidRPr="008238EC">
              <w:rPr>
                <w:rFonts w:ascii="Menlo" w:hAnsi="Menlo" w:cs="Menlo"/>
                <w:noProof/>
                <w:color w:val="24292E"/>
                <w:sz w:val="16"/>
                <w:szCs w:val="16"/>
                <w:bdr w:val="none" w:sz="0" w:space="0" w:color="auto" w:frame="1"/>
                <w:lang w:val="en-US"/>
              </w:rPr>
              <w:t>│                       Figure 2: SDD four-corner model                        │</w:t>
            </w:r>
          </w:p>
          <w:p w14:paraId="37CF6FE3" w14:textId="77777777" w:rsidR="00A461BF" w:rsidRPr="008238EC" w:rsidRDefault="00A461BF" w:rsidP="00A461BF">
            <w:pPr>
              <w:pStyle w:val="HTMLPreformatted"/>
              <w:spacing w:after="0"/>
              <w:jc w:val="both"/>
              <w:rPr>
                <w:rFonts w:ascii="Menlo" w:hAnsi="Menlo" w:cs="Menlo"/>
                <w:noProof/>
                <w:color w:val="24292E"/>
                <w:sz w:val="16"/>
                <w:szCs w:val="16"/>
                <w:bdr w:val="none" w:sz="0" w:space="0" w:color="auto" w:frame="1"/>
                <w:lang w:val="en-US"/>
              </w:rPr>
            </w:pPr>
            <w:r w:rsidRPr="008238EC">
              <w:rPr>
                <w:rFonts w:ascii="Menlo" w:hAnsi="Menlo" w:cs="Menlo"/>
                <w:noProof/>
                <w:color w:val="24292E"/>
                <w:sz w:val="16"/>
                <w:szCs w:val="16"/>
                <w:bdr w:val="none" w:sz="0" w:space="0" w:color="auto" w:frame="1"/>
                <w:lang w:val="en-US"/>
              </w:rPr>
              <w:t>│                   (based on figure 1 of the SDD Rulebook)                    │</w:t>
            </w:r>
          </w:p>
          <w:p w14:paraId="284C653E" w14:textId="77777777" w:rsidR="00A461BF" w:rsidRPr="00A461BF" w:rsidRDefault="00A461BF" w:rsidP="00AD2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line="240" w:lineRule="auto"/>
              <w:jc w:val="left"/>
              <w:rPr>
                <w:rStyle w:val="HTMLCode"/>
                <w:rFonts w:ascii="Menlo" w:hAnsi="Menlo" w:cs="Menlo"/>
                <w:sz w:val="16"/>
                <w:szCs w:val="16"/>
              </w:rPr>
            </w:pPr>
            <w:r w:rsidRPr="00935254">
              <w:rPr>
                <w:rFonts w:ascii="Menlo" w:hAnsi="Menlo" w:cs="Menlo"/>
                <w:sz w:val="16"/>
                <w:szCs w:val="16"/>
              </w:rPr>
              <w:t>└──────────────────────────────────────────────────────────────────────────────┘</w:t>
            </w:r>
          </w:p>
        </w:tc>
      </w:tr>
    </w:tbl>
    <w:p w14:paraId="5DECADEA" w14:textId="77777777" w:rsidR="008238EC" w:rsidRPr="008238EC" w:rsidRDefault="008238EC" w:rsidP="008238EC">
      <w:pPr>
        <w:pStyle w:val="NormalWeb"/>
        <w:spacing w:before="0" w:beforeAutospacing="0" w:after="240" w:afterAutospacing="0" w:line="360" w:lineRule="auto"/>
        <w:jc w:val="both"/>
        <w:rPr>
          <w:rFonts w:ascii="Arial" w:hAnsi="Arial" w:cs="Arial"/>
          <w:color w:val="24292E"/>
          <w:sz w:val="22"/>
          <w:szCs w:val="22"/>
          <w:lang w:val="en-US"/>
        </w:rPr>
      </w:pPr>
      <w:r w:rsidRPr="008238EC">
        <w:rPr>
          <w:rFonts w:ascii="Arial" w:hAnsi="Arial" w:cs="Arial"/>
          <w:color w:val="24292E"/>
          <w:sz w:val="22"/>
          <w:szCs w:val="22"/>
          <w:lang w:val="en-US"/>
        </w:rPr>
        <w:t>The relationships between the actors are described as follows:</w:t>
      </w:r>
    </w:p>
    <w:p w14:paraId="5BD8C9D7" w14:textId="77777777" w:rsidR="008238EC" w:rsidRPr="008238EC" w:rsidRDefault="008238EC" w:rsidP="008238EC">
      <w:pPr>
        <w:pStyle w:val="NormalWeb"/>
        <w:numPr>
          <w:ilvl w:val="0"/>
          <w:numId w:val="24"/>
        </w:numPr>
        <w:spacing w:before="0" w:beforeAutospacing="0" w:after="120" w:afterAutospacing="0" w:line="360" w:lineRule="auto"/>
        <w:ind w:left="714" w:hanging="357"/>
        <w:jc w:val="both"/>
        <w:rPr>
          <w:rFonts w:ascii="Arial" w:hAnsi="Arial" w:cs="Arial"/>
          <w:color w:val="24292E"/>
          <w:sz w:val="22"/>
          <w:szCs w:val="22"/>
          <w:lang w:val="en-US"/>
        </w:rPr>
      </w:pPr>
      <w:r w:rsidRPr="008238EC">
        <w:rPr>
          <w:rFonts w:ascii="Arial" w:hAnsi="Arial" w:cs="Arial"/>
          <w:color w:val="24292E"/>
          <w:sz w:val="22"/>
          <w:szCs w:val="22"/>
          <w:lang w:val="en-US"/>
        </w:rPr>
        <w:t>The Debtor Bank and the Creditor Bank are said to be “bound” to the “contractual relationships underlying the Scheme” through what is called the “Adherence Agreement.”</w:t>
      </w:r>
    </w:p>
    <w:p w14:paraId="26C42329" w14:textId="77777777" w:rsidR="008238EC" w:rsidRPr="008238EC" w:rsidRDefault="008238EC" w:rsidP="008238EC">
      <w:pPr>
        <w:pStyle w:val="NormalWeb"/>
        <w:numPr>
          <w:ilvl w:val="0"/>
          <w:numId w:val="24"/>
        </w:numPr>
        <w:spacing w:before="0" w:beforeAutospacing="0" w:after="120" w:afterAutospacing="0" w:line="360" w:lineRule="auto"/>
        <w:ind w:left="714" w:hanging="357"/>
        <w:jc w:val="both"/>
        <w:rPr>
          <w:rFonts w:ascii="Arial" w:hAnsi="Arial" w:cs="Arial"/>
          <w:color w:val="24292E"/>
          <w:sz w:val="22"/>
          <w:szCs w:val="22"/>
          <w:lang w:val="en-US"/>
        </w:rPr>
      </w:pPr>
      <w:r w:rsidRPr="008238EC">
        <w:rPr>
          <w:rFonts w:ascii="Arial" w:hAnsi="Arial" w:cs="Arial"/>
          <w:color w:val="24292E"/>
          <w:sz w:val="22"/>
          <w:szCs w:val="22"/>
          <w:lang w:val="en-US"/>
        </w:rPr>
        <w:t>The Debtor and the Creditor are described to form a relationship “regarding the requirement to make a payment,” which “will result in” in an agreed-upon Mandate. It is noted that</w:t>
      </w:r>
      <w:proofErr w:type="gramStart"/>
      <w:r w:rsidRPr="008238EC">
        <w:rPr>
          <w:rFonts w:ascii="Arial" w:hAnsi="Arial" w:cs="Arial"/>
          <w:color w:val="24292E"/>
          <w:sz w:val="22"/>
          <w:szCs w:val="22"/>
          <w:lang w:val="en-US"/>
        </w:rPr>
        <w:t>—“</w:t>
      </w:r>
      <w:proofErr w:type="gramEnd"/>
      <w:r w:rsidRPr="008238EC">
        <w:rPr>
          <w:rFonts w:ascii="Arial" w:hAnsi="Arial" w:cs="Arial"/>
          <w:color w:val="24292E"/>
          <w:sz w:val="22"/>
          <w:szCs w:val="22"/>
          <w:lang w:val="en-US"/>
        </w:rPr>
        <w:t>[w]</w:t>
      </w:r>
      <w:proofErr w:type="spellStart"/>
      <w:r w:rsidRPr="008238EC">
        <w:rPr>
          <w:rFonts w:ascii="Arial" w:hAnsi="Arial" w:cs="Arial"/>
          <w:color w:val="24292E"/>
          <w:sz w:val="22"/>
          <w:szCs w:val="22"/>
          <w:lang w:val="en-US"/>
        </w:rPr>
        <w:t>hilst</w:t>
      </w:r>
      <w:proofErr w:type="spellEnd"/>
      <w:r w:rsidRPr="008238EC">
        <w:rPr>
          <w:rFonts w:ascii="Arial" w:hAnsi="Arial" w:cs="Arial"/>
          <w:color w:val="24292E"/>
          <w:sz w:val="22"/>
          <w:szCs w:val="22"/>
          <w:lang w:val="en-US"/>
        </w:rPr>
        <w:t xml:space="preserve"> the data elements required for the Mandate are specified by the Scheme,” the “underlying relationship” is outside the scope of the Scheme.</w:t>
      </w:r>
    </w:p>
    <w:p w14:paraId="4D859E81" w14:textId="77777777" w:rsidR="008238EC" w:rsidRPr="008238EC" w:rsidRDefault="008238EC" w:rsidP="008238EC">
      <w:pPr>
        <w:pStyle w:val="NormalWeb"/>
        <w:numPr>
          <w:ilvl w:val="0"/>
          <w:numId w:val="24"/>
        </w:numPr>
        <w:spacing w:before="0" w:beforeAutospacing="0" w:after="120" w:afterAutospacing="0" w:line="360" w:lineRule="auto"/>
        <w:ind w:left="714" w:hanging="357"/>
        <w:jc w:val="both"/>
        <w:rPr>
          <w:rFonts w:ascii="Arial" w:hAnsi="Arial" w:cs="Arial"/>
          <w:color w:val="24292E"/>
          <w:sz w:val="22"/>
          <w:szCs w:val="22"/>
          <w:lang w:val="en-US"/>
        </w:rPr>
      </w:pPr>
      <w:r w:rsidRPr="008238EC">
        <w:rPr>
          <w:rFonts w:ascii="Arial" w:hAnsi="Arial" w:cs="Arial"/>
          <w:color w:val="24292E"/>
          <w:sz w:val="22"/>
          <w:szCs w:val="22"/>
          <w:lang w:val="en-US"/>
        </w:rPr>
        <w:t>The Debtor and the Debtor Bank are described to be in a relationship based on “the direct debit service to be provided.” This relationship is also said to “not [be] governed by the Scheme,” except for the parts “relevant to execution of a SEPA Direct Debit.”</w:t>
      </w:r>
    </w:p>
    <w:p w14:paraId="1A1EA710" w14:textId="77777777" w:rsidR="008238EC" w:rsidRPr="008238EC" w:rsidRDefault="008238EC" w:rsidP="008238EC">
      <w:pPr>
        <w:pStyle w:val="NormalWeb"/>
        <w:numPr>
          <w:ilvl w:val="0"/>
          <w:numId w:val="24"/>
        </w:numPr>
        <w:spacing w:before="0" w:beforeAutospacing="0" w:after="120" w:afterAutospacing="0" w:line="360" w:lineRule="auto"/>
        <w:ind w:left="714" w:hanging="357"/>
        <w:jc w:val="both"/>
        <w:rPr>
          <w:rFonts w:ascii="Arial" w:hAnsi="Arial" w:cs="Arial"/>
          <w:color w:val="24292E"/>
          <w:sz w:val="22"/>
          <w:szCs w:val="22"/>
          <w:lang w:val="en-US"/>
        </w:rPr>
      </w:pPr>
      <w:r w:rsidRPr="008238EC">
        <w:rPr>
          <w:rFonts w:ascii="Arial" w:hAnsi="Arial" w:cs="Arial"/>
          <w:color w:val="24292E"/>
          <w:sz w:val="22"/>
          <w:szCs w:val="22"/>
          <w:lang w:val="en-US"/>
        </w:rPr>
        <w:t xml:space="preserve">The Creditor and the Creditor Bank are described to be in a relationship based on the provision of direct debit services—just like the Debtor and the Debtor Bank. This relationship is also said to not be covered by the Scheme </w:t>
      </w:r>
      <w:proofErr w:type="gramStart"/>
      <w:r w:rsidRPr="008238EC">
        <w:rPr>
          <w:rFonts w:ascii="Arial" w:hAnsi="Arial" w:cs="Arial"/>
          <w:color w:val="24292E"/>
          <w:sz w:val="22"/>
          <w:szCs w:val="22"/>
          <w:lang w:val="en-US"/>
        </w:rPr>
        <w:t>with the exception of</w:t>
      </w:r>
      <w:proofErr w:type="gramEnd"/>
      <w:r w:rsidRPr="008238EC">
        <w:rPr>
          <w:rFonts w:ascii="Arial" w:hAnsi="Arial" w:cs="Arial"/>
          <w:color w:val="24292E"/>
          <w:sz w:val="22"/>
          <w:szCs w:val="22"/>
          <w:lang w:val="en-US"/>
        </w:rPr>
        <w:t xml:space="preserve"> those “elements [that are] relevant to the execution of a SEPA Direct Debit.”</w:t>
      </w:r>
    </w:p>
    <w:p w14:paraId="24FBCF61" w14:textId="77777777" w:rsidR="008238EC" w:rsidRPr="008238EC" w:rsidRDefault="008238EC" w:rsidP="008238EC">
      <w:pPr>
        <w:pStyle w:val="NormalWeb"/>
        <w:numPr>
          <w:ilvl w:val="0"/>
          <w:numId w:val="24"/>
        </w:numPr>
        <w:spacing w:before="0" w:beforeAutospacing="0" w:after="240" w:afterAutospacing="0" w:line="360" w:lineRule="auto"/>
        <w:jc w:val="both"/>
        <w:rPr>
          <w:rFonts w:ascii="Arial" w:hAnsi="Arial" w:cs="Arial"/>
          <w:color w:val="24292E"/>
          <w:sz w:val="22"/>
          <w:szCs w:val="22"/>
          <w:lang w:val="en-US"/>
        </w:rPr>
      </w:pPr>
      <w:r w:rsidRPr="008238EC">
        <w:rPr>
          <w:rFonts w:ascii="Arial" w:hAnsi="Arial" w:cs="Arial"/>
          <w:color w:val="24292E"/>
          <w:sz w:val="22"/>
          <w:szCs w:val="22"/>
          <w:lang w:val="en-US"/>
        </w:rPr>
        <w:t>The Debtor Bank and Creditor Bank are said to be “[u]sing” CSMs.</w:t>
      </w:r>
    </w:p>
    <w:p w14:paraId="6B4F8969" w14:textId="77777777" w:rsidR="008238EC" w:rsidRPr="008238EC" w:rsidRDefault="008238EC" w:rsidP="008238EC">
      <w:pPr>
        <w:pStyle w:val="NormalWeb"/>
        <w:spacing w:before="0" w:beforeAutospacing="0" w:after="240" w:afterAutospacing="0" w:line="360" w:lineRule="auto"/>
        <w:jc w:val="both"/>
        <w:rPr>
          <w:rFonts w:ascii="Arial" w:hAnsi="Arial" w:cs="Arial"/>
          <w:color w:val="24292E"/>
          <w:sz w:val="22"/>
          <w:szCs w:val="22"/>
          <w:lang w:val="en-US"/>
        </w:rPr>
      </w:pPr>
      <w:r w:rsidRPr="008238EC">
        <w:rPr>
          <w:rFonts w:ascii="Arial" w:hAnsi="Arial" w:cs="Arial"/>
          <w:color w:val="24292E"/>
          <w:sz w:val="22"/>
          <w:szCs w:val="22"/>
          <w:lang w:val="en-US"/>
        </w:rPr>
        <w:t>It is noted that “relationships” between “the Creditor Bank and/or the Debtor Bank and any Intermediary Bank” are “not governed by the Scheme.”</w:t>
      </w:r>
    </w:p>
    <w:p w14:paraId="655784CB" w14:textId="77777777" w:rsidR="008238EC" w:rsidRPr="008238EC" w:rsidRDefault="008238EC" w:rsidP="008238EC">
      <w:pPr>
        <w:pStyle w:val="NormalWeb"/>
        <w:spacing w:before="0" w:beforeAutospacing="0" w:after="240" w:afterAutospacing="0" w:line="360" w:lineRule="auto"/>
        <w:jc w:val="both"/>
        <w:rPr>
          <w:rFonts w:ascii="Arial" w:hAnsi="Arial" w:cs="Arial"/>
          <w:color w:val="24292E"/>
          <w:sz w:val="22"/>
          <w:szCs w:val="22"/>
          <w:lang w:val="en-US"/>
        </w:rPr>
      </w:pPr>
      <w:r w:rsidRPr="008238EC">
        <w:rPr>
          <w:rFonts w:ascii="Arial" w:hAnsi="Arial" w:cs="Arial"/>
          <w:color w:val="24292E"/>
          <w:sz w:val="22"/>
          <w:szCs w:val="22"/>
          <w:lang w:val="en-US"/>
        </w:rPr>
        <w:lastRenderedPageBreak/>
        <w:t>With regards to the “governing laws of the agreements in the four-corner model,” it is stated that both the SDD Rulebook as well as the “Adherence Agreement” are “governed by Belgian law,” as is the case with SCT. “The Mandate” is, however, said to be “governed by the law of a SEPA country.”</w:t>
      </w:r>
    </w:p>
    <w:p w14:paraId="698E3F21" w14:textId="77777777" w:rsidR="008238EC" w:rsidRPr="008238EC" w:rsidRDefault="008238EC" w:rsidP="008238EC">
      <w:pPr>
        <w:pStyle w:val="NormalWeb"/>
        <w:spacing w:before="0" w:beforeAutospacing="0" w:after="240" w:afterAutospacing="0" w:line="360" w:lineRule="auto"/>
        <w:jc w:val="both"/>
        <w:rPr>
          <w:rFonts w:ascii="Arial" w:hAnsi="Arial" w:cs="Arial"/>
          <w:color w:val="24292E"/>
          <w:sz w:val="22"/>
          <w:szCs w:val="22"/>
        </w:rPr>
      </w:pPr>
      <w:r w:rsidRPr="008238EC">
        <w:rPr>
          <w:rFonts w:ascii="Arial" w:hAnsi="Arial" w:cs="Arial"/>
          <w:color w:val="24292E"/>
          <w:sz w:val="22"/>
          <w:szCs w:val="22"/>
          <w:lang w:val="en-US"/>
        </w:rPr>
        <w:t xml:space="preserve">Analogously to the SCT Rulebook, “business and operational rules” are listed. Unlike the SCT Rulebook, however, the SDD Rulebook begins this section by providing “a schematic overview” of the “interaction” between the main actors with regards to the Mandate as well as the Collections. </w:t>
      </w:r>
      <w:r w:rsidRPr="008238EC">
        <w:rPr>
          <w:rFonts w:ascii="Arial" w:hAnsi="Arial" w:cs="Arial"/>
          <w:color w:val="24292E"/>
          <w:sz w:val="22"/>
          <w:szCs w:val="22"/>
        </w:rPr>
        <w:t>With regards to the Mandate, three steps are outlined:</w:t>
      </w:r>
    </w:p>
    <w:p w14:paraId="1118B799" w14:textId="77777777" w:rsidR="008238EC" w:rsidRPr="008238EC" w:rsidRDefault="008238EC" w:rsidP="008238EC">
      <w:pPr>
        <w:pStyle w:val="NormalWeb"/>
        <w:numPr>
          <w:ilvl w:val="0"/>
          <w:numId w:val="25"/>
        </w:numPr>
        <w:spacing w:before="0" w:beforeAutospacing="0" w:after="120" w:afterAutospacing="0" w:line="360" w:lineRule="auto"/>
        <w:ind w:left="714" w:hanging="357"/>
        <w:jc w:val="both"/>
        <w:rPr>
          <w:rFonts w:ascii="Arial" w:hAnsi="Arial" w:cs="Arial"/>
          <w:color w:val="24292E"/>
          <w:sz w:val="22"/>
          <w:szCs w:val="22"/>
          <w:lang w:val="en-US"/>
        </w:rPr>
      </w:pPr>
      <w:r w:rsidRPr="008238EC">
        <w:rPr>
          <w:rFonts w:ascii="Arial" w:hAnsi="Arial" w:cs="Arial"/>
          <w:color w:val="24292E"/>
          <w:sz w:val="22"/>
          <w:szCs w:val="22"/>
          <w:lang w:val="en-US"/>
        </w:rPr>
        <w:t xml:space="preserve">The process is initiated when “[t]he Debtor completes the Mandate and sends it to the Creditor.” The Mandate is defined as “the expression of consent and </w:t>
      </w:r>
      <w:proofErr w:type="spellStart"/>
      <w:r w:rsidRPr="008238EC">
        <w:rPr>
          <w:rFonts w:ascii="Arial" w:hAnsi="Arial" w:cs="Arial"/>
          <w:color w:val="24292E"/>
          <w:sz w:val="22"/>
          <w:szCs w:val="22"/>
          <w:lang w:val="en-US"/>
        </w:rPr>
        <w:t>authori</w:t>
      </w:r>
      <w:proofErr w:type="spellEnd"/>
      <w:r w:rsidRPr="008238EC">
        <w:rPr>
          <w:rFonts w:ascii="Arial" w:hAnsi="Arial" w:cs="Arial"/>
          <w:color w:val="24292E"/>
          <w:sz w:val="22"/>
          <w:szCs w:val="22"/>
          <w:lang w:val="en-US"/>
        </w:rPr>
        <w:t>[z]</w:t>
      </w:r>
      <w:proofErr w:type="spellStart"/>
      <w:r w:rsidRPr="008238EC">
        <w:rPr>
          <w:rFonts w:ascii="Arial" w:hAnsi="Arial" w:cs="Arial"/>
          <w:color w:val="24292E"/>
          <w:sz w:val="22"/>
          <w:szCs w:val="22"/>
          <w:lang w:val="en-US"/>
        </w:rPr>
        <w:t>ation</w:t>
      </w:r>
      <w:proofErr w:type="spellEnd"/>
      <w:r w:rsidRPr="008238EC">
        <w:rPr>
          <w:rFonts w:ascii="Arial" w:hAnsi="Arial" w:cs="Arial"/>
          <w:color w:val="24292E"/>
          <w:sz w:val="22"/>
          <w:szCs w:val="22"/>
          <w:lang w:val="en-US"/>
        </w:rPr>
        <w:t xml:space="preserve"> given by the Debtor to the Creditor to allow such Creditor to initiate Collections for debiting the specified Debtor’s account and to allow the Debtor Bank to comply with such instructions.”</w:t>
      </w:r>
    </w:p>
    <w:p w14:paraId="7C481D8E" w14:textId="77777777" w:rsidR="008238EC" w:rsidRPr="008238EC" w:rsidRDefault="008238EC" w:rsidP="008238EC">
      <w:pPr>
        <w:pStyle w:val="NormalWeb"/>
        <w:numPr>
          <w:ilvl w:val="0"/>
          <w:numId w:val="25"/>
        </w:numPr>
        <w:spacing w:before="0" w:beforeAutospacing="0" w:after="120" w:afterAutospacing="0" w:line="360" w:lineRule="auto"/>
        <w:ind w:left="714" w:hanging="357"/>
        <w:jc w:val="both"/>
        <w:rPr>
          <w:rFonts w:ascii="Arial" w:hAnsi="Arial" w:cs="Arial"/>
          <w:color w:val="24292E"/>
          <w:sz w:val="22"/>
          <w:szCs w:val="22"/>
          <w:lang w:val="en-US"/>
        </w:rPr>
      </w:pPr>
      <w:r w:rsidRPr="008238EC">
        <w:rPr>
          <w:rFonts w:ascii="Arial" w:hAnsi="Arial" w:cs="Arial"/>
          <w:color w:val="24292E"/>
          <w:sz w:val="22"/>
          <w:szCs w:val="22"/>
          <w:lang w:val="en-US"/>
        </w:rPr>
        <w:t>The Creditor must transmit “Mandate-related data” to the Creditor Bank “along with each Collection of a recurrent SEPA Direct Debit or with the one-off Collection.”</w:t>
      </w:r>
    </w:p>
    <w:p w14:paraId="75A2BA88" w14:textId="77777777" w:rsidR="008238EC" w:rsidRPr="008238EC" w:rsidRDefault="008238EC" w:rsidP="008238EC">
      <w:pPr>
        <w:pStyle w:val="NormalWeb"/>
        <w:numPr>
          <w:ilvl w:val="0"/>
          <w:numId w:val="25"/>
        </w:numPr>
        <w:spacing w:before="0" w:beforeAutospacing="0" w:after="240" w:afterAutospacing="0" w:line="360" w:lineRule="auto"/>
        <w:jc w:val="both"/>
        <w:rPr>
          <w:rFonts w:ascii="Arial" w:hAnsi="Arial" w:cs="Arial"/>
          <w:color w:val="24292E"/>
          <w:sz w:val="22"/>
          <w:szCs w:val="22"/>
          <w:lang w:val="en-US"/>
        </w:rPr>
      </w:pPr>
      <w:r w:rsidRPr="008238EC">
        <w:rPr>
          <w:rFonts w:ascii="Arial" w:hAnsi="Arial" w:cs="Arial"/>
          <w:color w:val="24292E"/>
          <w:sz w:val="22"/>
          <w:szCs w:val="22"/>
          <w:lang w:val="en-US"/>
        </w:rPr>
        <w:t>After being “</w:t>
      </w:r>
      <w:proofErr w:type="spellStart"/>
      <w:r w:rsidRPr="008238EC">
        <w:rPr>
          <w:rFonts w:ascii="Arial" w:hAnsi="Arial" w:cs="Arial"/>
          <w:color w:val="24292E"/>
          <w:sz w:val="22"/>
          <w:szCs w:val="22"/>
          <w:lang w:val="en-US"/>
        </w:rPr>
        <w:t>demateriali</w:t>
      </w:r>
      <w:proofErr w:type="spellEnd"/>
      <w:r w:rsidRPr="008238EC">
        <w:rPr>
          <w:rFonts w:ascii="Arial" w:hAnsi="Arial" w:cs="Arial"/>
          <w:color w:val="24292E"/>
          <w:sz w:val="22"/>
          <w:szCs w:val="22"/>
          <w:lang w:val="en-US"/>
        </w:rPr>
        <w:t>[z]ed” or “extracted” from a paper-based Mandate or an electronic Mandate, respectively, the “Mandate-related information must be transmitted [...] by the Creditor Bank to the Debtor Bank as part of the Collection in one single flow, using the selected CSM.”</w:t>
      </w:r>
    </w:p>
    <w:p w14:paraId="7EDAED9C" w14:textId="77777777" w:rsidR="008238EC" w:rsidRPr="008238EC" w:rsidRDefault="008238EC" w:rsidP="008238EC">
      <w:pPr>
        <w:pStyle w:val="NormalWeb"/>
        <w:spacing w:before="0" w:beforeAutospacing="0" w:after="240" w:afterAutospacing="0" w:line="360" w:lineRule="auto"/>
        <w:jc w:val="both"/>
        <w:rPr>
          <w:rFonts w:ascii="Arial" w:hAnsi="Arial" w:cs="Arial"/>
          <w:color w:val="24292E"/>
          <w:sz w:val="22"/>
          <w:szCs w:val="22"/>
          <w:lang w:val="en-US"/>
        </w:rPr>
      </w:pPr>
      <w:r w:rsidRPr="008238EC">
        <w:rPr>
          <w:rFonts w:ascii="Arial" w:hAnsi="Arial" w:cs="Arial"/>
          <w:color w:val="24292E"/>
          <w:sz w:val="22"/>
          <w:szCs w:val="22"/>
          <w:lang w:val="en-US"/>
        </w:rPr>
        <w:t>With regards to the Collections, five steps are outlined—with enumeration starting at zero, for unknown reasons:</w:t>
      </w:r>
    </w:p>
    <w:p w14:paraId="2FDA83C4" w14:textId="46E68D37" w:rsidR="008238EC" w:rsidRPr="008238EC" w:rsidRDefault="008238EC" w:rsidP="003E68D1">
      <w:pPr>
        <w:pStyle w:val="NormalWeb"/>
        <w:numPr>
          <w:ilvl w:val="0"/>
          <w:numId w:val="26"/>
        </w:numPr>
        <w:spacing w:before="0" w:beforeAutospacing="0" w:after="120" w:afterAutospacing="0" w:line="360" w:lineRule="auto"/>
        <w:jc w:val="both"/>
        <w:rPr>
          <w:rFonts w:ascii="Arial" w:hAnsi="Arial" w:cs="Arial"/>
          <w:color w:val="24292E"/>
          <w:sz w:val="22"/>
          <w:szCs w:val="22"/>
          <w:lang w:val="en-US"/>
        </w:rPr>
      </w:pPr>
      <w:r w:rsidRPr="008238EC">
        <w:rPr>
          <w:rFonts w:ascii="Arial" w:hAnsi="Arial" w:cs="Arial"/>
          <w:color w:val="24292E"/>
          <w:sz w:val="22"/>
          <w:szCs w:val="22"/>
          <w:lang w:val="en-US"/>
        </w:rPr>
        <w:t>“The Creditor must send a Pre-notification [...] to the Debtor.”</w:t>
      </w:r>
    </w:p>
    <w:p w14:paraId="6CFDC70C" w14:textId="77777777" w:rsidR="008238EC" w:rsidRPr="008238EC" w:rsidRDefault="008238EC" w:rsidP="008238EC">
      <w:pPr>
        <w:pStyle w:val="NormalWeb"/>
        <w:numPr>
          <w:ilvl w:val="0"/>
          <w:numId w:val="26"/>
        </w:numPr>
        <w:spacing w:before="0" w:beforeAutospacing="0" w:after="120" w:afterAutospacing="0" w:line="360" w:lineRule="auto"/>
        <w:ind w:left="714" w:hanging="357"/>
        <w:jc w:val="both"/>
        <w:rPr>
          <w:rFonts w:ascii="Arial" w:hAnsi="Arial" w:cs="Arial"/>
          <w:color w:val="24292E"/>
          <w:sz w:val="22"/>
          <w:szCs w:val="22"/>
          <w:lang w:val="en-US"/>
        </w:rPr>
      </w:pPr>
      <w:r w:rsidRPr="008238EC">
        <w:rPr>
          <w:rFonts w:ascii="Arial" w:hAnsi="Arial" w:cs="Arial"/>
          <w:color w:val="24292E"/>
          <w:sz w:val="22"/>
          <w:szCs w:val="22"/>
          <w:lang w:val="en-US"/>
        </w:rPr>
        <w:t>“After receiving the signed Mandate, the Creditor may initiate Collections [through the Creditor Bank].”</w:t>
      </w:r>
    </w:p>
    <w:p w14:paraId="5ECA172F" w14:textId="77777777" w:rsidR="008238EC" w:rsidRPr="008238EC" w:rsidRDefault="008238EC" w:rsidP="008238EC">
      <w:pPr>
        <w:pStyle w:val="NormalWeb"/>
        <w:numPr>
          <w:ilvl w:val="0"/>
          <w:numId w:val="26"/>
        </w:numPr>
        <w:spacing w:before="0" w:beforeAutospacing="0" w:after="120" w:afterAutospacing="0" w:line="360" w:lineRule="auto"/>
        <w:ind w:left="714" w:hanging="357"/>
        <w:jc w:val="both"/>
        <w:rPr>
          <w:rFonts w:ascii="Arial" w:hAnsi="Arial" w:cs="Arial"/>
          <w:color w:val="24292E"/>
          <w:sz w:val="22"/>
          <w:szCs w:val="22"/>
          <w:lang w:val="en-US"/>
        </w:rPr>
      </w:pPr>
      <w:r w:rsidRPr="008238EC">
        <w:rPr>
          <w:rFonts w:ascii="Arial" w:hAnsi="Arial" w:cs="Arial"/>
          <w:color w:val="24292E"/>
          <w:sz w:val="22"/>
          <w:szCs w:val="22"/>
          <w:lang w:val="en-US"/>
        </w:rPr>
        <w:t>“The Creditor Bank will send Collections to the Debtor Bank through a selected CSM.”</w:t>
      </w:r>
    </w:p>
    <w:p w14:paraId="09E861C9" w14:textId="77777777" w:rsidR="008238EC" w:rsidRPr="008238EC" w:rsidRDefault="008238EC" w:rsidP="008238EC">
      <w:pPr>
        <w:pStyle w:val="NormalWeb"/>
        <w:numPr>
          <w:ilvl w:val="0"/>
          <w:numId w:val="26"/>
        </w:numPr>
        <w:spacing w:before="0" w:beforeAutospacing="0" w:after="120" w:afterAutospacing="0" w:line="360" w:lineRule="auto"/>
        <w:ind w:left="714" w:hanging="357"/>
        <w:jc w:val="both"/>
        <w:rPr>
          <w:rFonts w:ascii="Arial" w:hAnsi="Arial" w:cs="Arial"/>
          <w:color w:val="24292E"/>
          <w:sz w:val="22"/>
          <w:szCs w:val="22"/>
          <w:lang w:val="en-US"/>
        </w:rPr>
      </w:pPr>
      <w:r w:rsidRPr="008238EC">
        <w:rPr>
          <w:rFonts w:ascii="Arial" w:hAnsi="Arial" w:cs="Arial"/>
          <w:color w:val="24292E"/>
          <w:sz w:val="22"/>
          <w:szCs w:val="22"/>
          <w:lang w:val="en-US"/>
        </w:rPr>
        <w:t>The CSM is said to “process the transaction” and “send the [...] Collections [to the Debtor Bank] in accordance with the Settlement Cycle,” making “the necessary arrangements for Settlement.”</w:t>
      </w:r>
    </w:p>
    <w:p w14:paraId="32FC0B3A" w14:textId="77777777" w:rsidR="008238EC" w:rsidRPr="008238EC" w:rsidRDefault="008238EC" w:rsidP="008238EC">
      <w:pPr>
        <w:pStyle w:val="NormalWeb"/>
        <w:numPr>
          <w:ilvl w:val="0"/>
          <w:numId w:val="26"/>
        </w:numPr>
        <w:spacing w:before="0" w:beforeAutospacing="0" w:after="240" w:afterAutospacing="0" w:line="360" w:lineRule="auto"/>
        <w:jc w:val="both"/>
        <w:rPr>
          <w:rFonts w:ascii="Arial" w:hAnsi="Arial" w:cs="Arial"/>
          <w:color w:val="24292E"/>
          <w:sz w:val="22"/>
          <w:szCs w:val="22"/>
          <w:lang w:val="en-US"/>
        </w:rPr>
      </w:pPr>
      <w:r w:rsidRPr="008238EC">
        <w:rPr>
          <w:rFonts w:ascii="Arial" w:hAnsi="Arial" w:cs="Arial"/>
          <w:color w:val="24292E"/>
          <w:sz w:val="22"/>
          <w:szCs w:val="22"/>
          <w:lang w:val="en-US"/>
        </w:rPr>
        <w:lastRenderedPageBreak/>
        <w:t>“The Debtor Bank must debit the Debtor’s account if the account status allows this.”</w:t>
      </w:r>
    </w:p>
    <w:p w14:paraId="0A47742F" w14:textId="77777777" w:rsidR="008238EC" w:rsidRPr="008238EC" w:rsidRDefault="008238EC" w:rsidP="008238EC">
      <w:pPr>
        <w:pStyle w:val="NormalWeb"/>
        <w:spacing w:before="0" w:beforeAutospacing="0" w:after="240" w:afterAutospacing="0" w:line="360" w:lineRule="auto"/>
        <w:jc w:val="both"/>
        <w:rPr>
          <w:rFonts w:ascii="Arial" w:hAnsi="Arial" w:cs="Arial"/>
          <w:color w:val="24292E"/>
          <w:sz w:val="22"/>
          <w:szCs w:val="22"/>
          <w:lang w:val="en-US"/>
        </w:rPr>
      </w:pPr>
      <w:r w:rsidRPr="008238EC">
        <w:rPr>
          <w:rFonts w:ascii="Arial" w:hAnsi="Arial" w:cs="Arial"/>
          <w:color w:val="24292E"/>
          <w:sz w:val="22"/>
          <w:szCs w:val="22"/>
          <w:lang w:val="en-US"/>
        </w:rPr>
        <w:t>Later in the section on business and operational rules, “time-cycle rules” are laid out. These are preceded, however, by the definition of “Key dates,” all of which are assumed to fall on “the same date”:</w:t>
      </w:r>
    </w:p>
    <w:p w14:paraId="7240E6D1" w14:textId="77777777" w:rsidR="008238EC" w:rsidRPr="008238EC" w:rsidRDefault="008238EC" w:rsidP="008238EC">
      <w:pPr>
        <w:pStyle w:val="NormalWeb"/>
        <w:numPr>
          <w:ilvl w:val="0"/>
          <w:numId w:val="27"/>
        </w:numPr>
        <w:spacing w:before="0" w:beforeAutospacing="0" w:after="120" w:afterAutospacing="0" w:line="360" w:lineRule="auto"/>
        <w:ind w:left="714" w:hanging="357"/>
        <w:jc w:val="both"/>
        <w:rPr>
          <w:rFonts w:ascii="Arial" w:hAnsi="Arial" w:cs="Arial"/>
          <w:color w:val="24292E"/>
          <w:sz w:val="22"/>
          <w:szCs w:val="22"/>
          <w:lang w:val="en-US"/>
        </w:rPr>
      </w:pPr>
      <w:r w:rsidRPr="008238EC">
        <w:rPr>
          <w:rFonts w:ascii="Arial" w:hAnsi="Arial" w:cs="Arial"/>
          <w:color w:val="24292E"/>
          <w:sz w:val="22"/>
          <w:szCs w:val="22"/>
          <w:lang w:val="en-US"/>
        </w:rPr>
        <w:t xml:space="preserve">The </w:t>
      </w:r>
      <w:r w:rsidRPr="008238EC">
        <w:rPr>
          <w:rFonts w:ascii="Arial" w:hAnsi="Arial" w:cs="Arial"/>
          <w:b/>
          <w:bCs/>
          <w:color w:val="24292E"/>
          <w:sz w:val="22"/>
          <w:szCs w:val="22"/>
          <w:lang w:val="en-US"/>
        </w:rPr>
        <w:t>Settlement Date</w:t>
      </w:r>
      <w:r w:rsidRPr="008238EC">
        <w:rPr>
          <w:rFonts w:ascii="Arial" w:hAnsi="Arial" w:cs="Arial"/>
          <w:color w:val="24292E"/>
          <w:sz w:val="22"/>
          <w:szCs w:val="22"/>
          <w:lang w:val="en-US"/>
        </w:rPr>
        <w:t xml:space="preserve"> is defined as “[t]he day on which Settlement takes place.”</w:t>
      </w:r>
    </w:p>
    <w:p w14:paraId="3EE3E586" w14:textId="77777777" w:rsidR="008238EC" w:rsidRPr="008238EC" w:rsidRDefault="008238EC" w:rsidP="008238EC">
      <w:pPr>
        <w:pStyle w:val="NormalWeb"/>
        <w:numPr>
          <w:ilvl w:val="0"/>
          <w:numId w:val="27"/>
        </w:numPr>
        <w:spacing w:before="0" w:beforeAutospacing="0" w:after="120" w:afterAutospacing="0" w:line="360" w:lineRule="auto"/>
        <w:ind w:left="714" w:hanging="357"/>
        <w:jc w:val="both"/>
        <w:rPr>
          <w:rFonts w:ascii="Arial" w:hAnsi="Arial" w:cs="Arial"/>
          <w:color w:val="24292E"/>
          <w:sz w:val="22"/>
          <w:szCs w:val="22"/>
          <w:lang w:val="en-US"/>
        </w:rPr>
      </w:pPr>
      <w:r w:rsidRPr="008238EC">
        <w:rPr>
          <w:rFonts w:ascii="Arial" w:hAnsi="Arial" w:cs="Arial"/>
          <w:color w:val="24292E"/>
          <w:sz w:val="22"/>
          <w:szCs w:val="22"/>
          <w:lang w:val="en-US"/>
        </w:rPr>
        <w:t xml:space="preserve">The </w:t>
      </w:r>
      <w:r w:rsidRPr="008238EC">
        <w:rPr>
          <w:rFonts w:ascii="Arial" w:hAnsi="Arial" w:cs="Arial"/>
          <w:b/>
          <w:bCs/>
          <w:color w:val="24292E"/>
          <w:sz w:val="22"/>
          <w:szCs w:val="22"/>
          <w:lang w:val="en-US"/>
        </w:rPr>
        <w:t>debit date</w:t>
      </w:r>
      <w:r w:rsidRPr="008238EC">
        <w:rPr>
          <w:rFonts w:ascii="Arial" w:hAnsi="Arial" w:cs="Arial"/>
          <w:color w:val="24292E"/>
          <w:sz w:val="22"/>
          <w:szCs w:val="22"/>
          <w:lang w:val="en-US"/>
        </w:rPr>
        <w:t xml:space="preserve"> is defined as “[t]he day on which the Debtor’s account is debited.”</w:t>
      </w:r>
    </w:p>
    <w:p w14:paraId="47E91A6C" w14:textId="77777777" w:rsidR="008238EC" w:rsidRPr="008238EC" w:rsidRDefault="008238EC" w:rsidP="008238EC">
      <w:pPr>
        <w:pStyle w:val="NormalWeb"/>
        <w:numPr>
          <w:ilvl w:val="0"/>
          <w:numId w:val="27"/>
        </w:numPr>
        <w:spacing w:before="0" w:beforeAutospacing="0" w:after="240" w:afterAutospacing="0" w:line="360" w:lineRule="auto"/>
        <w:jc w:val="both"/>
        <w:rPr>
          <w:rFonts w:ascii="Arial" w:hAnsi="Arial" w:cs="Arial"/>
          <w:color w:val="24292E"/>
          <w:sz w:val="22"/>
          <w:szCs w:val="22"/>
          <w:lang w:val="en-US"/>
        </w:rPr>
      </w:pPr>
      <w:r w:rsidRPr="008238EC">
        <w:rPr>
          <w:rFonts w:ascii="Arial" w:hAnsi="Arial" w:cs="Arial"/>
          <w:color w:val="24292E"/>
          <w:sz w:val="22"/>
          <w:szCs w:val="22"/>
          <w:lang w:val="en-US"/>
        </w:rPr>
        <w:t xml:space="preserve">The </w:t>
      </w:r>
      <w:r w:rsidRPr="008238EC">
        <w:rPr>
          <w:rFonts w:ascii="Arial" w:hAnsi="Arial" w:cs="Arial"/>
          <w:b/>
          <w:bCs/>
          <w:color w:val="24292E"/>
          <w:sz w:val="22"/>
          <w:szCs w:val="22"/>
          <w:lang w:val="en-US"/>
        </w:rPr>
        <w:t>Due Date (D)</w:t>
      </w:r>
      <w:r w:rsidRPr="008238EC">
        <w:rPr>
          <w:rFonts w:ascii="Arial" w:hAnsi="Arial" w:cs="Arial"/>
          <w:color w:val="24292E"/>
          <w:sz w:val="22"/>
          <w:szCs w:val="22"/>
          <w:lang w:val="en-US"/>
        </w:rPr>
        <w:t xml:space="preserve"> is defined as “the day when the payment of the Debtor is due to the Creditor,” as is agreed upon in the “underlying contract.”</w:t>
      </w:r>
    </w:p>
    <w:p w14:paraId="54A78BC8" w14:textId="77777777" w:rsidR="008238EC" w:rsidRPr="008238EC" w:rsidRDefault="008238EC" w:rsidP="008238EC">
      <w:pPr>
        <w:pStyle w:val="NormalWeb"/>
        <w:spacing w:before="0" w:beforeAutospacing="0" w:after="240" w:afterAutospacing="0" w:line="360" w:lineRule="auto"/>
        <w:jc w:val="both"/>
        <w:rPr>
          <w:rFonts w:ascii="Arial" w:hAnsi="Arial" w:cs="Arial"/>
          <w:color w:val="24292E"/>
          <w:sz w:val="22"/>
          <w:szCs w:val="22"/>
          <w:lang w:val="en-US"/>
        </w:rPr>
      </w:pPr>
      <w:r w:rsidRPr="008238EC">
        <w:rPr>
          <w:rFonts w:ascii="Arial" w:hAnsi="Arial" w:cs="Arial"/>
          <w:color w:val="24292E"/>
          <w:sz w:val="22"/>
          <w:szCs w:val="22"/>
          <w:lang w:val="en-US"/>
        </w:rPr>
        <w:t>The time-cycle rules relevant to the previously listed steps include the following:</w:t>
      </w:r>
    </w:p>
    <w:p w14:paraId="3AAA5CBC" w14:textId="77777777" w:rsidR="008238EC" w:rsidRPr="008238EC" w:rsidRDefault="008238EC" w:rsidP="008238EC">
      <w:pPr>
        <w:pStyle w:val="NormalWeb"/>
        <w:numPr>
          <w:ilvl w:val="0"/>
          <w:numId w:val="28"/>
        </w:numPr>
        <w:spacing w:before="0" w:beforeAutospacing="0" w:after="120" w:afterAutospacing="0" w:line="360" w:lineRule="auto"/>
        <w:ind w:left="714" w:hanging="357"/>
        <w:jc w:val="both"/>
        <w:rPr>
          <w:rFonts w:ascii="Arial" w:hAnsi="Arial" w:cs="Arial"/>
          <w:color w:val="24292E"/>
          <w:sz w:val="22"/>
          <w:szCs w:val="22"/>
          <w:lang w:val="en-US"/>
        </w:rPr>
      </w:pPr>
      <w:r w:rsidRPr="008238EC">
        <w:rPr>
          <w:rFonts w:ascii="Arial" w:hAnsi="Arial" w:cs="Arial"/>
          <w:b/>
          <w:bCs/>
          <w:color w:val="24292E"/>
          <w:sz w:val="22"/>
          <w:szCs w:val="22"/>
          <w:lang w:val="en-US"/>
        </w:rPr>
        <w:t>D - 14 CD or as agreed upon between Creditor and Debtor</w:t>
      </w:r>
      <w:r w:rsidRPr="008238EC">
        <w:rPr>
          <w:rFonts w:ascii="Arial" w:hAnsi="Arial" w:cs="Arial"/>
          <w:color w:val="24292E"/>
          <w:sz w:val="22"/>
          <w:szCs w:val="22"/>
          <w:lang w:val="en-US"/>
        </w:rPr>
        <w:t>: The Creditor is stipulated to be required to send the Pre-notification to the Debtor “at the latest 14 Calendar Days before the Due Date”—unless otherwise agreed upon between the two.</w:t>
      </w:r>
    </w:p>
    <w:p w14:paraId="34B47369" w14:textId="77777777" w:rsidR="008238EC" w:rsidRPr="008238EC" w:rsidRDefault="008238EC" w:rsidP="008238EC">
      <w:pPr>
        <w:pStyle w:val="NormalWeb"/>
        <w:numPr>
          <w:ilvl w:val="0"/>
          <w:numId w:val="28"/>
        </w:numPr>
        <w:spacing w:before="0" w:beforeAutospacing="0" w:after="120" w:afterAutospacing="0" w:line="360" w:lineRule="auto"/>
        <w:ind w:left="714" w:hanging="357"/>
        <w:jc w:val="both"/>
        <w:rPr>
          <w:rFonts w:ascii="Arial" w:hAnsi="Arial" w:cs="Arial"/>
          <w:color w:val="24292E"/>
          <w:sz w:val="22"/>
          <w:szCs w:val="22"/>
          <w:lang w:val="en-US"/>
        </w:rPr>
      </w:pPr>
      <w:r w:rsidRPr="008238EC">
        <w:rPr>
          <w:rFonts w:ascii="Arial" w:hAnsi="Arial" w:cs="Arial"/>
          <w:b/>
          <w:bCs/>
          <w:color w:val="24292E"/>
          <w:sz w:val="22"/>
          <w:szCs w:val="22"/>
          <w:lang w:val="en-US"/>
        </w:rPr>
        <w:t>D - 14 CD or as agreed upon between Creditor and Creditor Bank</w:t>
      </w:r>
      <w:r w:rsidRPr="008238EC">
        <w:rPr>
          <w:rFonts w:ascii="Arial" w:hAnsi="Arial" w:cs="Arial"/>
          <w:color w:val="24292E"/>
          <w:sz w:val="22"/>
          <w:szCs w:val="22"/>
          <w:lang w:val="en-US"/>
        </w:rPr>
        <w:t>: The Creditor is said to be “allowed to send the Collection to the Creditor Bank after the Pre-notification is sent to the Debtor, but not earlier than 14 Calendar Days before the Due Date”—unless otherwise agreed upon between the Creditor and the Creditor Bank.</w:t>
      </w:r>
    </w:p>
    <w:p w14:paraId="09BC5831" w14:textId="77777777" w:rsidR="008238EC" w:rsidRPr="008238EC" w:rsidRDefault="008238EC" w:rsidP="008238EC">
      <w:pPr>
        <w:pStyle w:val="NormalWeb"/>
        <w:numPr>
          <w:ilvl w:val="0"/>
          <w:numId w:val="28"/>
        </w:numPr>
        <w:spacing w:before="0" w:beforeAutospacing="0" w:after="120" w:afterAutospacing="0" w:line="360" w:lineRule="auto"/>
        <w:ind w:left="714" w:hanging="357"/>
        <w:jc w:val="both"/>
        <w:rPr>
          <w:rFonts w:ascii="Arial" w:hAnsi="Arial" w:cs="Arial"/>
          <w:color w:val="24292E"/>
          <w:sz w:val="22"/>
          <w:szCs w:val="22"/>
        </w:rPr>
      </w:pPr>
      <w:r w:rsidRPr="008238EC">
        <w:rPr>
          <w:rFonts w:ascii="Arial" w:hAnsi="Arial" w:cs="Arial"/>
          <w:b/>
          <w:bCs/>
          <w:color w:val="24292E"/>
          <w:sz w:val="22"/>
          <w:szCs w:val="22"/>
          <w:lang w:val="en-US"/>
        </w:rPr>
        <w:t>D - 1 TD</w:t>
      </w:r>
      <w:r w:rsidRPr="008238EC">
        <w:rPr>
          <w:rFonts w:ascii="Arial" w:hAnsi="Arial" w:cs="Arial"/>
          <w:color w:val="24292E"/>
          <w:sz w:val="22"/>
          <w:szCs w:val="22"/>
          <w:lang w:val="en-US"/>
        </w:rPr>
        <w:t xml:space="preserve">: The Creditor Bank is stipulated to be required to “send a Collection to the Debtor Bank so that [...] the Collection” is received “via the CSM at the latest one Inter-Bank Business Day [...] before Due Date and not earlier than 14 Calendar Days before the Due Date.” </w:t>
      </w:r>
      <w:r w:rsidRPr="008238EC">
        <w:rPr>
          <w:rFonts w:ascii="Arial" w:hAnsi="Arial" w:cs="Arial"/>
          <w:color w:val="24292E"/>
          <w:sz w:val="22"/>
          <w:szCs w:val="22"/>
        </w:rPr>
        <w:t>Inter-Bank Business Days are defined as “TARGET Days.”</w:t>
      </w:r>
    </w:p>
    <w:p w14:paraId="19900980" w14:textId="77777777" w:rsidR="008238EC" w:rsidRPr="008238EC" w:rsidRDefault="008238EC" w:rsidP="008238EC">
      <w:pPr>
        <w:pStyle w:val="NormalWeb"/>
        <w:numPr>
          <w:ilvl w:val="0"/>
          <w:numId w:val="28"/>
        </w:numPr>
        <w:spacing w:before="0" w:beforeAutospacing="0" w:after="240" w:afterAutospacing="0" w:line="360" w:lineRule="auto"/>
        <w:jc w:val="both"/>
        <w:rPr>
          <w:rFonts w:ascii="Arial" w:hAnsi="Arial" w:cs="Arial"/>
          <w:color w:val="24292E"/>
          <w:sz w:val="22"/>
          <w:szCs w:val="22"/>
          <w:lang w:val="en-US"/>
        </w:rPr>
      </w:pPr>
      <w:r w:rsidRPr="008238EC">
        <w:rPr>
          <w:rFonts w:ascii="Arial" w:hAnsi="Arial" w:cs="Arial"/>
          <w:b/>
          <w:bCs/>
          <w:color w:val="24292E"/>
          <w:sz w:val="22"/>
          <w:szCs w:val="22"/>
          <w:lang w:val="en-US"/>
        </w:rPr>
        <w:t>D + 1 TD</w:t>
      </w:r>
      <w:r w:rsidRPr="008238EC">
        <w:rPr>
          <w:rFonts w:ascii="Arial" w:hAnsi="Arial" w:cs="Arial"/>
          <w:color w:val="24292E"/>
          <w:sz w:val="22"/>
          <w:szCs w:val="22"/>
          <w:lang w:val="en-US"/>
        </w:rPr>
        <w:t>: The diagram presented in the SDD Rulebook can be interpreted to state that Settlement and the debiting of the Debtor’s Bank is to happen on the Due Date or—“[</w:t>
      </w:r>
      <w:proofErr w:type="spellStart"/>
      <w:r w:rsidRPr="008238EC">
        <w:rPr>
          <w:rFonts w:ascii="Arial" w:hAnsi="Arial" w:cs="Arial"/>
          <w:color w:val="24292E"/>
          <w:sz w:val="22"/>
          <w:szCs w:val="22"/>
          <w:lang w:val="en-US"/>
        </w:rPr>
        <w:t>i</w:t>
      </w:r>
      <w:proofErr w:type="spellEnd"/>
      <w:r w:rsidRPr="008238EC">
        <w:rPr>
          <w:rFonts w:ascii="Arial" w:hAnsi="Arial" w:cs="Arial"/>
          <w:color w:val="24292E"/>
          <w:sz w:val="22"/>
          <w:szCs w:val="22"/>
          <w:lang w:val="en-US"/>
        </w:rPr>
        <w:t>]f [the] due date is not a banking business day”—one TARGET Day after that.</w:t>
      </w:r>
    </w:p>
    <w:p w14:paraId="45C921BB" w14:textId="31FD4BF0" w:rsidR="008238EC" w:rsidRPr="000114C5" w:rsidRDefault="0063005C" w:rsidP="008238EC">
      <w:pPr>
        <w:pStyle w:val="NormalWeb"/>
        <w:spacing w:before="0" w:beforeAutospacing="0" w:after="240" w:afterAutospacing="0" w:line="360" w:lineRule="auto"/>
        <w:jc w:val="both"/>
        <w:rPr>
          <w:rFonts w:ascii="Arial" w:hAnsi="Arial" w:cs="Arial"/>
          <w:color w:val="24292E"/>
          <w:sz w:val="22"/>
          <w:szCs w:val="22"/>
          <w:lang w:val="en-US"/>
        </w:rPr>
      </w:pPr>
      <w:proofErr w:type="gramStart"/>
      <w:r w:rsidRPr="008238EC">
        <w:rPr>
          <w:rFonts w:ascii="Arial" w:hAnsi="Arial" w:cs="Arial"/>
          <w:color w:val="24292E"/>
          <w:sz w:val="22"/>
          <w:szCs w:val="22"/>
          <w:lang w:val="en-US"/>
        </w:rPr>
        <w:lastRenderedPageBreak/>
        <w:t>Similarly</w:t>
      </w:r>
      <w:proofErr w:type="gramEnd"/>
      <w:r w:rsidR="008238EC" w:rsidRPr="008238EC">
        <w:rPr>
          <w:rFonts w:ascii="Arial" w:hAnsi="Arial" w:cs="Arial"/>
          <w:color w:val="24292E"/>
          <w:sz w:val="22"/>
          <w:szCs w:val="22"/>
          <w:lang w:val="en-US"/>
        </w:rPr>
        <w:t xml:space="preserve"> to the SCT Rulebook, the SDD Rulebook describes many more Processes and corresponding time cycle rules—covering exception handling, corner cases, etc.—in much greater detail. For the sake of brevity, these will not be described in this paper. On a final note, it should be emphasized that the rules stipulated by the SDD Rulebook consistently reflect the PSD, for example, when stipulating that “Debtors are entitled to request a Refund for any SEPA Direct Debit within eight weeks from the [debit] date,” which “will be provided to the Debtor by the Debtor Bank on a no-questions-asked basis.”</w:t>
      </w:r>
    </w:p>
    <w:p w14:paraId="60635978" w14:textId="65A7C405" w:rsidR="00D0437C" w:rsidRPr="000114C5" w:rsidRDefault="00D0437C" w:rsidP="00D55DC1">
      <w:pPr>
        <w:pStyle w:val="NormalWeb"/>
        <w:spacing w:before="0" w:beforeAutospacing="0" w:after="240" w:afterAutospacing="0" w:line="360" w:lineRule="auto"/>
        <w:jc w:val="both"/>
        <w:rPr>
          <w:rFonts w:ascii="Arial" w:hAnsi="Arial" w:cs="Arial"/>
          <w:color w:val="24292E"/>
          <w:sz w:val="22"/>
          <w:szCs w:val="22"/>
          <w:lang w:val="en-US"/>
        </w:rPr>
        <w:sectPr w:rsidR="00D0437C" w:rsidRPr="000114C5" w:rsidSect="00B575B8">
          <w:headerReference w:type="default" r:id="rId25"/>
          <w:footerReference w:type="default" r:id="rId26"/>
          <w:pgSz w:w="11906" w:h="16838" w:code="9"/>
          <w:pgMar w:top="1848" w:right="2268" w:bottom="1134" w:left="1418" w:header="1134" w:footer="720" w:gutter="0"/>
          <w:cols w:space="720"/>
        </w:sectPr>
      </w:pPr>
    </w:p>
    <w:p w14:paraId="18A1EA00" w14:textId="65745725" w:rsidR="00495ED2" w:rsidRPr="000114C5" w:rsidRDefault="00495ED2" w:rsidP="00B62D64">
      <w:pPr>
        <w:pStyle w:val="Heading1"/>
        <w:rPr>
          <w:lang w:val="en-US"/>
        </w:rPr>
      </w:pPr>
      <w:bookmarkStart w:id="24" w:name="_Toc53958271"/>
      <w:r w:rsidRPr="000114C5">
        <w:rPr>
          <w:lang w:val="en-US"/>
        </w:rPr>
        <w:lastRenderedPageBreak/>
        <w:t>Conclusion</w:t>
      </w:r>
      <w:bookmarkEnd w:id="24"/>
    </w:p>
    <w:p w14:paraId="092D5529" w14:textId="77777777" w:rsidR="008238EC" w:rsidRPr="008238EC" w:rsidRDefault="008238EC" w:rsidP="008238EC">
      <w:pPr>
        <w:pStyle w:val="NormalWeb"/>
        <w:spacing w:before="240" w:beforeAutospacing="0" w:after="240" w:afterAutospacing="0" w:line="360" w:lineRule="auto"/>
        <w:jc w:val="both"/>
        <w:rPr>
          <w:rFonts w:ascii="Arial" w:hAnsi="Arial" w:cs="Arial"/>
          <w:color w:val="24292E"/>
          <w:sz w:val="22"/>
          <w:szCs w:val="22"/>
          <w:lang w:val="en-US"/>
        </w:rPr>
      </w:pPr>
      <w:r w:rsidRPr="008238EC">
        <w:rPr>
          <w:rFonts w:ascii="Arial" w:hAnsi="Arial" w:cs="Arial"/>
          <w:color w:val="24292E"/>
          <w:sz w:val="22"/>
          <w:szCs w:val="22"/>
          <w:lang w:val="en-US"/>
        </w:rPr>
        <w:t xml:space="preserve">In the previous sections, the European payments sector has been examined. Section 2 gave an overview of the institutions and legislation relevant in the domain of payments in Europe. Among the institutions introduced were law-making bodies, e.g., the EU and the ECB, as well as private-sector institutions, e.g., the EPC and the EBA. The regulations referred to include the PSD, the SEPA Regulation, the SFD and others. As it is the central piece of European payments regulation, section 3 introduced both the original and the revised version of the PSD </w:t>
      </w:r>
      <w:proofErr w:type="gramStart"/>
      <w:r w:rsidRPr="008238EC">
        <w:rPr>
          <w:rFonts w:ascii="Arial" w:hAnsi="Arial" w:cs="Arial"/>
          <w:color w:val="24292E"/>
          <w:sz w:val="22"/>
          <w:szCs w:val="22"/>
          <w:lang w:val="en-US"/>
        </w:rPr>
        <w:t>and also</w:t>
      </w:r>
      <w:proofErr w:type="gramEnd"/>
      <w:r w:rsidRPr="008238EC">
        <w:rPr>
          <w:rFonts w:ascii="Arial" w:hAnsi="Arial" w:cs="Arial"/>
          <w:color w:val="24292E"/>
          <w:sz w:val="22"/>
          <w:szCs w:val="22"/>
          <w:lang w:val="en-US"/>
        </w:rPr>
        <w:t xml:space="preserve"> discussed their backgrounds. The subsection on the original PSD covered, among other things, its key definitions—including those of PSPs and PIs—as well as a summary of its most important stipulations, e.g., the D+1 rule. The subsection on the PSD2 covered its main innovations, i.e., the introduction of TPPs and various technological requirements, and more. Section 4 introduced the SEPA, the most important private-sector initiative of the European payments market. The first subsection elaborated on the project’s background as well as its interplay with public-sector initiatives. Then, the concepts of clearing and settlement were explained in preparation for the following subsections, which presented the two most prominent SEPA payment instruments—SCT and SDD—at length.</w:t>
      </w:r>
    </w:p>
    <w:p w14:paraId="229E581D" w14:textId="709674FF" w:rsidR="00D0437C" w:rsidRPr="00D0437C" w:rsidRDefault="008238EC" w:rsidP="008238EC">
      <w:pPr>
        <w:pStyle w:val="NormalWeb"/>
        <w:spacing w:before="0" w:beforeAutospacing="0" w:after="240" w:afterAutospacing="0" w:line="360" w:lineRule="auto"/>
        <w:jc w:val="both"/>
        <w:rPr>
          <w:rFonts w:ascii="Arial" w:hAnsi="Arial" w:cs="Arial"/>
          <w:color w:val="24292E"/>
          <w:sz w:val="22"/>
          <w:szCs w:val="22"/>
          <w:lang w:val="en-US"/>
        </w:rPr>
        <w:sectPr w:rsidR="00D0437C" w:rsidRPr="00D0437C" w:rsidSect="00B575B8">
          <w:headerReference w:type="default" r:id="rId27"/>
          <w:footerReference w:type="default" r:id="rId28"/>
          <w:pgSz w:w="11906" w:h="16838" w:code="9"/>
          <w:pgMar w:top="1848" w:right="2268" w:bottom="1134" w:left="1418" w:header="1134" w:footer="720" w:gutter="0"/>
          <w:cols w:space="720"/>
        </w:sectPr>
      </w:pPr>
      <w:r w:rsidRPr="008238EC">
        <w:rPr>
          <w:rFonts w:ascii="Arial" w:hAnsi="Arial" w:cs="Arial"/>
          <w:color w:val="24292E"/>
          <w:sz w:val="22"/>
          <w:szCs w:val="22"/>
          <w:lang w:val="en-US"/>
        </w:rPr>
        <w:t xml:space="preserve">At this point, the reader has been introduced to the key players, regulations, initiatives and instruments of the European payments market. However, as the payments landscape in Europe—let alone globally—is, as mentioned before, vast, it should be noted that the knowledge presented here is by no means exhaustive and merely constitutes a subjective selection. Nevertheless—from here, innovators and entrepreneurs </w:t>
      </w:r>
      <w:proofErr w:type="gramStart"/>
      <w:r w:rsidRPr="008238EC">
        <w:rPr>
          <w:rFonts w:ascii="Arial" w:hAnsi="Arial" w:cs="Arial"/>
          <w:color w:val="24292E"/>
          <w:sz w:val="22"/>
          <w:szCs w:val="22"/>
          <w:lang w:val="en-US"/>
        </w:rPr>
        <w:t>are able to</w:t>
      </w:r>
      <w:proofErr w:type="gramEnd"/>
      <w:r w:rsidRPr="008238EC">
        <w:rPr>
          <w:rFonts w:ascii="Arial" w:hAnsi="Arial" w:cs="Arial"/>
          <w:color w:val="24292E"/>
          <w:sz w:val="22"/>
          <w:szCs w:val="22"/>
          <w:lang w:val="en-US"/>
        </w:rPr>
        <w:t xml:space="preserve"> start their journey into the European payments sector, being able to draw on the knowledge presented in this paper.</w:t>
      </w:r>
    </w:p>
    <w:p w14:paraId="1022D378" w14:textId="54741D1C" w:rsidR="008238EC" w:rsidRPr="0009004B" w:rsidRDefault="000114C5" w:rsidP="0009004B">
      <w:pPr>
        <w:pStyle w:val="VVerzeichnisberschrift"/>
        <w:spacing w:before="120"/>
        <w:rPr>
          <w:lang w:val="en-US"/>
        </w:rPr>
      </w:pPr>
      <w:bookmarkStart w:id="25" w:name="_Toc53958272"/>
      <w:r w:rsidRPr="000114C5">
        <w:rPr>
          <w:lang w:val="en-US"/>
        </w:rPr>
        <w:lastRenderedPageBreak/>
        <w:t>References</w:t>
      </w:r>
      <w:bookmarkEnd w:id="25"/>
    </w:p>
    <w:p w14:paraId="43C34611" w14:textId="77777777" w:rsidR="008238EC" w:rsidRPr="008238EC" w:rsidRDefault="008238EC" w:rsidP="008238EC">
      <w:pPr>
        <w:numPr>
          <w:ilvl w:val="0"/>
          <w:numId w:val="29"/>
        </w:numPr>
        <w:shd w:val="clear" w:color="auto" w:fill="FFFFFF"/>
        <w:spacing w:before="60" w:after="100" w:afterAutospacing="1" w:line="360" w:lineRule="auto"/>
        <w:jc w:val="left"/>
        <w:rPr>
          <w:rFonts w:ascii="Arial" w:hAnsi="Arial" w:cs="Arial"/>
          <w:color w:val="24292E"/>
          <w:sz w:val="22"/>
          <w:szCs w:val="22"/>
          <w:lang w:val="en-US"/>
        </w:rPr>
      </w:pPr>
      <w:r w:rsidRPr="008238EC">
        <w:rPr>
          <w:rFonts w:ascii="Arial" w:hAnsi="Arial" w:cs="Arial"/>
          <w:color w:val="24292E"/>
          <w:sz w:val="22"/>
          <w:szCs w:val="22"/>
          <w:lang w:val="en-US"/>
        </w:rPr>
        <w:t>European Central Bank (2007): Blue Book: Payment and Securities Settlement Systems in the European Union, Volume 1</w:t>
      </w:r>
      <w:r w:rsidRPr="008238EC">
        <w:rPr>
          <w:rFonts w:ascii="Arial" w:hAnsi="Arial" w:cs="Arial"/>
          <w:color w:val="24292E"/>
          <w:sz w:val="22"/>
          <w:szCs w:val="22"/>
          <w:lang w:val="en-US"/>
        </w:rPr>
        <w:br/>
      </w:r>
      <w:hyperlink r:id="rId29" w:history="1">
        <w:r w:rsidRPr="008238EC">
          <w:rPr>
            <w:rStyle w:val="Hyperlink"/>
            <w:rFonts w:cs="Arial"/>
            <w:color w:val="0366D6"/>
            <w:szCs w:val="22"/>
            <w:lang w:val="en-US"/>
          </w:rPr>
          <w:t>https://www.ecb.europa.eu/pub/pdf/other/ecbbluebookea200708en.pdf</w:t>
        </w:r>
      </w:hyperlink>
    </w:p>
    <w:p w14:paraId="3563C58E" w14:textId="77777777" w:rsidR="008238EC" w:rsidRPr="008238EC" w:rsidRDefault="008238EC" w:rsidP="008238EC">
      <w:pPr>
        <w:numPr>
          <w:ilvl w:val="0"/>
          <w:numId w:val="29"/>
        </w:numPr>
        <w:shd w:val="clear" w:color="auto" w:fill="FFFFFF"/>
        <w:spacing w:before="60" w:after="100" w:afterAutospacing="1" w:line="360" w:lineRule="auto"/>
        <w:jc w:val="left"/>
        <w:rPr>
          <w:rFonts w:ascii="Arial" w:hAnsi="Arial" w:cs="Arial"/>
          <w:color w:val="24292E"/>
          <w:sz w:val="22"/>
          <w:szCs w:val="22"/>
          <w:lang w:val="en-US"/>
        </w:rPr>
      </w:pPr>
      <w:r w:rsidRPr="008238EC">
        <w:rPr>
          <w:rFonts w:ascii="Arial" w:hAnsi="Arial" w:cs="Arial"/>
          <w:color w:val="24292E"/>
          <w:sz w:val="22"/>
          <w:szCs w:val="22"/>
          <w:lang w:val="en-US"/>
        </w:rPr>
        <w:t>European Commission Directorate-General for Communication (2020): Single euro payments area (SEPA)</w:t>
      </w:r>
      <w:r w:rsidRPr="008238EC">
        <w:rPr>
          <w:rFonts w:ascii="Arial" w:hAnsi="Arial" w:cs="Arial"/>
          <w:color w:val="24292E"/>
          <w:sz w:val="22"/>
          <w:szCs w:val="22"/>
          <w:lang w:val="en-US"/>
        </w:rPr>
        <w:br/>
      </w:r>
      <w:hyperlink r:id="rId30" w:history="1">
        <w:r w:rsidRPr="008238EC">
          <w:rPr>
            <w:rStyle w:val="Hyperlink"/>
            <w:rFonts w:cs="Arial"/>
            <w:color w:val="0366D6"/>
            <w:szCs w:val="22"/>
            <w:lang w:val="en-US"/>
          </w:rPr>
          <w:t>https://ec.europa.eu/info/business-economy-euro/banking-and-finance/consumer-finance-and-payments/payment-services/single-euro-payments-area-sepa_en</w:t>
        </w:r>
      </w:hyperlink>
    </w:p>
    <w:p w14:paraId="4F9EA816" w14:textId="77777777" w:rsidR="008238EC" w:rsidRPr="008238EC" w:rsidRDefault="008238EC" w:rsidP="008238EC">
      <w:pPr>
        <w:numPr>
          <w:ilvl w:val="0"/>
          <w:numId w:val="29"/>
        </w:numPr>
        <w:shd w:val="clear" w:color="auto" w:fill="FFFFFF"/>
        <w:spacing w:before="60" w:after="100" w:afterAutospacing="1" w:line="360" w:lineRule="auto"/>
        <w:jc w:val="left"/>
        <w:rPr>
          <w:rFonts w:ascii="Arial" w:hAnsi="Arial" w:cs="Arial"/>
          <w:color w:val="24292E"/>
          <w:sz w:val="22"/>
          <w:szCs w:val="22"/>
          <w:lang w:val="en-US"/>
        </w:rPr>
      </w:pPr>
      <w:r w:rsidRPr="008238EC">
        <w:rPr>
          <w:rFonts w:ascii="Arial" w:hAnsi="Arial" w:cs="Arial"/>
          <w:color w:val="24292E"/>
          <w:sz w:val="22"/>
          <w:szCs w:val="22"/>
          <w:lang w:val="en-US"/>
        </w:rPr>
        <w:t>Euro Banking Association (2008): Banks Preparing for PSD: A Guide for Bankers on the Payment Services Directive</w:t>
      </w:r>
      <w:r w:rsidRPr="008238EC">
        <w:rPr>
          <w:rFonts w:ascii="Arial" w:hAnsi="Arial" w:cs="Arial"/>
          <w:color w:val="24292E"/>
          <w:sz w:val="22"/>
          <w:szCs w:val="22"/>
          <w:lang w:val="en-US"/>
        </w:rPr>
        <w:br/>
      </w:r>
      <w:hyperlink r:id="rId31" w:history="1">
        <w:r w:rsidRPr="008238EC">
          <w:rPr>
            <w:rStyle w:val="Hyperlink"/>
            <w:rFonts w:cs="Arial"/>
            <w:color w:val="0366D6"/>
            <w:szCs w:val="22"/>
            <w:lang w:val="en-US"/>
          </w:rPr>
          <w:t>https://www.abe-eba.eu/media/azure/production/1342/banks-preparing-for-psd.pdf</w:t>
        </w:r>
      </w:hyperlink>
    </w:p>
    <w:p w14:paraId="14A3231F" w14:textId="77777777" w:rsidR="008238EC" w:rsidRPr="008238EC" w:rsidRDefault="008238EC" w:rsidP="008238EC">
      <w:pPr>
        <w:numPr>
          <w:ilvl w:val="0"/>
          <w:numId w:val="29"/>
        </w:numPr>
        <w:shd w:val="clear" w:color="auto" w:fill="FFFFFF"/>
        <w:spacing w:before="60" w:after="100" w:afterAutospacing="1" w:line="360" w:lineRule="auto"/>
        <w:jc w:val="left"/>
        <w:rPr>
          <w:rFonts w:ascii="Arial" w:hAnsi="Arial" w:cs="Arial"/>
          <w:color w:val="24292E"/>
          <w:sz w:val="22"/>
          <w:szCs w:val="22"/>
          <w:lang w:val="en-US"/>
        </w:rPr>
      </w:pPr>
      <w:r w:rsidRPr="008238EC">
        <w:rPr>
          <w:rFonts w:ascii="Arial" w:hAnsi="Arial" w:cs="Arial"/>
          <w:color w:val="24292E"/>
          <w:sz w:val="22"/>
          <w:szCs w:val="22"/>
          <w:lang w:val="en-US"/>
        </w:rPr>
        <w:t>European Parliament and Council (2007): Directive 2007/64/EC on payment services in the internal market</w:t>
      </w:r>
      <w:r w:rsidRPr="008238EC">
        <w:rPr>
          <w:rFonts w:ascii="Arial" w:hAnsi="Arial" w:cs="Arial"/>
          <w:color w:val="24292E"/>
          <w:sz w:val="22"/>
          <w:szCs w:val="22"/>
          <w:lang w:val="en-US"/>
        </w:rPr>
        <w:br/>
      </w:r>
      <w:hyperlink r:id="rId32" w:history="1">
        <w:r w:rsidRPr="008238EC">
          <w:rPr>
            <w:rStyle w:val="Hyperlink"/>
            <w:rFonts w:cs="Arial"/>
            <w:color w:val="0366D6"/>
            <w:szCs w:val="22"/>
            <w:lang w:val="en-US"/>
          </w:rPr>
          <w:t>http://data.europa.eu/eli/dir/2007/64/oj</w:t>
        </w:r>
      </w:hyperlink>
    </w:p>
    <w:p w14:paraId="5187088B" w14:textId="77777777" w:rsidR="008238EC" w:rsidRPr="008238EC" w:rsidRDefault="008238EC" w:rsidP="008238EC">
      <w:pPr>
        <w:numPr>
          <w:ilvl w:val="0"/>
          <w:numId w:val="29"/>
        </w:numPr>
        <w:shd w:val="clear" w:color="auto" w:fill="FFFFFF"/>
        <w:spacing w:before="60" w:after="100" w:afterAutospacing="1" w:line="360" w:lineRule="auto"/>
        <w:jc w:val="left"/>
        <w:rPr>
          <w:rFonts w:ascii="Arial" w:hAnsi="Arial" w:cs="Arial"/>
          <w:color w:val="24292E"/>
          <w:sz w:val="22"/>
          <w:szCs w:val="22"/>
          <w:lang w:val="en-US"/>
        </w:rPr>
      </w:pPr>
      <w:r w:rsidRPr="008238EC">
        <w:rPr>
          <w:rFonts w:ascii="Arial" w:hAnsi="Arial" w:cs="Arial"/>
          <w:color w:val="24292E"/>
          <w:sz w:val="22"/>
          <w:szCs w:val="22"/>
          <w:lang w:val="en-US"/>
        </w:rPr>
        <w:t>Payments UK, now UK Finance (2016): The Second Payment Services Directive (PSD2): A briefing from Payments UK</w:t>
      </w:r>
      <w:r w:rsidRPr="008238EC">
        <w:rPr>
          <w:rFonts w:ascii="Arial" w:hAnsi="Arial" w:cs="Arial"/>
          <w:color w:val="24292E"/>
          <w:sz w:val="22"/>
          <w:szCs w:val="22"/>
          <w:lang w:val="en-US"/>
        </w:rPr>
        <w:br/>
      </w:r>
      <w:hyperlink r:id="rId33" w:history="1">
        <w:r w:rsidRPr="008238EC">
          <w:rPr>
            <w:rStyle w:val="Hyperlink"/>
            <w:rFonts w:cs="Arial"/>
            <w:color w:val="0366D6"/>
            <w:szCs w:val="22"/>
            <w:lang w:val="en-US"/>
          </w:rPr>
          <w:t>https://static1.squarespace.com/static/5888b0436a496319031d1d45/t/5964d1562994ca141b2d3cfe/1499779436856/PSD2+impact+report.pdf</w:t>
        </w:r>
      </w:hyperlink>
    </w:p>
    <w:p w14:paraId="445FA3BF" w14:textId="77777777" w:rsidR="008238EC" w:rsidRPr="008238EC" w:rsidRDefault="008238EC" w:rsidP="008238EC">
      <w:pPr>
        <w:numPr>
          <w:ilvl w:val="0"/>
          <w:numId w:val="29"/>
        </w:numPr>
        <w:shd w:val="clear" w:color="auto" w:fill="FFFFFF"/>
        <w:spacing w:before="60" w:after="100" w:afterAutospacing="1" w:line="360" w:lineRule="auto"/>
        <w:jc w:val="left"/>
        <w:rPr>
          <w:rFonts w:ascii="Arial" w:hAnsi="Arial" w:cs="Arial"/>
          <w:color w:val="24292E"/>
          <w:sz w:val="22"/>
          <w:szCs w:val="22"/>
          <w:lang w:val="en-US"/>
        </w:rPr>
      </w:pPr>
      <w:proofErr w:type="spellStart"/>
      <w:r w:rsidRPr="008238EC">
        <w:rPr>
          <w:rFonts w:ascii="Arial" w:hAnsi="Arial" w:cs="Arial"/>
          <w:color w:val="24292E"/>
          <w:sz w:val="22"/>
          <w:szCs w:val="22"/>
          <w:lang w:val="en-US"/>
        </w:rPr>
        <w:t>Nasiński</w:t>
      </w:r>
      <w:proofErr w:type="spellEnd"/>
      <w:r w:rsidRPr="008238EC">
        <w:rPr>
          <w:rFonts w:ascii="Arial" w:hAnsi="Arial" w:cs="Arial"/>
          <w:color w:val="24292E"/>
          <w:sz w:val="22"/>
          <w:szCs w:val="22"/>
          <w:lang w:val="en-US"/>
        </w:rPr>
        <w:t xml:space="preserve">, </w:t>
      </w:r>
      <w:proofErr w:type="spellStart"/>
      <w:r w:rsidRPr="008238EC">
        <w:rPr>
          <w:rFonts w:ascii="Arial" w:hAnsi="Arial" w:cs="Arial"/>
          <w:color w:val="24292E"/>
          <w:sz w:val="22"/>
          <w:szCs w:val="22"/>
          <w:lang w:val="en-US"/>
        </w:rPr>
        <w:t>Przemysław</w:t>
      </w:r>
      <w:proofErr w:type="spellEnd"/>
      <w:r w:rsidRPr="008238EC">
        <w:rPr>
          <w:rFonts w:ascii="Arial" w:hAnsi="Arial" w:cs="Arial"/>
          <w:color w:val="24292E"/>
          <w:sz w:val="22"/>
          <w:szCs w:val="22"/>
          <w:lang w:val="en-US"/>
        </w:rPr>
        <w:t xml:space="preserve"> (2010): Payment Services Directive: A New Legal Framework for Payments in the European Union</w:t>
      </w:r>
      <w:r w:rsidRPr="008238EC">
        <w:rPr>
          <w:rFonts w:ascii="Arial" w:hAnsi="Arial" w:cs="Arial"/>
          <w:color w:val="24292E"/>
          <w:sz w:val="22"/>
          <w:szCs w:val="22"/>
          <w:lang w:val="en-US"/>
        </w:rPr>
        <w:br/>
      </w:r>
      <w:hyperlink r:id="rId34" w:history="1">
        <w:r w:rsidRPr="008238EC">
          <w:rPr>
            <w:rStyle w:val="Hyperlink"/>
            <w:rFonts w:cs="Arial"/>
            <w:color w:val="0366D6"/>
            <w:szCs w:val="22"/>
            <w:lang w:val="en-US"/>
          </w:rPr>
          <w:t>https://citeseerx.ist.psu.edu/viewdoc/download?doi=10.1.1.926.2777&amp;rep=rep1&amp;type=pdf</w:t>
        </w:r>
      </w:hyperlink>
    </w:p>
    <w:p w14:paraId="2419BBC4" w14:textId="77777777" w:rsidR="008238EC" w:rsidRPr="008238EC" w:rsidRDefault="008238EC" w:rsidP="008238EC">
      <w:pPr>
        <w:numPr>
          <w:ilvl w:val="0"/>
          <w:numId w:val="29"/>
        </w:numPr>
        <w:shd w:val="clear" w:color="auto" w:fill="FFFFFF"/>
        <w:spacing w:before="60" w:after="100" w:afterAutospacing="1" w:line="360" w:lineRule="auto"/>
        <w:jc w:val="left"/>
        <w:rPr>
          <w:rFonts w:ascii="Arial" w:hAnsi="Arial" w:cs="Arial"/>
          <w:color w:val="24292E"/>
          <w:sz w:val="22"/>
          <w:szCs w:val="22"/>
          <w:lang w:val="en-US"/>
        </w:rPr>
      </w:pPr>
      <w:r w:rsidRPr="008238EC">
        <w:rPr>
          <w:rFonts w:ascii="Arial" w:hAnsi="Arial" w:cs="Arial"/>
          <w:color w:val="24292E"/>
          <w:sz w:val="22"/>
          <w:szCs w:val="22"/>
          <w:lang w:val="en-US"/>
        </w:rPr>
        <w:t>European Payments Council (2020): SEPA Instant Credit Transfer</w:t>
      </w:r>
      <w:r w:rsidRPr="008238EC">
        <w:rPr>
          <w:rFonts w:ascii="Arial" w:hAnsi="Arial" w:cs="Arial"/>
          <w:color w:val="24292E"/>
          <w:sz w:val="22"/>
          <w:szCs w:val="22"/>
          <w:lang w:val="en-US"/>
        </w:rPr>
        <w:br/>
      </w:r>
      <w:hyperlink r:id="rId35" w:history="1">
        <w:r w:rsidRPr="008238EC">
          <w:rPr>
            <w:rStyle w:val="Hyperlink"/>
            <w:rFonts w:cs="Arial"/>
            <w:color w:val="0366D6"/>
            <w:szCs w:val="22"/>
            <w:lang w:val="en-US"/>
          </w:rPr>
          <w:t>https://www.europeanpaymentscouncil.eu/what-we-do/sepa-instant-credit-transfer</w:t>
        </w:r>
      </w:hyperlink>
    </w:p>
    <w:p w14:paraId="0A451ED4" w14:textId="7EF59127" w:rsidR="008238EC" w:rsidRPr="008238EC" w:rsidRDefault="008238EC" w:rsidP="008238EC">
      <w:pPr>
        <w:numPr>
          <w:ilvl w:val="0"/>
          <w:numId w:val="29"/>
        </w:numPr>
        <w:shd w:val="clear" w:color="auto" w:fill="FFFFFF"/>
        <w:spacing w:before="60" w:after="100" w:afterAutospacing="1" w:line="360" w:lineRule="auto"/>
        <w:jc w:val="left"/>
        <w:rPr>
          <w:rFonts w:ascii="Arial" w:hAnsi="Arial" w:cs="Arial"/>
          <w:color w:val="24292E"/>
          <w:sz w:val="22"/>
          <w:szCs w:val="22"/>
          <w:lang w:val="en-US"/>
        </w:rPr>
      </w:pPr>
      <w:r w:rsidRPr="008238EC">
        <w:rPr>
          <w:rFonts w:ascii="Arial" w:hAnsi="Arial" w:cs="Arial"/>
          <w:color w:val="24292E"/>
          <w:sz w:val="22"/>
          <w:szCs w:val="22"/>
          <w:lang w:val="en-US"/>
        </w:rPr>
        <w:t xml:space="preserve">Jean Paul </w:t>
      </w:r>
      <w:proofErr w:type="spellStart"/>
      <w:r w:rsidRPr="008238EC">
        <w:rPr>
          <w:rFonts w:ascii="Arial" w:hAnsi="Arial" w:cs="Arial"/>
          <w:color w:val="24292E"/>
          <w:sz w:val="22"/>
          <w:szCs w:val="22"/>
          <w:lang w:val="en-US"/>
        </w:rPr>
        <w:t>Megue</w:t>
      </w:r>
      <w:proofErr w:type="spellEnd"/>
      <w:r w:rsidRPr="008238EC">
        <w:rPr>
          <w:rFonts w:ascii="Arial" w:hAnsi="Arial" w:cs="Arial"/>
          <w:color w:val="24292E"/>
          <w:sz w:val="22"/>
          <w:szCs w:val="22"/>
          <w:lang w:val="en-US"/>
        </w:rPr>
        <w:t xml:space="preserve"> (2018): SEPA Credit Transfer: How to understand and add value to your SCT payment project</w:t>
      </w:r>
      <w:r w:rsidR="0009004B" w:rsidRPr="008238EC">
        <w:rPr>
          <w:rFonts w:ascii="Arial" w:hAnsi="Arial" w:cs="Arial"/>
          <w:color w:val="24292E"/>
          <w:sz w:val="22"/>
          <w:szCs w:val="22"/>
          <w:lang w:val="en-US"/>
        </w:rPr>
        <w:br/>
      </w:r>
      <w:hyperlink r:id="rId36" w:history="1">
        <w:r w:rsidRPr="008238EC">
          <w:rPr>
            <w:rStyle w:val="Hyperlink"/>
            <w:rFonts w:cs="Arial"/>
            <w:color w:val="0366D6"/>
            <w:szCs w:val="22"/>
            <w:lang w:val="en-US"/>
          </w:rPr>
          <w:t>https://www.paiementor.com/sct-book/</w:t>
        </w:r>
      </w:hyperlink>
    </w:p>
    <w:p w14:paraId="18BC6F94" w14:textId="77777777" w:rsidR="008238EC" w:rsidRPr="008238EC" w:rsidRDefault="008238EC" w:rsidP="008238EC">
      <w:pPr>
        <w:numPr>
          <w:ilvl w:val="0"/>
          <w:numId w:val="29"/>
        </w:numPr>
        <w:shd w:val="clear" w:color="auto" w:fill="FFFFFF"/>
        <w:spacing w:before="60" w:after="100" w:afterAutospacing="1" w:line="360" w:lineRule="auto"/>
        <w:jc w:val="left"/>
        <w:rPr>
          <w:rFonts w:ascii="Arial" w:hAnsi="Arial" w:cs="Arial"/>
          <w:color w:val="24292E"/>
          <w:sz w:val="22"/>
          <w:szCs w:val="22"/>
          <w:lang w:val="en-US"/>
        </w:rPr>
      </w:pPr>
      <w:r w:rsidRPr="008238EC">
        <w:rPr>
          <w:rFonts w:ascii="Arial" w:hAnsi="Arial" w:cs="Arial"/>
          <w:color w:val="24292E"/>
          <w:sz w:val="22"/>
          <w:szCs w:val="22"/>
          <w:lang w:val="en-US"/>
        </w:rPr>
        <w:lastRenderedPageBreak/>
        <w:t>EBA Clearing (2020): STEP2 SCT</w:t>
      </w:r>
      <w:r w:rsidRPr="008238EC">
        <w:rPr>
          <w:rFonts w:ascii="Arial" w:hAnsi="Arial" w:cs="Arial"/>
          <w:color w:val="24292E"/>
          <w:sz w:val="22"/>
          <w:szCs w:val="22"/>
          <w:lang w:val="en-US"/>
        </w:rPr>
        <w:br/>
      </w:r>
      <w:hyperlink r:id="rId37" w:history="1">
        <w:r w:rsidRPr="008238EC">
          <w:rPr>
            <w:rStyle w:val="Hyperlink"/>
            <w:rFonts w:cs="Arial"/>
            <w:color w:val="0366D6"/>
            <w:szCs w:val="22"/>
            <w:lang w:val="en-US"/>
          </w:rPr>
          <w:t>https://www.ebaclearing.eu/services/step2-sct/settlement-and-processing-cycles/</w:t>
        </w:r>
      </w:hyperlink>
    </w:p>
    <w:p w14:paraId="10113BF6" w14:textId="77777777" w:rsidR="008238EC" w:rsidRPr="008238EC" w:rsidRDefault="008238EC" w:rsidP="008238EC">
      <w:pPr>
        <w:numPr>
          <w:ilvl w:val="0"/>
          <w:numId w:val="29"/>
        </w:numPr>
        <w:shd w:val="clear" w:color="auto" w:fill="FFFFFF"/>
        <w:spacing w:before="60" w:after="100" w:afterAutospacing="1" w:line="360" w:lineRule="auto"/>
        <w:jc w:val="left"/>
        <w:rPr>
          <w:rFonts w:ascii="Arial" w:hAnsi="Arial" w:cs="Arial"/>
          <w:color w:val="24292E"/>
          <w:sz w:val="22"/>
          <w:szCs w:val="22"/>
          <w:lang w:val="en-US"/>
        </w:rPr>
      </w:pPr>
      <w:r w:rsidRPr="008238EC">
        <w:rPr>
          <w:rFonts w:ascii="Arial" w:hAnsi="Arial" w:cs="Arial"/>
          <w:color w:val="24292E"/>
          <w:sz w:val="22"/>
          <w:szCs w:val="22"/>
          <w:lang w:val="en-US"/>
        </w:rPr>
        <w:t>European Payments Council (2020): SEPA Credit Transfer Scheme Rulebook, Version 1.1</w:t>
      </w:r>
      <w:r w:rsidRPr="008238EC">
        <w:rPr>
          <w:rFonts w:ascii="Arial" w:hAnsi="Arial" w:cs="Arial"/>
          <w:color w:val="24292E"/>
          <w:sz w:val="22"/>
          <w:szCs w:val="22"/>
          <w:lang w:val="en-US"/>
        </w:rPr>
        <w:br/>
      </w:r>
      <w:hyperlink r:id="rId38" w:history="1">
        <w:r w:rsidRPr="008238EC">
          <w:rPr>
            <w:rStyle w:val="Hyperlink"/>
            <w:rFonts w:cs="Arial"/>
            <w:color w:val="0366D6"/>
            <w:szCs w:val="22"/>
            <w:lang w:val="en-US"/>
          </w:rPr>
          <w:t>https://www.europeanpaymentscouncil.eu/document-library/rulebooks/2019-sepa-credit-transfer-rulebook-version-11</w:t>
        </w:r>
      </w:hyperlink>
    </w:p>
    <w:p w14:paraId="605E38EA" w14:textId="456D740F" w:rsidR="008238EC" w:rsidRPr="0009004B" w:rsidRDefault="008238EC" w:rsidP="0009004B">
      <w:pPr>
        <w:numPr>
          <w:ilvl w:val="0"/>
          <w:numId w:val="29"/>
        </w:numPr>
        <w:shd w:val="clear" w:color="auto" w:fill="FFFFFF"/>
        <w:spacing w:before="60" w:after="100" w:afterAutospacing="1" w:line="360" w:lineRule="auto"/>
        <w:jc w:val="left"/>
        <w:rPr>
          <w:rFonts w:ascii="Arial" w:hAnsi="Arial" w:cs="Arial"/>
          <w:color w:val="24292E"/>
          <w:sz w:val="22"/>
          <w:szCs w:val="22"/>
          <w:lang w:val="en-US"/>
        </w:rPr>
      </w:pPr>
      <w:r w:rsidRPr="008238EC">
        <w:rPr>
          <w:rFonts w:ascii="Arial" w:hAnsi="Arial" w:cs="Arial"/>
          <w:color w:val="24292E"/>
          <w:sz w:val="22"/>
          <w:szCs w:val="22"/>
          <w:lang w:val="en-US"/>
        </w:rPr>
        <w:t>European Payments Council (2020): SEPA Direct Debit Core Rulebook, Version 1.1</w:t>
      </w:r>
      <w:r w:rsidRPr="008238EC">
        <w:rPr>
          <w:rFonts w:ascii="Arial" w:hAnsi="Arial" w:cs="Arial"/>
          <w:color w:val="24292E"/>
          <w:sz w:val="22"/>
          <w:szCs w:val="22"/>
          <w:lang w:val="en-US"/>
        </w:rPr>
        <w:br/>
      </w:r>
      <w:hyperlink r:id="rId39" w:history="1">
        <w:r w:rsidRPr="008238EC">
          <w:rPr>
            <w:rStyle w:val="Hyperlink"/>
            <w:rFonts w:cs="Arial"/>
            <w:color w:val="0366D6"/>
            <w:szCs w:val="22"/>
            <w:lang w:val="en-US"/>
          </w:rPr>
          <w:t>https://www.europeanpaymentscouncil.eu/document-library/rulebooks/2019-sepa-direct-debit-core-rulebook-version-11</w:t>
        </w:r>
      </w:hyperlink>
    </w:p>
    <w:sectPr w:rsidR="008238EC" w:rsidRPr="0009004B" w:rsidSect="00B575B8">
      <w:headerReference w:type="default" r:id="rId40"/>
      <w:footerReference w:type="default" r:id="rId41"/>
      <w:pgSz w:w="11906" w:h="16838" w:code="9"/>
      <w:pgMar w:top="1848" w:right="2268" w:bottom="1134" w:left="1418" w:header="113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0C64A1" w14:textId="77777777" w:rsidR="008C0FA9" w:rsidRDefault="008C0FA9">
      <w:r>
        <w:separator/>
      </w:r>
    </w:p>
  </w:endnote>
  <w:endnote w:type="continuationSeparator" w:id="0">
    <w:p w14:paraId="26871F80" w14:textId="77777777" w:rsidR="008C0FA9" w:rsidRDefault="008C0F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IDFont+F1">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CEC763" w14:textId="77777777" w:rsidR="00C46345" w:rsidRDefault="00C46345">
    <w:pPr>
      <w:pStyle w:val="Footer"/>
    </w:pPr>
    <w:r>
      <w:fldChar w:fldCharType="begin"/>
    </w:r>
    <w:r>
      <w:instrText xml:space="preserve"> PRINT  \* MERGEFORMAT </w:instrTex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9A94E8" w14:textId="77777777" w:rsidR="00C46345" w:rsidRDefault="00C463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387A53" w14:textId="77777777" w:rsidR="00C46345" w:rsidRDefault="00C4634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7C87C5" w14:textId="77777777" w:rsidR="00C46345" w:rsidRDefault="00C4634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10DAEC" w14:textId="77777777" w:rsidR="00C46345" w:rsidRDefault="00C4634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7CDD0C" w14:textId="77777777" w:rsidR="00C46345" w:rsidRDefault="00C46345">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EE3BDF" w14:textId="77777777" w:rsidR="00C46345" w:rsidRDefault="00C46345">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0FEF1D" w14:textId="77777777" w:rsidR="00C46345" w:rsidRDefault="00C46345">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D9AC39" w14:textId="77777777" w:rsidR="00C46345" w:rsidRDefault="00C463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782C0A" w14:textId="77777777" w:rsidR="008C0FA9" w:rsidRDefault="008C0FA9">
      <w:r>
        <w:separator/>
      </w:r>
    </w:p>
  </w:footnote>
  <w:footnote w:type="continuationSeparator" w:id="0">
    <w:p w14:paraId="6D759CB3" w14:textId="77777777" w:rsidR="008C0FA9" w:rsidRDefault="008C0F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83F854" w14:textId="77777777" w:rsidR="00C46345" w:rsidRPr="00D0227A" w:rsidRDefault="00C46345" w:rsidP="004929B7">
    <w:pPr>
      <w:pStyle w:val="Header"/>
    </w:pPr>
    <w:r>
      <w:rPr>
        <w:rStyle w:val="PageNumber"/>
      </w:rPr>
      <w:t>Inhaltsverzeichnis</w:t>
    </w:r>
    <w:r>
      <w:rPr>
        <w:rStyle w:val="PageNumber"/>
      </w:rPr>
      <w:tab/>
    </w: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79160F" w14:textId="2C9F0045" w:rsidR="00C46345" w:rsidRPr="00B575B8" w:rsidRDefault="00C46345" w:rsidP="00D27B26">
    <w:pPr>
      <w:pStyle w:val="Header"/>
      <w:pBdr>
        <w:bottom w:val="single" w:sz="6" w:space="1" w:color="auto"/>
      </w:pBdr>
      <w:rPr>
        <w:sz w:val="22"/>
        <w:szCs w:val="22"/>
      </w:rPr>
    </w:pPr>
    <w:r w:rsidRPr="00B575B8">
      <w:rPr>
        <w:noProof/>
        <w:sz w:val="22"/>
        <w:szCs w:val="22"/>
      </w:rPr>
      <w:fldChar w:fldCharType="begin"/>
    </w:r>
    <w:r w:rsidRPr="00B575B8">
      <w:rPr>
        <w:noProof/>
        <w:sz w:val="22"/>
        <w:szCs w:val="22"/>
      </w:rPr>
      <w:instrText xml:space="preserve"> STYLEREF  "V Verzeichnis_Überschrift" </w:instrText>
    </w:r>
    <w:r w:rsidRPr="00B575B8">
      <w:rPr>
        <w:noProof/>
        <w:sz w:val="22"/>
        <w:szCs w:val="22"/>
      </w:rPr>
      <w:fldChar w:fldCharType="separate"/>
    </w:r>
    <w:r w:rsidR="00216E15">
      <w:rPr>
        <w:noProof/>
        <w:sz w:val="22"/>
        <w:szCs w:val="22"/>
      </w:rPr>
      <w:t>References</w:t>
    </w:r>
    <w:r w:rsidRPr="00B575B8">
      <w:rPr>
        <w:noProof/>
        <w:sz w:val="22"/>
        <w:szCs w:val="22"/>
      </w:rPr>
      <w:fldChar w:fldCharType="end"/>
    </w:r>
    <w:r w:rsidRPr="00B575B8">
      <w:rPr>
        <w:sz w:val="22"/>
        <w:szCs w:val="22"/>
      </w:rPr>
      <w:tab/>
    </w:r>
    <w:r w:rsidRPr="00B575B8">
      <w:rPr>
        <w:rStyle w:val="PageNumber"/>
        <w:sz w:val="22"/>
        <w:szCs w:val="22"/>
      </w:rPr>
      <w:fldChar w:fldCharType="begin"/>
    </w:r>
    <w:r w:rsidRPr="00B575B8">
      <w:rPr>
        <w:rStyle w:val="PageNumber"/>
        <w:sz w:val="22"/>
        <w:szCs w:val="22"/>
      </w:rPr>
      <w:instrText xml:space="preserve"> PAGE </w:instrText>
    </w:r>
    <w:r w:rsidRPr="00B575B8">
      <w:rPr>
        <w:rStyle w:val="PageNumber"/>
        <w:sz w:val="22"/>
        <w:szCs w:val="22"/>
      </w:rPr>
      <w:fldChar w:fldCharType="separate"/>
    </w:r>
    <w:r w:rsidRPr="00B575B8">
      <w:rPr>
        <w:rStyle w:val="PageNumber"/>
        <w:noProof/>
        <w:sz w:val="22"/>
        <w:szCs w:val="22"/>
      </w:rPr>
      <w:t>V</w:t>
    </w:r>
    <w:r w:rsidRPr="00B575B8">
      <w:rPr>
        <w:rStyle w:val="PageNumber"/>
        <w:sz w:val="22"/>
        <w:szCs w:val="2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7538DF" w14:textId="77777777" w:rsidR="00C46345" w:rsidRDefault="00C46345" w:rsidP="00691AEC">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6DAC01" w14:textId="77777777" w:rsidR="00C46345" w:rsidRPr="00B60AB0" w:rsidRDefault="00C46345" w:rsidP="004929B7">
    <w:pPr>
      <w:pStyle w:val="Header"/>
      <w:rPr>
        <w:sz w:val="22"/>
        <w:szCs w:val="22"/>
      </w:rPr>
    </w:pPr>
    <w:r w:rsidRPr="00B60AB0">
      <w:rPr>
        <w:rStyle w:val="PageNumber"/>
        <w:sz w:val="22"/>
        <w:szCs w:val="22"/>
      </w:rPr>
      <w:tab/>
    </w:r>
    <w:r w:rsidRPr="00B60AB0">
      <w:rPr>
        <w:rStyle w:val="PageNumber"/>
        <w:sz w:val="22"/>
        <w:szCs w:val="22"/>
      </w:rPr>
      <w:fldChar w:fldCharType="begin"/>
    </w:r>
    <w:r w:rsidRPr="00B60AB0">
      <w:rPr>
        <w:rStyle w:val="PageNumber"/>
        <w:sz w:val="22"/>
        <w:szCs w:val="22"/>
      </w:rPr>
      <w:instrText xml:space="preserve"> PAGE </w:instrText>
    </w:r>
    <w:r w:rsidRPr="00B60AB0">
      <w:rPr>
        <w:rStyle w:val="PageNumber"/>
        <w:sz w:val="22"/>
        <w:szCs w:val="22"/>
      </w:rPr>
      <w:fldChar w:fldCharType="separate"/>
    </w:r>
    <w:r w:rsidRPr="00B60AB0">
      <w:rPr>
        <w:rStyle w:val="PageNumber"/>
        <w:noProof/>
        <w:sz w:val="22"/>
        <w:szCs w:val="22"/>
      </w:rPr>
      <w:t>II</w:t>
    </w:r>
    <w:r w:rsidRPr="00B60AB0">
      <w:rPr>
        <w:rStyle w:val="PageNumber"/>
        <w:sz w:val="22"/>
        <w:szCs w:val="22"/>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EB669E" w14:textId="77777777" w:rsidR="00C46345" w:rsidRPr="00B575B8" w:rsidRDefault="00C46345" w:rsidP="004929B7">
    <w:pPr>
      <w:pStyle w:val="Header"/>
      <w:rPr>
        <w:sz w:val="22"/>
        <w:szCs w:val="22"/>
      </w:rPr>
    </w:pPr>
    <w:r w:rsidRPr="00B575B8">
      <w:rPr>
        <w:rStyle w:val="PageNumber"/>
        <w:sz w:val="22"/>
        <w:szCs w:val="22"/>
      </w:rPr>
      <w:tab/>
    </w:r>
    <w:r w:rsidRPr="00B575B8">
      <w:rPr>
        <w:rStyle w:val="PageNumber"/>
        <w:sz w:val="22"/>
        <w:szCs w:val="22"/>
      </w:rPr>
      <w:fldChar w:fldCharType="begin"/>
    </w:r>
    <w:r w:rsidRPr="00B575B8">
      <w:rPr>
        <w:rStyle w:val="PageNumber"/>
        <w:sz w:val="22"/>
        <w:szCs w:val="22"/>
      </w:rPr>
      <w:instrText xml:space="preserve"> PAGE </w:instrText>
    </w:r>
    <w:r w:rsidRPr="00B575B8">
      <w:rPr>
        <w:rStyle w:val="PageNumber"/>
        <w:sz w:val="22"/>
        <w:szCs w:val="22"/>
      </w:rPr>
      <w:fldChar w:fldCharType="separate"/>
    </w:r>
    <w:r w:rsidRPr="00B575B8">
      <w:rPr>
        <w:rStyle w:val="PageNumber"/>
        <w:noProof/>
        <w:sz w:val="22"/>
        <w:szCs w:val="22"/>
      </w:rPr>
      <w:t>II</w:t>
    </w:r>
    <w:r w:rsidRPr="00B575B8">
      <w:rPr>
        <w:rStyle w:val="PageNumber"/>
        <w:sz w:val="22"/>
        <w:szCs w:val="22"/>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0ED120" w14:textId="77D670B9" w:rsidR="00C46345" w:rsidRPr="00B575B8" w:rsidRDefault="00C46345" w:rsidP="004929B7">
    <w:pPr>
      <w:pStyle w:val="Header"/>
      <w:pBdr>
        <w:bottom w:val="single" w:sz="6" w:space="1" w:color="auto"/>
      </w:pBdr>
      <w:rPr>
        <w:sz w:val="22"/>
        <w:szCs w:val="22"/>
      </w:rPr>
    </w:pPr>
    <w:r w:rsidRPr="00B575B8">
      <w:rPr>
        <w:noProof/>
        <w:sz w:val="22"/>
        <w:szCs w:val="22"/>
      </w:rPr>
      <w:fldChar w:fldCharType="begin"/>
    </w:r>
    <w:r w:rsidRPr="00B575B8">
      <w:rPr>
        <w:noProof/>
        <w:sz w:val="22"/>
        <w:szCs w:val="22"/>
      </w:rPr>
      <w:instrText xml:space="preserve"> STYLEREF 1 </w:instrText>
    </w:r>
    <w:r w:rsidRPr="00B575B8">
      <w:rPr>
        <w:noProof/>
        <w:sz w:val="22"/>
        <w:szCs w:val="22"/>
      </w:rPr>
      <w:fldChar w:fldCharType="separate"/>
    </w:r>
    <w:r w:rsidR="00216E15">
      <w:rPr>
        <w:noProof/>
        <w:sz w:val="22"/>
        <w:szCs w:val="22"/>
      </w:rPr>
      <w:t>Introduction</w:t>
    </w:r>
    <w:r w:rsidRPr="00B575B8">
      <w:rPr>
        <w:noProof/>
        <w:sz w:val="22"/>
        <w:szCs w:val="22"/>
      </w:rPr>
      <w:fldChar w:fldCharType="end"/>
    </w:r>
    <w:r w:rsidRPr="00B575B8">
      <w:rPr>
        <w:sz w:val="22"/>
        <w:szCs w:val="22"/>
      </w:rPr>
      <w:tab/>
    </w:r>
    <w:r w:rsidRPr="00B575B8">
      <w:rPr>
        <w:rStyle w:val="PageNumber"/>
        <w:sz w:val="22"/>
        <w:szCs w:val="22"/>
      </w:rPr>
      <w:fldChar w:fldCharType="begin"/>
    </w:r>
    <w:r w:rsidRPr="00B575B8">
      <w:rPr>
        <w:rStyle w:val="PageNumber"/>
        <w:sz w:val="22"/>
        <w:szCs w:val="22"/>
      </w:rPr>
      <w:instrText xml:space="preserve"> PAGE </w:instrText>
    </w:r>
    <w:r w:rsidRPr="00B575B8">
      <w:rPr>
        <w:rStyle w:val="PageNumber"/>
        <w:sz w:val="22"/>
        <w:szCs w:val="22"/>
      </w:rPr>
      <w:fldChar w:fldCharType="separate"/>
    </w:r>
    <w:r w:rsidRPr="00B575B8">
      <w:rPr>
        <w:rStyle w:val="PageNumber"/>
        <w:noProof/>
        <w:sz w:val="22"/>
        <w:szCs w:val="22"/>
      </w:rPr>
      <w:t>3</w:t>
    </w:r>
    <w:r w:rsidRPr="00B575B8">
      <w:rPr>
        <w:rStyle w:val="PageNumber"/>
        <w:sz w:val="22"/>
        <w:szCs w:val="22"/>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7FE770" w14:textId="48A4F6A1" w:rsidR="00C46345" w:rsidRPr="006376F0" w:rsidRDefault="00C46345" w:rsidP="004929B7">
    <w:pPr>
      <w:pStyle w:val="Header"/>
      <w:pBdr>
        <w:bottom w:val="single" w:sz="6" w:space="1" w:color="auto"/>
      </w:pBdr>
      <w:rPr>
        <w:sz w:val="22"/>
        <w:szCs w:val="22"/>
        <w:lang w:val="en-US"/>
      </w:rPr>
    </w:pPr>
    <w:r w:rsidRPr="00B575B8">
      <w:rPr>
        <w:noProof/>
        <w:sz w:val="22"/>
        <w:szCs w:val="22"/>
      </w:rPr>
      <w:fldChar w:fldCharType="begin"/>
    </w:r>
    <w:r w:rsidRPr="006376F0">
      <w:rPr>
        <w:noProof/>
        <w:sz w:val="22"/>
        <w:szCs w:val="22"/>
        <w:lang w:val="en-US"/>
      </w:rPr>
      <w:instrText xml:space="preserve"> STYLEREF 1 </w:instrText>
    </w:r>
    <w:r w:rsidRPr="00B575B8">
      <w:rPr>
        <w:noProof/>
        <w:sz w:val="22"/>
        <w:szCs w:val="22"/>
      </w:rPr>
      <w:fldChar w:fldCharType="separate"/>
    </w:r>
    <w:r w:rsidR="00216E15">
      <w:rPr>
        <w:noProof/>
        <w:sz w:val="22"/>
        <w:szCs w:val="22"/>
        <w:lang w:val="en-US"/>
      </w:rPr>
      <w:t>Institutions and legislation</w:t>
    </w:r>
    <w:r w:rsidRPr="00B575B8">
      <w:rPr>
        <w:noProof/>
        <w:sz w:val="22"/>
        <w:szCs w:val="22"/>
      </w:rPr>
      <w:fldChar w:fldCharType="end"/>
    </w:r>
    <w:r w:rsidRPr="006376F0">
      <w:rPr>
        <w:sz w:val="22"/>
        <w:szCs w:val="22"/>
        <w:lang w:val="en-US"/>
      </w:rPr>
      <w:tab/>
    </w:r>
    <w:r w:rsidRPr="00B575B8">
      <w:rPr>
        <w:rStyle w:val="PageNumber"/>
        <w:sz w:val="22"/>
        <w:szCs w:val="22"/>
      </w:rPr>
      <w:fldChar w:fldCharType="begin"/>
    </w:r>
    <w:r w:rsidRPr="006376F0">
      <w:rPr>
        <w:rStyle w:val="PageNumber"/>
        <w:sz w:val="22"/>
        <w:szCs w:val="22"/>
        <w:lang w:val="en-US"/>
      </w:rPr>
      <w:instrText xml:space="preserve"> PAGE </w:instrText>
    </w:r>
    <w:r w:rsidRPr="00B575B8">
      <w:rPr>
        <w:rStyle w:val="PageNumber"/>
        <w:sz w:val="22"/>
        <w:szCs w:val="22"/>
      </w:rPr>
      <w:fldChar w:fldCharType="separate"/>
    </w:r>
    <w:r w:rsidRPr="006376F0">
      <w:rPr>
        <w:rStyle w:val="PageNumber"/>
        <w:noProof/>
        <w:sz w:val="22"/>
        <w:szCs w:val="22"/>
        <w:lang w:val="en-US"/>
      </w:rPr>
      <w:t>3</w:t>
    </w:r>
    <w:r w:rsidRPr="00B575B8">
      <w:rPr>
        <w:rStyle w:val="PageNumber"/>
        <w:sz w:val="22"/>
        <w:szCs w:val="22"/>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C35EEC" w14:textId="0597C1AE" w:rsidR="00C46345" w:rsidRPr="006376F0" w:rsidRDefault="00C46345" w:rsidP="004929B7">
    <w:pPr>
      <w:pStyle w:val="Header"/>
      <w:pBdr>
        <w:bottom w:val="single" w:sz="6" w:space="1" w:color="auto"/>
      </w:pBdr>
      <w:rPr>
        <w:sz w:val="22"/>
        <w:szCs w:val="22"/>
        <w:lang w:val="en-US"/>
      </w:rPr>
    </w:pPr>
    <w:r w:rsidRPr="00B575B8">
      <w:rPr>
        <w:noProof/>
        <w:sz w:val="22"/>
        <w:szCs w:val="22"/>
      </w:rPr>
      <w:fldChar w:fldCharType="begin"/>
    </w:r>
    <w:r w:rsidRPr="006376F0">
      <w:rPr>
        <w:noProof/>
        <w:sz w:val="22"/>
        <w:szCs w:val="22"/>
        <w:lang w:val="en-US"/>
      </w:rPr>
      <w:instrText xml:space="preserve"> STYLEREF 1 </w:instrText>
    </w:r>
    <w:r w:rsidRPr="00B575B8">
      <w:rPr>
        <w:noProof/>
        <w:sz w:val="22"/>
        <w:szCs w:val="22"/>
      </w:rPr>
      <w:fldChar w:fldCharType="separate"/>
    </w:r>
    <w:r w:rsidR="00216E15">
      <w:rPr>
        <w:noProof/>
        <w:sz w:val="22"/>
        <w:szCs w:val="22"/>
        <w:lang w:val="en-US"/>
      </w:rPr>
      <w:t>The Payments Services Directive</w:t>
    </w:r>
    <w:r w:rsidRPr="00B575B8">
      <w:rPr>
        <w:noProof/>
        <w:sz w:val="22"/>
        <w:szCs w:val="22"/>
      </w:rPr>
      <w:fldChar w:fldCharType="end"/>
    </w:r>
    <w:r w:rsidRPr="006376F0">
      <w:rPr>
        <w:sz w:val="22"/>
        <w:szCs w:val="22"/>
        <w:lang w:val="en-US"/>
      </w:rPr>
      <w:tab/>
    </w:r>
    <w:r w:rsidRPr="00B575B8">
      <w:rPr>
        <w:rStyle w:val="PageNumber"/>
        <w:sz w:val="22"/>
        <w:szCs w:val="22"/>
      </w:rPr>
      <w:fldChar w:fldCharType="begin"/>
    </w:r>
    <w:r w:rsidRPr="006376F0">
      <w:rPr>
        <w:rStyle w:val="PageNumber"/>
        <w:sz w:val="22"/>
        <w:szCs w:val="22"/>
        <w:lang w:val="en-US"/>
      </w:rPr>
      <w:instrText xml:space="preserve"> PAGE </w:instrText>
    </w:r>
    <w:r w:rsidRPr="00B575B8">
      <w:rPr>
        <w:rStyle w:val="PageNumber"/>
        <w:sz w:val="22"/>
        <w:szCs w:val="22"/>
      </w:rPr>
      <w:fldChar w:fldCharType="separate"/>
    </w:r>
    <w:r w:rsidRPr="006376F0">
      <w:rPr>
        <w:rStyle w:val="PageNumber"/>
        <w:noProof/>
        <w:sz w:val="22"/>
        <w:szCs w:val="22"/>
        <w:lang w:val="en-US"/>
      </w:rPr>
      <w:t>3</w:t>
    </w:r>
    <w:r w:rsidRPr="00B575B8">
      <w:rPr>
        <w:rStyle w:val="PageNumber"/>
        <w:sz w:val="22"/>
        <w:szCs w:val="22"/>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DC7190" w14:textId="1695C9E4" w:rsidR="00C46345" w:rsidRPr="006376F0" w:rsidRDefault="00C46345" w:rsidP="004929B7">
    <w:pPr>
      <w:pStyle w:val="Header"/>
      <w:pBdr>
        <w:bottom w:val="single" w:sz="6" w:space="1" w:color="auto"/>
      </w:pBdr>
      <w:rPr>
        <w:sz w:val="22"/>
        <w:szCs w:val="22"/>
        <w:lang w:val="en-US"/>
      </w:rPr>
    </w:pPr>
    <w:r w:rsidRPr="00B575B8">
      <w:rPr>
        <w:noProof/>
        <w:sz w:val="22"/>
        <w:szCs w:val="22"/>
      </w:rPr>
      <w:fldChar w:fldCharType="begin"/>
    </w:r>
    <w:r w:rsidRPr="006376F0">
      <w:rPr>
        <w:noProof/>
        <w:sz w:val="22"/>
        <w:szCs w:val="22"/>
        <w:lang w:val="en-US"/>
      </w:rPr>
      <w:instrText xml:space="preserve"> STYLEREF 1 </w:instrText>
    </w:r>
    <w:r w:rsidRPr="00B575B8">
      <w:rPr>
        <w:noProof/>
        <w:sz w:val="22"/>
        <w:szCs w:val="22"/>
      </w:rPr>
      <w:fldChar w:fldCharType="separate"/>
    </w:r>
    <w:r w:rsidR="00216E15">
      <w:rPr>
        <w:noProof/>
        <w:sz w:val="22"/>
        <w:szCs w:val="22"/>
        <w:lang w:val="en-US"/>
      </w:rPr>
      <w:t>The Single Euro Payments Area</w:t>
    </w:r>
    <w:r w:rsidRPr="00B575B8">
      <w:rPr>
        <w:noProof/>
        <w:sz w:val="22"/>
        <w:szCs w:val="22"/>
      </w:rPr>
      <w:fldChar w:fldCharType="end"/>
    </w:r>
    <w:r w:rsidRPr="006376F0">
      <w:rPr>
        <w:sz w:val="22"/>
        <w:szCs w:val="22"/>
        <w:lang w:val="en-US"/>
      </w:rPr>
      <w:tab/>
    </w:r>
    <w:r w:rsidRPr="00B575B8">
      <w:rPr>
        <w:rStyle w:val="PageNumber"/>
        <w:sz w:val="22"/>
        <w:szCs w:val="22"/>
      </w:rPr>
      <w:fldChar w:fldCharType="begin"/>
    </w:r>
    <w:r w:rsidRPr="006376F0">
      <w:rPr>
        <w:rStyle w:val="PageNumber"/>
        <w:sz w:val="22"/>
        <w:szCs w:val="22"/>
        <w:lang w:val="en-US"/>
      </w:rPr>
      <w:instrText xml:space="preserve"> PAGE </w:instrText>
    </w:r>
    <w:r w:rsidRPr="00B575B8">
      <w:rPr>
        <w:rStyle w:val="PageNumber"/>
        <w:sz w:val="22"/>
        <w:szCs w:val="22"/>
      </w:rPr>
      <w:fldChar w:fldCharType="separate"/>
    </w:r>
    <w:r w:rsidRPr="006376F0">
      <w:rPr>
        <w:rStyle w:val="PageNumber"/>
        <w:noProof/>
        <w:sz w:val="22"/>
        <w:szCs w:val="22"/>
        <w:lang w:val="en-US"/>
      </w:rPr>
      <w:t>3</w:t>
    </w:r>
    <w:r w:rsidRPr="00B575B8">
      <w:rPr>
        <w:rStyle w:val="PageNumber"/>
        <w:sz w:val="22"/>
        <w:szCs w:val="22"/>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716B5F" w14:textId="400814D8" w:rsidR="00C46345" w:rsidRPr="00B575B8" w:rsidRDefault="00C46345" w:rsidP="004929B7">
    <w:pPr>
      <w:pStyle w:val="Header"/>
      <w:pBdr>
        <w:bottom w:val="single" w:sz="6" w:space="1" w:color="auto"/>
      </w:pBdr>
      <w:rPr>
        <w:sz w:val="22"/>
        <w:szCs w:val="22"/>
      </w:rPr>
    </w:pPr>
    <w:r w:rsidRPr="00B575B8">
      <w:rPr>
        <w:noProof/>
        <w:sz w:val="22"/>
        <w:szCs w:val="22"/>
      </w:rPr>
      <w:fldChar w:fldCharType="begin"/>
    </w:r>
    <w:r w:rsidRPr="00B575B8">
      <w:rPr>
        <w:noProof/>
        <w:sz w:val="22"/>
        <w:szCs w:val="22"/>
      </w:rPr>
      <w:instrText xml:space="preserve"> STYLEREF 1 </w:instrText>
    </w:r>
    <w:r w:rsidRPr="00B575B8">
      <w:rPr>
        <w:noProof/>
        <w:sz w:val="22"/>
        <w:szCs w:val="22"/>
      </w:rPr>
      <w:fldChar w:fldCharType="separate"/>
    </w:r>
    <w:r w:rsidR="00216E15">
      <w:rPr>
        <w:noProof/>
        <w:sz w:val="22"/>
        <w:szCs w:val="22"/>
      </w:rPr>
      <w:t>Conclusion</w:t>
    </w:r>
    <w:r w:rsidRPr="00B575B8">
      <w:rPr>
        <w:noProof/>
        <w:sz w:val="22"/>
        <w:szCs w:val="22"/>
      </w:rPr>
      <w:fldChar w:fldCharType="end"/>
    </w:r>
    <w:r w:rsidRPr="00B575B8">
      <w:rPr>
        <w:sz w:val="22"/>
        <w:szCs w:val="22"/>
      </w:rPr>
      <w:tab/>
    </w:r>
    <w:r w:rsidRPr="00B575B8">
      <w:rPr>
        <w:rStyle w:val="PageNumber"/>
        <w:sz w:val="22"/>
        <w:szCs w:val="22"/>
      </w:rPr>
      <w:fldChar w:fldCharType="begin"/>
    </w:r>
    <w:r w:rsidRPr="00B575B8">
      <w:rPr>
        <w:rStyle w:val="PageNumber"/>
        <w:sz w:val="22"/>
        <w:szCs w:val="22"/>
      </w:rPr>
      <w:instrText xml:space="preserve"> PAGE </w:instrText>
    </w:r>
    <w:r w:rsidRPr="00B575B8">
      <w:rPr>
        <w:rStyle w:val="PageNumber"/>
        <w:sz w:val="22"/>
        <w:szCs w:val="22"/>
      </w:rPr>
      <w:fldChar w:fldCharType="separate"/>
    </w:r>
    <w:r w:rsidRPr="00B575B8">
      <w:rPr>
        <w:rStyle w:val="PageNumber"/>
        <w:noProof/>
        <w:sz w:val="22"/>
        <w:szCs w:val="22"/>
      </w:rPr>
      <w:t>3</w:t>
    </w:r>
    <w:r w:rsidRPr="00B575B8">
      <w:rPr>
        <w:rStyle w:val="PageNumber"/>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367EE35C"/>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6272975"/>
    <w:multiLevelType w:val="multilevel"/>
    <w:tmpl w:val="660C4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39660F"/>
    <w:multiLevelType w:val="multilevel"/>
    <w:tmpl w:val="131C7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617194"/>
    <w:multiLevelType w:val="multilevel"/>
    <w:tmpl w:val="123AA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D269C3"/>
    <w:multiLevelType w:val="multilevel"/>
    <w:tmpl w:val="62E45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5704CE"/>
    <w:multiLevelType w:val="multilevel"/>
    <w:tmpl w:val="02C8F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3C436E"/>
    <w:multiLevelType w:val="multilevel"/>
    <w:tmpl w:val="2B5A9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C80477"/>
    <w:multiLevelType w:val="multilevel"/>
    <w:tmpl w:val="DE842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6D229B"/>
    <w:multiLevelType w:val="multilevel"/>
    <w:tmpl w:val="73EEF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3D17C6"/>
    <w:multiLevelType w:val="multilevel"/>
    <w:tmpl w:val="5BC40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664823"/>
    <w:multiLevelType w:val="hybridMultilevel"/>
    <w:tmpl w:val="4FE6938E"/>
    <w:lvl w:ilvl="0" w:tplc="3E966EAC">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85175C9"/>
    <w:multiLevelType w:val="multilevel"/>
    <w:tmpl w:val="DD6E5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CF416C"/>
    <w:multiLevelType w:val="multilevel"/>
    <w:tmpl w:val="0180E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551C71"/>
    <w:multiLevelType w:val="multilevel"/>
    <w:tmpl w:val="B4106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9026E3"/>
    <w:multiLevelType w:val="multilevel"/>
    <w:tmpl w:val="046CF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6C4F2E"/>
    <w:multiLevelType w:val="multilevel"/>
    <w:tmpl w:val="CAEEB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C96AE4"/>
    <w:multiLevelType w:val="multilevel"/>
    <w:tmpl w:val="FAAE82A2"/>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1F47FA4"/>
    <w:multiLevelType w:val="multilevel"/>
    <w:tmpl w:val="2B8850CA"/>
    <w:lvl w:ilvl="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34334C"/>
    <w:multiLevelType w:val="multilevel"/>
    <w:tmpl w:val="4C805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99056C1"/>
    <w:multiLevelType w:val="multilevel"/>
    <w:tmpl w:val="07C0B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AD1580"/>
    <w:multiLevelType w:val="multilevel"/>
    <w:tmpl w:val="01241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7C57461"/>
    <w:multiLevelType w:val="multilevel"/>
    <w:tmpl w:val="E2568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687FEC"/>
    <w:multiLevelType w:val="multilevel"/>
    <w:tmpl w:val="B8C04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010358"/>
    <w:multiLevelType w:val="multilevel"/>
    <w:tmpl w:val="E9CAB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7F29AB"/>
    <w:multiLevelType w:val="multilevel"/>
    <w:tmpl w:val="6B809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7777C8"/>
    <w:multiLevelType w:val="multilevel"/>
    <w:tmpl w:val="2CBED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74397E"/>
    <w:multiLevelType w:val="multilevel"/>
    <w:tmpl w:val="A5AC6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A973DE"/>
    <w:multiLevelType w:val="multilevel"/>
    <w:tmpl w:val="B7AA9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0"/>
  </w:num>
  <w:num w:numId="3">
    <w:abstractNumId w:val="13"/>
  </w:num>
  <w:num w:numId="4">
    <w:abstractNumId w:val="4"/>
  </w:num>
  <w:num w:numId="5">
    <w:abstractNumId w:val="11"/>
  </w:num>
  <w:num w:numId="6">
    <w:abstractNumId w:val="6"/>
  </w:num>
  <w:num w:numId="7">
    <w:abstractNumId w:val="18"/>
  </w:num>
  <w:num w:numId="8">
    <w:abstractNumId w:val="9"/>
  </w:num>
  <w:num w:numId="9">
    <w:abstractNumId w:val="23"/>
  </w:num>
  <w:num w:numId="10">
    <w:abstractNumId w:val="16"/>
  </w:num>
  <w:num w:numId="11">
    <w:abstractNumId w:val="22"/>
  </w:num>
  <w:num w:numId="12">
    <w:abstractNumId w:val="2"/>
  </w:num>
  <w:num w:numId="13">
    <w:abstractNumId w:val="25"/>
  </w:num>
  <w:num w:numId="14">
    <w:abstractNumId w:val="14"/>
  </w:num>
  <w:num w:numId="15">
    <w:abstractNumId w:val="26"/>
  </w:num>
  <w:num w:numId="16">
    <w:abstractNumId w:val="0"/>
  </w:num>
  <w:num w:numId="17">
    <w:abstractNumId w:val="24"/>
  </w:num>
  <w:num w:numId="18">
    <w:abstractNumId w:val="1"/>
  </w:num>
  <w:num w:numId="19">
    <w:abstractNumId w:val="21"/>
  </w:num>
  <w:num w:numId="20">
    <w:abstractNumId w:val="3"/>
  </w:num>
  <w:num w:numId="21">
    <w:abstractNumId w:val="12"/>
  </w:num>
  <w:num w:numId="22">
    <w:abstractNumId w:val="19"/>
  </w:num>
  <w:num w:numId="23">
    <w:abstractNumId w:val="7"/>
  </w:num>
  <w:num w:numId="24">
    <w:abstractNumId w:val="15"/>
  </w:num>
  <w:num w:numId="25">
    <w:abstractNumId w:val="27"/>
  </w:num>
  <w:num w:numId="26">
    <w:abstractNumId w:val="17"/>
  </w:num>
  <w:num w:numId="27">
    <w:abstractNumId w:val="8"/>
  </w:num>
  <w:num w:numId="28">
    <w:abstractNumId w:val="5"/>
  </w:num>
  <w:num w:numId="29">
    <w:abstractNumId w:val="2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de-DE" w:vendorID="64" w:dllVersion="6" w:nlCheck="1" w:checkStyle="0"/>
  <w:activeWritingStyle w:appName="MSWord" w:lang="en-GB" w:vendorID="64" w:dllVersion="6" w:nlCheck="1" w:checkStyle="1"/>
  <w:activeWritingStyle w:appName="MSWord" w:lang="en-US" w:vendorID="64" w:dllVersion="6" w:nlCheck="1" w:checkStyle="1"/>
  <w:activeWritingStyle w:appName="MSWord" w:lang="de-CH" w:vendorID="64" w:dllVersion="6" w:nlCheck="1" w:checkStyle="1"/>
  <w:activeWritingStyle w:appName="MSWord" w:lang="de-DE" w:vendorID="64" w:dllVersion="0" w:nlCheck="1" w:checkStyle="0"/>
  <w:activeWritingStyle w:appName="MSWord" w:lang="en-US" w:vendorID="64" w:dllVersion="0" w:nlCheck="1" w:checkStyle="0"/>
  <w:activeWritingStyle w:appName="MSWord" w:lang="en-US" w:vendorID="64" w:dllVersion="4096" w:nlCheck="1" w:checkStyle="0"/>
  <w:activeWritingStyle w:appName="MSWord" w:lang="de-DE"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1"/>
  <w:hyphenationZone w:val="1418"/>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ustomSuperSub" w:val="1"/>
    <w:docVar w:name="Offset" w:val="33"/>
    <w:docVar w:name="Overstrike" w:val="1"/>
    <w:docVar w:name="PointSize" w:val="75"/>
    <w:docVar w:name="SpaceBeforeAfter" w:val="0"/>
    <w:docVar w:name="TextAboveOffset" w:val="83"/>
    <w:docVar w:name="TextBelowOffset" w:val="83"/>
  </w:docVars>
  <w:rsids>
    <w:rsidRoot w:val="00146312"/>
    <w:rsid w:val="00000321"/>
    <w:rsid w:val="00001459"/>
    <w:rsid w:val="00002591"/>
    <w:rsid w:val="000025D4"/>
    <w:rsid w:val="00002A8D"/>
    <w:rsid w:val="00002CD1"/>
    <w:rsid w:val="00003538"/>
    <w:rsid w:val="00003563"/>
    <w:rsid w:val="00004A81"/>
    <w:rsid w:val="00005B43"/>
    <w:rsid w:val="000104BB"/>
    <w:rsid w:val="00011499"/>
    <w:rsid w:val="000114C5"/>
    <w:rsid w:val="0001159C"/>
    <w:rsid w:val="00011C45"/>
    <w:rsid w:val="0001273F"/>
    <w:rsid w:val="0001274F"/>
    <w:rsid w:val="00012F0E"/>
    <w:rsid w:val="00012F68"/>
    <w:rsid w:val="00014372"/>
    <w:rsid w:val="000164CE"/>
    <w:rsid w:val="00016981"/>
    <w:rsid w:val="00020008"/>
    <w:rsid w:val="00023B5C"/>
    <w:rsid w:val="00025303"/>
    <w:rsid w:val="0002619A"/>
    <w:rsid w:val="00027898"/>
    <w:rsid w:val="000315AE"/>
    <w:rsid w:val="00032166"/>
    <w:rsid w:val="00033F4F"/>
    <w:rsid w:val="00034B27"/>
    <w:rsid w:val="00036068"/>
    <w:rsid w:val="00037740"/>
    <w:rsid w:val="00037806"/>
    <w:rsid w:val="00037BCB"/>
    <w:rsid w:val="00037CD2"/>
    <w:rsid w:val="0004040D"/>
    <w:rsid w:val="00040B91"/>
    <w:rsid w:val="000422B9"/>
    <w:rsid w:val="0004339C"/>
    <w:rsid w:val="00045A82"/>
    <w:rsid w:val="0004775B"/>
    <w:rsid w:val="0004793E"/>
    <w:rsid w:val="00047C1F"/>
    <w:rsid w:val="00047C71"/>
    <w:rsid w:val="000500BB"/>
    <w:rsid w:val="00050B29"/>
    <w:rsid w:val="0005226E"/>
    <w:rsid w:val="00052B0F"/>
    <w:rsid w:val="00053765"/>
    <w:rsid w:val="00053EE5"/>
    <w:rsid w:val="00054039"/>
    <w:rsid w:val="000568CD"/>
    <w:rsid w:val="000572B2"/>
    <w:rsid w:val="0005733F"/>
    <w:rsid w:val="0005784D"/>
    <w:rsid w:val="00057936"/>
    <w:rsid w:val="00057FB2"/>
    <w:rsid w:val="00061129"/>
    <w:rsid w:val="000611FD"/>
    <w:rsid w:val="00062D1A"/>
    <w:rsid w:val="000641B0"/>
    <w:rsid w:val="000662D3"/>
    <w:rsid w:val="00066B8A"/>
    <w:rsid w:val="00067051"/>
    <w:rsid w:val="00067F58"/>
    <w:rsid w:val="00067FC2"/>
    <w:rsid w:val="00070660"/>
    <w:rsid w:val="00070D75"/>
    <w:rsid w:val="00071345"/>
    <w:rsid w:val="0007198B"/>
    <w:rsid w:val="00072448"/>
    <w:rsid w:val="000745AF"/>
    <w:rsid w:val="000755A1"/>
    <w:rsid w:val="00075A81"/>
    <w:rsid w:val="00075F99"/>
    <w:rsid w:val="000772B4"/>
    <w:rsid w:val="00077525"/>
    <w:rsid w:val="00077AA3"/>
    <w:rsid w:val="00077C58"/>
    <w:rsid w:val="0008046F"/>
    <w:rsid w:val="00082A44"/>
    <w:rsid w:val="00082C7E"/>
    <w:rsid w:val="00084597"/>
    <w:rsid w:val="00084845"/>
    <w:rsid w:val="00084C14"/>
    <w:rsid w:val="00084F72"/>
    <w:rsid w:val="000865B7"/>
    <w:rsid w:val="00087272"/>
    <w:rsid w:val="00087C44"/>
    <w:rsid w:val="0009004B"/>
    <w:rsid w:val="00092BA2"/>
    <w:rsid w:val="00092D4C"/>
    <w:rsid w:val="0009442F"/>
    <w:rsid w:val="00094580"/>
    <w:rsid w:val="000A04C3"/>
    <w:rsid w:val="000A1189"/>
    <w:rsid w:val="000A1A20"/>
    <w:rsid w:val="000A2A83"/>
    <w:rsid w:val="000A312E"/>
    <w:rsid w:val="000A5417"/>
    <w:rsid w:val="000A58D0"/>
    <w:rsid w:val="000A5C6F"/>
    <w:rsid w:val="000A6A0D"/>
    <w:rsid w:val="000A6C2F"/>
    <w:rsid w:val="000A750D"/>
    <w:rsid w:val="000A79E7"/>
    <w:rsid w:val="000B055B"/>
    <w:rsid w:val="000B0BD8"/>
    <w:rsid w:val="000B0E94"/>
    <w:rsid w:val="000B1559"/>
    <w:rsid w:val="000B1E37"/>
    <w:rsid w:val="000B2378"/>
    <w:rsid w:val="000B28E5"/>
    <w:rsid w:val="000B519A"/>
    <w:rsid w:val="000B51F1"/>
    <w:rsid w:val="000C188E"/>
    <w:rsid w:val="000C2460"/>
    <w:rsid w:val="000C316E"/>
    <w:rsid w:val="000C384A"/>
    <w:rsid w:val="000C3DD6"/>
    <w:rsid w:val="000C4AC0"/>
    <w:rsid w:val="000C6256"/>
    <w:rsid w:val="000D04F4"/>
    <w:rsid w:val="000D1320"/>
    <w:rsid w:val="000D1BB9"/>
    <w:rsid w:val="000D2333"/>
    <w:rsid w:val="000D26B5"/>
    <w:rsid w:val="000D3503"/>
    <w:rsid w:val="000D4BF7"/>
    <w:rsid w:val="000D4CD0"/>
    <w:rsid w:val="000D54AC"/>
    <w:rsid w:val="000D711D"/>
    <w:rsid w:val="000D72F4"/>
    <w:rsid w:val="000E08AB"/>
    <w:rsid w:val="000E0FC2"/>
    <w:rsid w:val="000E13F7"/>
    <w:rsid w:val="000E271B"/>
    <w:rsid w:val="000E379D"/>
    <w:rsid w:val="000E3839"/>
    <w:rsid w:val="000E3902"/>
    <w:rsid w:val="000E424F"/>
    <w:rsid w:val="000E5422"/>
    <w:rsid w:val="000E575E"/>
    <w:rsid w:val="000E594E"/>
    <w:rsid w:val="000E6CA6"/>
    <w:rsid w:val="000E6E91"/>
    <w:rsid w:val="000E79EA"/>
    <w:rsid w:val="000F0731"/>
    <w:rsid w:val="000F0F13"/>
    <w:rsid w:val="000F1907"/>
    <w:rsid w:val="000F1A6B"/>
    <w:rsid w:val="000F1AC3"/>
    <w:rsid w:val="000F21CE"/>
    <w:rsid w:val="000F2526"/>
    <w:rsid w:val="000F32E4"/>
    <w:rsid w:val="000F3F00"/>
    <w:rsid w:val="000F51D1"/>
    <w:rsid w:val="000F51E4"/>
    <w:rsid w:val="000F60B7"/>
    <w:rsid w:val="00101BF7"/>
    <w:rsid w:val="0010505E"/>
    <w:rsid w:val="00105097"/>
    <w:rsid w:val="001054DA"/>
    <w:rsid w:val="00105C4A"/>
    <w:rsid w:val="00106792"/>
    <w:rsid w:val="00110675"/>
    <w:rsid w:val="00111CA5"/>
    <w:rsid w:val="0011375A"/>
    <w:rsid w:val="00114941"/>
    <w:rsid w:val="00116A80"/>
    <w:rsid w:val="00116C9B"/>
    <w:rsid w:val="0011762A"/>
    <w:rsid w:val="0011776B"/>
    <w:rsid w:val="00117D59"/>
    <w:rsid w:val="00120B15"/>
    <w:rsid w:val="00121D6B"/>
    <w:rsid w:val="0012240B"/>
    <w:rsid w:val="001230CA"/>
    <w:rsid w:val="00123972"/>
    <w:rsid w:val="00126588"/>
    <w:rsid w:val="001304E3"/>
    <w:rsid w:val="00131512"/>
    <w:rsid w:val="00134F9A"/>
    <w:rsid w:val="0013531A"/>
    <w:rsid w:val="00135A79"/>
    <w:rsid w:val="00135D4F"/>
    <w:rsid w:val="0013637A"/>
    <w:rsid w:val="00137151"/>
    <w:rsid w:val="00137206"/>
    <w:rsid w:val="00140198"/>
    <w:rsid w:val="001408F0"/>
    <w:rsid w:val="00140CDD"/>
    <w:rsid w:val="00140D6C"/>
    <w:rsid w:val="001415C6"/>
    <w:rsid w:val="00141F88"/>
    <w:rsid w:val="00142210"/>
    <w:rsid w:val="00142652"/>
    <w:rsid w:val="00142C4A"/>
    <w:rsid w:val="001434CD"/>
    <w:rsid w:val="00144355"/>
    <w:rsid w:val="001445E0"/>
    <w:rsid w:val="001447A0"/>
    <w:rsid w:val="00146312"/>
    <w:rsid w:val="00146680"/>
    <w:rsid w:val="00147D1C"/>
    <w:rsid w:val="00150B41"/>
    <w:rsid w:val="00150CAC"/>
    <w:rsid w:val="001510D8"/>
    <w:rsid w:val="00151CAF"/>
    <w:rsid w:val="00151D41"/>
    <w:rsid w:val="001523A0"/>
    <w:rsid w:val="001529F1"/>
    <w:rsid w:val="001530F0"/>
    <w:rsid w:val="00154507"/>
    <w:rsid w:val="00155050"/>
    <w:rsid w:val="001554B7"/>
    <w:rsid w:val="0015658E"/>
    <w:rsid w:val="00156DF0"/>
    <w:rsid w:val="0015780A"/>
    <w:rsid w:val="00157923"/>
    <w:rsid w:val="00157AFB"/>
    <w:rsid w:val="00160C64"/>
    <w:rsid w:val="00161493"/>
    <w:rsid w:val="00161BC0"/>
    <w:rsid w:val="0016350B"/>
    <w:rsid w:val="00163BEF"/>
    <w:rsid w:val="00164810"/>
    <w:rsid w:val="0016485C"/>
    <w:rsid w:val="00165D04"/>
    <w:rsid w:val="00167BB1"/>
    <w:rsid w:val="00171F60"/>
    <w:rsid w:val="00172C88"/>
    <w:rsid w:val="00174E0A"/>
    <w:rsid w:val="00175D73"/>
    <w:rsid w:val="0017684D"/>
    <w:rsid w:val="00176CED"/>
    <w:rsid w:val="00176DAF"/>
    <w:rsid w:val="00177082"/>
    <w:rsid w:val="00177635"/>
    <w:rsid w:val="00177B1E"/>
    <w:rsid w:val="00180FAE"/>
    <w:rsid w:val="001822D1"/>
    <w:rsid w:val="00183B64"/>
    <w:rsid w:val="00183B7F"/>
    <w:rsid w:val="00184D3F"/>
    <w:rsid w:val="0018698A"/>
    <w:rsid w:val="0019117B"/>
    <w:rsid w:val="00191368"/>
    <w:rsid w:val="001926A0"/>
    <w:rsid w:val="00192817"/>
    <w:rsid w:val="00194A93"/>
    <w:rsid w:val="00194AC8"/>
    <w:rsid w:val="00196B86"/>
    <w:rsid w:val="001A36C9"/>
    <w:rsid w:val="001A438A"/>
    <w:rsid w:val="001A5424"/>
    <w:rsid w:val="001A54B5"/>
    <w:rsid w:val="001A5520"/>
    <w:rsid w:val="001A5A92"/>
    <w:rsid w:val="001A6062"/>
    <w:rsid w:val="001A68E5"/>
    <w:rsid w:val="001A6907"/>
    <w:rsid w:val="001A7D92"/>
    <w:rsid w:val="001B38E5"/>
    <w:rsid w:val="001B3E6C"/>
    <w:rsid w:val="001B4447"/>
    <w:rsid w:val="001B701C"/>
    <w:rsid w:val="001B7317"/>
    <w:rsid w:val="001C1805"/>
    <w:rsid w:val="001C340D"/>
    <w:rsid w:val="001C3519"/>
    <w:rsid w:val="001C3FFC"/>
    <w:rsid w:val="001C465F"/>
    <w:rsid w:val="001C6517"/>
    <w:rsid w:val="001D0EF9"/>
    <w:rsid w:val="001D13EF"/>
    <w:rsid w:val="001D1F05"/>
    <w:rsid w:val="001D2DDE"/>
    <w:rsid w:val="001D410B"/>
    <w:rsid w:val="001D4F4C"/>
    <w:rsid w:val="001D63FF"/>
    <w:rsid w:val="001D66DE"/>
    <w:rsid w:val="001D6AA8"/>
    <w:rsid w:val="001D6F4C"/>
    <w:rsid w:val="001D7D7B"/>
    <w:rsid w:val="001D7EE9"/>
    <w:rsid w:val="001D7FFC"/>
    <w:rsid w:val="001E18AB"/>
    <w:rsid w:val="001E240A"/>
    <w:rsid w:val="001E2B32"/>
    <w:rsid w:val="001E2C88"/>
    <w:rsid w:val="001E3BC6"/>
    <w:rsid w:val="001E4D34"/>
    <w:rsid w:val="001E5563"/>
    <w:rsid w:val="001E6918"/>
    <w:rsid w:val="001F11A7"/>
    <w:rsid w:val="001F11D6"/>
    <w:rsid w:val="001F3476"/>
    <w:rsid w:val="001F3607"/>
    <w:rsid w:val="001F3F5C"/>
    <w:rsid w:val="001F5006"/>
    <w:rsid w:val="001F60DC"/>
    <w:rsid w:val="001F6967"/>
    <w:rsid w:val="001F69B9"/>
    <w:rsid w:val="001F7A40"/>
    <w:rsid w:val="00201899"/>
    <w:rsid w:val="00201968"/>
    <w:rsid w:val="00201F22"/>
    <w:rsid w:val="002021C9"/>
    <w:rsid w:val="0020240B"/>
    <w:rsid w:val="002031C2"/>
    <w:rsid w:val="00203942"/>
    <w:rsid w:val="0020499A"/>
    <w:rsid w:val="00206C57"/>
    <w:rsid w:val="00211F95"/>
    <w:rsid w:val="00212772"/>
    <w:rsid w:val="00213BB9"/>
    <w:rsid w:val="0021540C"/>
    <w:rsid w:val="00216E15"/>
    <w:rsid w:val="0022017D"/>
    <w:rsid w:val="00221B32"/>
    <w:rsid w:val="0022256A"/>
    <w:rsid w:val="00223FD7"/>
    <w:rsid w:val="0022440B"/>
    <w:rsid w:val="00224444"/>
    <w:rsid w:val="00224E0A"/>
    <w:rsid w:val="0022591E"/>
    <w:rsid w:val="002271F0"/>
    <w:rsid w:val="00230C83"/>
    <w:rsid w:val="00230ECB"/>
    <w:rsid w:val="00231D88"/>
    <w:rsid w:val="00232298"/>
    <w:rsid w:val="00232358"/>
    <w:rsid w:val="002327A5"/>
    <w:rsid w:val="002332C6"/>
    <w:rsid w:val="00233D33"/>
    <w:rsid w:val="00233D47"/>
    <w:rsid w:val="002350FC"/>
    <w:rsid w:val="002357DD"/>
    <w:rsid w:val="0023602A"/>
    <w:rsid w:val="00236982"/>
    <w:rsid w:val="00236A99"/>
    <w:rsid w:val="00236B8F"/>
    <w:rsid w:val="002404FA"/>
    <w:rsid w:val="00240522"/>
    <w:rsid w:val="00241427"/>
    <w:rsid w:val="002414F5"/>
    <w:rsid w:val="002417C1"/>
    <w:rsid w:val="00241988"/>
    <w:rsid w:val="002422A9"/>
    <w:rsid w:val="0024299E"/>
    <w:rsid w:val="00242E33"/>
    <w:rsid w:val="00245B1B"/>
    <w:rsid w:val="00245FD1"/>
    <w:rsid w:val="00246A28"/>
    <w:rsid w:val="0024747A"/>
    <w:rsid w:val="00247E6D"/>
    <w:rsid w:val="00250180"/>
    <w:rsid w:val="00250301"/>
    <w:rsid w:val="002512E9"/>
    <w:rsid w:val="002523BA"/>
    <w:rsid w:val="002532B6"/>
    <w:rsid w:val="002532EB"/>
    <w:rsid w:val="00253479"/>
    <w:rsid w:val="00253C20"/>
    <w:rsid w:val="00254A2E"/>
    <w:rsid w:val="00254B09"/>
    <w:rsid w:val="002559BE"/>
    <w:rsid w:val="00256C94"/>
    <w:rsid w:val="00257BB2"/>
    <w:rsid w:val="002607A7"/>
    <w:rsid w:val="002626B2"/>
    <w:rsid w:val="00263772"/>
    <w:rsid w:val="00263EF4"/>
    <w:rsid w:val="002654DE"/>
    <w:rsid w:val="0026637F"/>
    <w:rsid w:val="002667AF"/>
    <w:rsid w:val="00267621"/>
    <w:rsid w:val="00267F13"/>
    <w:rsid w:val="00270ACA"/>
    <w:rsid w:val="0027236E"/>
    <w:rsid w:val="00272590"/>
    <w:rsid w:val="0027284F"/>
    <w:rsid w:val="00273052"/>
    <w:rsid w:val="0027331A"/>
    <w:rsid w:val="00273AB7"/>
    <w:rsid w:val="00273DF4"/>
    <w:rsid w:val="00273FB0"/>
    <w:rsid w:val="002753F1"/>
    <w:rsid w:val="002755A2"/>
    <w:rsid w:val="00275E6B"/>
    <w:rsid w:val="00277928"/>
    <w:rsid w:val="00281C92"/>
    <w:rsid w:val="00282AB8"/>
    <w:rsid w:val="00282ECA"/>
    <w:rsid w:val="00282FDA"/>
    <w:rsid w:val="00283F3B"/>
    <w:rsid w:val="00284145"/>
    <w:rsid w:val="00284ED8"/>
    <w:rsid w:val="002855F1"/>
    <w:rsid w:val="00285FD2"/>
    <w:rsid w:val="00286D16"/>
    <w:rsid w:val="00287ED7"/>
    <w:rsid w:val="00291051"/>
    <w:rsid w:val="0029139C"/>
    <w:rsid w:val="00291D29"/>
    <w:rsid w:val="00292745"/>
    <w:rsid w:val="0029422E"/>
    <w:rsid w:val="00294CC9"/>
    <w:rsid w:val="002952CF"/>
    <w:rsid w:val="00296406"/>
    <w:rsid w:val="00296AF2"/>
    <w:rsid w:val="002A0031"/>
    <w:rsid w:val="002A0FFD"/>
    <w:rsid w:val="002A3AA2"/>
    <w:rsid w:val="002A3FF7"/>
    <w:rsid w:val="002A53DC"/>
    <w:rsid w:val="002A5712"/>
    <w:rsid w:val="002A6DF7"/>
    <w:rsid w:val="002A7D4E"/>
    <w:rsid w:val="002B0462"/>
    <w:rsid w:val="002B5A4A"/>
    <w:rsid w:val="002B606A"/>
    <w:rsid w:val="002C1569"/>
    <w:rsid w:val="002C2033"/>
    <w:rsid w:val="002C2F77"/>
    <w:rsid w:val="002C35BB"/>
    <w:rsid w:val="002C4FA7"/>
    <w:rsid w:val="002C53A5"/>
    <w:rsid w:val="002C55DE"/>
    <w:rsid w:val="002C60F4"/>
    <w:rsid w:val="002C6421"/>
    <w:rsid w:val="002C6EF6"/>
    <w:rsid w:val="002C7B88"/>
    <w:rsid w:val="002C7E0A"/>
    <w:rsid w:val="002D02E6"/>
    <w:rsid w:val="002D06E7"/>
    <w:rsid w:val="002D0B16"/>
    <w:rsid w:val="002D194C"/>
    <w:rsid w:val="002D2B6C"/>
    <w:rsid w:val="002D2EA3"/>
    <w:rsid w:val="002D2FAE"/>
    <w:rsid w:val="002D3ABB"/>
    <w:rsid w:val="002D574E"/>
    <w:rsid w:val="002D5B17"/>
    <w:rsid w:val="002D5D78"/>
    <w:rsid w:val="002E113A"/>
    <w:rsid w:val="002E3499"/>
    <w:rsid w:val="002E41F5"/>
    <w:rsid w:val="002E470A"/>
    <w:rsid w:val="002E516B"/>
    <w:rsid w:val="002E51ED"/>
    <w:rsid w:val="002E58B3"/>
    <w:rsid w:val="002E66B5"/>
    <w:rsid w:val="002E69E4"/>
    <w:rsid w:val="002E797D"/>
    <w:rsid w:val="002F0616"/>
    <w:rsid w:val="002F133E"/>
    <w:rsid w:val="002F1E13"/>
    <w:rsid w:val="002F2041"/>
    <w:rsid w:val="002F250E"/>
    <w:rsid w:val="002F34EF"/>
    <w:rsid w:val="002F40A8"/>
    <w:rsid w:val="002F6CF2"/>
    <w:rsid w:val="00300D22"/>
    <w:rsid w:val="00301C47"/>
    <w:rsid w:val="003022E7"/>
    <w:rsid w:val="00302823"/>
    <w:rsid w:val="0030467B"/>
    <w:rsid w:val="00305818"/>
    <w:rsid w:val="003063D1"/>
    <w:rsid w:val="0030702F"/>
    <w:rsid w:val="0030726A"/>
    <w:rsid w:val="00310E76"/>
    <w:rsid w:val="003117B4"/>
    <w:rsid w:val="0031364D"/>
    <w:rsid w:val="00313AAB"/>
    <w:rsid w:val="003141F8"/>
    <w:rsid w:val="00314F24"/>
    <w:rsid w:val="00316FBA"/>
    <w:rsid w:val="003172E7"/>
    <w:rsid w:val="003209B4"/>
    <w:rsid w:val="00320F6B"/>
    <w:rsid w:val="003215F8"/>
    <w:rsid w:val="0032306E"/>
    <w:rsid w:val="003234CA"/>
    <w:rsid w:val="00323DB0"/>
    <w:rsid w:val="003243C3"/>
    <w:rsid w:val="00324F83"/>
    <w:rsid w:val="003254A0"/>
    <w:rsid w:val="00325B74"/>
    <w:rsid w:val="00326DBB"/>
    <w:rsid w:val="003275A0"/>
    <w:rsid w:val="0033091E"/>
    <w:rsid w:val="00330FD6"/>
    <w:rsid w:val="0033344A"/>
    <w:rsid w:val="0033359A"/>
    <w:rsid w:val="00334485"/>
    <w:rsid w:val="0033482C"/>
    <w:rsid w:val="003348AC"/>
    <w:rsid w:val="00335160"/>
    <w:rsid w:val="0033565B"/>
    <w:rsid w:val="0033573D"/>
    <w:rsid w:val="00340546"/>
    <w:rsid w:val="00340EA3"/>
    <w:rsid w:val="00341D89"/>
    <w:rsid w:val="00343657"/>
    <w:rsid w:val="0034620D"/>
    <w:rsid w:val="00346578"/>
    <w:rsid w:val="00346D13"/>
    <w:rsid w:val="003506A3"/>
    <w:rsid w:val="003517ED"/>
    <w:rsid w:val="003524BC"/>
    <w:rsid w:val="00353561"/>
    <w:rsid w:val="0035357A"/>
    <w:rsid w:val="00354976"/>
    <w:rsid w:val="00356169"/>
    <w:rsid w:val="003569C1"/>
    <w:rsid w:val="00361B0B"/>
    <w:rsid w:val="00363450"/>
    <w:rsid w:val="00363DB3"/>
    <w:rsid w:val="00365FCE"/>
    <w:rsid w:val="00366F36"/>
    <w:rsid w:val="00367947"/>
    <w:rsid w:val="00370EA5"/>
    <w:rsid w:val="0037183F"/>
    <w:rsid w:val="00371895"/>
    <w:rsid w:val="00372072"/>
    <w:rsid w:val="003734DE"/>
    <w:rsid w:val="00375540"/>
    <w:rsid w:val="00375C10"/>
    <w:rsid w:val="0037651D"/>
    <w:rsid w:val="00376F4C"/>
    <w:rsid w:val="00381399"/>
    <w:rsid w:val="003814E8"/>
    <w:rsid w:val="0038173C"/>
    <w:rsid w:val="00381827"/>
    <w:rsid w:val="0038259D"/>
    <w:rsid w:val="0038419C"/>
    <w:rsid w:val="00384B03"/>
    <w:rsid w:val="00384F1D"/>
    <w:rsid w:val="00385980"/>
    <w:rsid w:val="003861E3"/>
    <w:rsid w:val="00386584"/>
    <w:rsid w:val="003868E5"/>
    <w:rsid w:val="00386F6A"/>
    <w:rsid w:val="0039113B"/>
    <w:rsid w:val="00392A5D"/>
    <w:rsid w:val="0039480C"/>
    <w:rsid w:val="00395582"/>
    <w:rsid w:val="00395F8C"/>
    <w:rsid w:val="003971FF"/>
    <w:rsid w:val="003A09FF"/>
    <w:rsid w:val="003A26BD"/>
    <w:rsid w:val="003A3881"/>
    <w:rsid w:val="003A3D6E"/>
    <w:rsid w:val="003A4A6B"/>
    <w:rsid w:val="003A4C9A"/>
    <w:rsid w:val="003A520B"/>
    <w:rsid w:val="003A6881"/>
    <w:rsid w:val="003A775A"/>
    <w:rsid w:val="003B2369"/>
    <w:rsid w:val="003B3BBD"/>
    <w:rsid w:val="003B7634"/>
    <w:rsid w:val="003B793C"/>
    <w:rsid w:val="003C237C"/>
    <w:rsid w:val="003C31E9"/>
    <w:rsid w:val="003C42DA"/>
    <w:rsid w:val="003C5084"/>
    <w:rsid w:val="003C5F04"/>
    <w:rsid w:val="003C640E"/>
    <w:rsid w:val="003C649D"/>
    <w:rsid w:val="003C6FE7"/>
    <w:rsid w:val="003D13F4"/>
    <w:rsid w:val="003D1DE5"/>
    <w:rsid w:val="003D248A"/>
    <w:rsid w:val="003D34DB"/>
    <w:rsid w:val="003D6FAB"/>
    <w:rsid w:val="003D7493"/>
    <w:rsid w:val="003D7AE2"/>
    <w:rsid w:val="003D7C39"/>
    <w:rsid w:val="003D7C6D"/>
    <w:rsid w:val="003D7DED"/>
    <w:rsid w:val="003D7F9D"/>
    <w:rsid w:val="003E0446"/>
    <w:rsid w:val="003E06D2"/>
    <w:rsid w:val="003E0D31"/>
    <w:rsid w:val="003E1788"/>
    <w:rsid w:val="003E1C8F"/>
    <w:rsid w:val="003E1F90"/>
    <w:rsid w:val="003E2228"/>
    <w:rsid w:val="003E2C00"/>
    <w:rsid w:val="003E310D"/>
    <w:rsid w:val="003E371E"/>
    <w:rsid w:val="003E4471"/>
    <w:rsid w:val="003E48BA"/>
    <w:rsid w:val="003E66BD"/>
    <w:rsid w:val="003E68D1"/>
    <w:rsid w:val="003E6A45"/>
    <w:rsid w:val="003E6AAD"/>
    <w:rsid w:val="003E6F19"/>
    <w:rsid w:val="003F129D"/>
    <w:rsid w:val="003F16EB"/>
    <w:rsid w:val="003F2B01"/>
    <w:rsid w:val="003F4D58"/>
    <w:rsid w:val="003F6805"/>
    <w:rsid w:val="003F70C5"/>
    <w:rsid w:val="003F748D"/>
    <w:rsid w:val="003F7EA7"/>
    <w:rsid w:val="004003F4"/>
    <w:rsid w:val="00400C58"/>
    <w:rsid w:val="00402933"/>
    <w:rsid w:val="00402F3C"/>
    <w:rsid w:val="00405F3C"/>
    <w:rsid w:val="00406CB0"/>
    <w:rsid w:val="0040747E"/>
    <w:rsid w:val="00411422"/>
    <w:rsid w:val="004114F9"/>
    <w:rsid w:val="00411C3B"/>
    <w:rsid w:val="00412E52"/>
    <w:rsid w:val="004139E7"/>
    <w:rsid w:val="00414222"/>
    <w:rsid w:val="004147AA"/>
    <w:rsid w:val="004155E7"/>
    <w:rsid w:val="00416CE6"/>
    <w:rsid w:val="00417B3E"/>
    <w:rsid w:val="00417E25"/>
    <w:rsid w:val="00420841"/>
    <w:rsid w:val="00420D52"/>
    <w:rsid w:val="00421398"/>
    <w:rsid w:val="00422A22"/>
    <w:rsid w:val="0042481D"/>
    <w:rsid w:val="00430211"/>
    <w:rsid w:val="0043064C"/>
    <w:rsid w:val="004339D0"/>
    <w:rsid w:val="0043463E"/>
    <w:rsid w:val="00440678"/>
    <w:rsid w:val="00442155"/>
    <w:rsid w:val="0044283B"/>
    <w:rsid w:val="00443568"/>
    <w:rsid w:val="00444C11"/>
    <w:rsid w:val="00445071"/>
    <w:rsid w:val="004451A9"/>
    <w:rsid w:val="0044616F"/>
    <w:rsid w:val="0044763B"/>
    <w:rsid w:val="00450049"/>
    <w:rsid w:val="00450BA3"/>
    <w:rsid w:val="00450D9E"/>
    <w:rsid w:val="00452BE5"/>
    <w:rsid w:val="00453C99"/>
    <w:rsid w:val="0045501F"/>
    <w:rsid w:val="00455BEC"/>
    <w:rsid w:val="0045612D"/>
    <w:rsid w:val="00457C6F"/>
    <w:rsid w:val="00460066"/>
    <w:rsid w:val="00460528"/>
    <w:rsid w:val="00460FA5"/>
    <w:rsid w:val="0046137F"/>
    <w:rsid w:val="00461B36"/>
    <w:rsid w:val="00461D48"/>
    <w:rsid w:val="00463619"/>
    <w:rsid w:val="00463651"/>
    <w:rsid w:val="00463A7D"/>
    <w:rsid w:val="00463D1F"/>
    <w:rsid w:val="00464E8A"/>
    <w:rsid w:val="0046554D"/>
    <w:rsid w:val="00465738"/>
    <w:rsid w:val="00466ACD"/>
    <w:rsid w:val="0047068A"/>
    <w:rsid w:val="00470C80"/>
    <w:rsid w:val="00470E7F"/>
    <w:rsid w:val="00471DFD"/>
    <w:rsid w:val="004734E3"/>
    <w:rsid w:val="0047402E"/>
    <w:rsid w:val="0047609B"/>
    <w:rsid w:val="00476CFF"/>
    <w:rsid w:val="00480235"/>
    <w:rsid w:val="00480B95"/>
    <w:rsid w:val="00481077"/>
    <w:rsid w:val="00481948"/>
    <w:rsid w:val="004827B8"/>
    <w:rsid w:val="00483583"/>
    <w:rsid w:val="00484575"/>
    <w:rsid w:val="00484DF2"/>
    <w:rsid w:val="00484F6D"/>
    <w:rsid w:val="00486243"/>
    <w:rsid w:val="00486A46"/>
    <w:rsid w:val="0048734A"/>
    <w:rsid w:val="00487902"/>
    <w:rsid w:val="00491BE3"/>
    <w:rsid w:val="00491F9E"/>
    <w:rsid w:val="004927FD"/>
    <w:rsid w:val="004929B7"/>
    <w:rsid w:val="00494178"/>
    <w:rsid w:val="0049527C"/>
    <w:rsid w:val="00495ED2"/>
    <w:rsid w:val="0049640A"/>
    <w:rsid w:val="004A0C24"/>
    <w:rsid w:val="004A1437"/>
    <w:rsid w:val="004A1A02"/>
    <w:rsid w:val="004A1CCD"/>
    <w:rsid w:val="004A2B86"/>
    <w:rsid w:val="004A439C"/>
    <w:rsid w:val="004A4577"/>
    <w:rsid w:val="004A5341"/>
    <w:rsid w:val="004A560B"/>
    <w:rsid w:val="004A671A"/>
    <w:rsid w:val="004B30D0"/>
    <w:rsid w:val="004B364F"/>
    <w:rsid w:val="004B4204"/>
    <w:rsid w:val="004B4C7B"/>
    <w:rsid w:val="004B4EA4"/>
    <w:rsid w:val="004B58C3"/>
    <w:rsid w:val="004B5C44"/>
    <w:rsid w:val="004C061C"/>
    <w:rsid w:val="004C061D"/>
    <w:rsid w:val="004C0C4F"/>
    <w:rsid w:val="004C1439"/>
    <w:rsid w:val="004C1B3D"/>
    <w:rsid w:val="004C1F50"/>
    <w:rsid w:val="004C2C70"/>
    <w:rsid w:val="004C357E"/>
    <w:rsid w:val="004C3708"/>
    <w:rsid w:val="004C40C7"/>
    <w:rsid w:val="004C5FDE"/>
    <w:rsid w:val="004C7DD7"/>
    <w:rsid w:val="004D046F"/>
    <w:rsid w:val="004D0F06"/>
    <w:rsid w:val="004D17B8"/>
    <w:rsid w:val="004D1FC7"/>
    <w:rsid w:val="004D29A2"/>
    <w:rsid w:val="004D40BD"/>
    <w:rsid w:val="004D79C4"/>
    <w:rsid w:val="004E00E6"/>
    <w:rsid w:val="004E054B"/>
    <w:rsid w:val="004E1C50"/>
    <w:rsid w:val="004E3615"/>
    <w:rsid w:val="004E39AD"/>
    <w:rsid w:val="004E433A"/>
    <w:rsid w:val="004E46E6"/>
    <w:rsid w:val="004E5708"/>
    <w:rsid w:val="004E6E1C"/>
    <w:rsid w:val="004E6E9E"/>
    <w:rsid w:val="004E7570"/>
    <w:rsid w:val="004F2C9E"/>
    <w:rsid w:val="004F31B1"/>
    <w:rsid w:val="004F34D2"/>
    <w:rsid w:val="004F5B32"/>
    <w:rsid w:val="004F72E3"/>
    <w:rsid w:val="004F7871"/>
    <w:rsid w:val="004F7BB7"/>
    <w:rsid w:val="00500BAE"/>
    <w:rsid w:val="00501C67"/>
    <w:rsid w:val="00501E37"/>
    <w:rsid w:val="00504238"/>
    <w:rsid w:val="00506453"/>
    <w:rsid w:val="00506E3F"/>
    <w:rsid w:val="005076EE"/>
    <w:rsid w:val="005116EA"/>
    <w:rsid w:val="00511A0F"/>
    <w:rsid w:val="0051236C"/>
    <w:rsid w:val="00512863"/>
    <w:rsid w:val="0051463B"/>
    <w:rsid w:val="00514A01"/>
    <w:rsid w:val="00514B26"/>
    <w:rsid w:val="00514D22"/>
    <w:rsid w:val="00516562"/>
    <w:rsid w:val="0051748C"/>
    <w:rsid w:val="00517597"/>
    <w:rsid w:val="005177A8"/>
    <w:rsid w:val="005200A5"/>
    <w:rsid w:val="00520552"/>
    <w:rsid w:val="00520F1A"/>
    <w:rsid w:val="00522B2E"/>
    <w:rsid w:val="00522E2B"/>
    <w:rsid w:val="00523586"/>
    <w:rsid w:val="0052371D"/>
    <w:rsid w:val="005238FC"/>
    <w:rsid w:val="00523FE0"/>
    <w:rsid w:val="005243F4"/>
    <w:rsid w:val="00524EF7"/>
    <w:rsid w:val="00525661"/>
    <w:rsid w:val="005265A8"/>
    <w:rsid w:val="00526823"/>
    <w:rsid w:val="00527083"/>
    <w:rsid w:val="0052766C"/>
    <w:rsid w:val="005277A6"/>
    <w:rsid w:val="00527BE6"/>
    <w:rsid w:val="00530543"/>
    <w:rsid w:val="00531B18"/>
    <w:rsid w:val="00531FFF"/>
    <w:rsid w:val="0053261F"/>
    <w:rsid w:val="005328C3"/>
    <w:rsid w:val="0053417D"/>
    <w:rsid w:val="005363B8"/>
    <w:rsid w:val="0053730C"/>
    <w:rsid w:val="00540BDE"/>
    <w:rsid w:val="0054125E"/>
    <w:rsid w:val="00541C44"/>
    <w:rsid w:val="00542443"/>
    <w:rsid w:val="005446C8"/>
    <w:rsid w:val="00546C78"/>
    <w:rsid w:val="00546E55"/>
    <w:rsid w:val="00546F45"/>
    <w:rsid w:val="00547960"/>
    <w:rsid w:val="00547F61"/>
    <w:rsid w:val="005508AC"/>
    <w:rsid w:val="00551E37"/>
    <w:rsid w:val="0055212E"/>
    <w:rsid w:val="00552214"/>
    <w:rsid w:val="0055364B"/>
    <w:rsid w:val="00553906"/>
    <w:rsid w:val="00553E65"/>
    <w:rsid w:val="00554DA0"/>
    <w:rsid w:val="00557D69"/>
    <w:rsid w:val="00560FFE"/>
    <w:rsid w:val="0056660D"/>
    <w:rsid w:val="00566C26"/>
    <w:rsid w:val="005671C2"/>
    <w:rsid w:val="00567596"/>
    <w:rsid w:val="00570672"/>
    <w:rsid w:val="00570EC2"/>
    <w:rsid w:val="005714D1"/>
    <w:rsid w:val="00572DEF"/>
    <w:rsid w:val="00574434"/>
    <w:rsid w:val="005757FD"/>
    <w:rsid w:val="0057590C"/>
    <w:rsid w:val="00577FEC"/>
    <w:rsid w:val="0058122E"/>
    <w:rsid w:val="00581473"/>
    <w:rsid w:val="00582434"/>
    <w:rsid w:val="005830D1"/>
    <w:rsid w:val="005845E5"/>
    <w:rsid w:val="00585087"/>
    <w:rsid w:val="005853AF"/>
    <w:rsid w:val="00585638"/>
    <w:rsid w:val="00585E31"/>
    <w:rsid w:val="005863AD"/>
    <w:rsid w:val="00586C31"/>
    <w:rsid w:val="00586F68"/>
    <w:rsid w:val="0058772E"/>
    <w:rsid w:val="00587FBA"/>
    <w:rsid w:val="00591179"/>
    <w:rsid w:val="00592062"/>
    <w:rsid w:val="00592E17"/>
    <w:rsid w:val="005939AA"/>
    <w:rsid w:val="0059442F"/>
    <w:rsid w:val="00594606"/>
    <w:rsid w:val="005947A2"/>
    <w:rsid w:val="005956B3"/>
    <w:rsid w:val="00596134"/>
    <w:rsid w:val="00596497"/>
    <w:rsid w:val="00596AA1"/>
    <w:rsid w:val="005978A6"/>
    <w:rsid w:val="005A0A4B"/>
    <w:rsid w:val="005A19E1"/>
    <w:rsid w:val="005A31B0"/>
    <w:rsid w:val="005A4A19"/>
    <w:rsid w:val="005A5457"/>
    <w:rsid w:val="005A5A08"/>
    <w:rsid w:val="005A5E9C"/>
    <w:rsid w:val="005A697A"/>
    <w:rsid w:val="005A736B"/>
    <w:rsid w:val="005B0BF5"/>
    <w:rsid w:val="005B1A13"/>
    <w:rsid w:val="005B1B07"/>
    <w:rsid w:val="005B1DAE"/>
    <w:rsid w:val="005B2EBB"/>
    <w:rsid w:val="005B3B9D"/>
    <w:rsid w:val="005B3F3F"/>
    <w:rsid w:val="005B5ABD"/>
    <w:rsid w:val="005B6197"/>
    <w:rsid w:val="005B636D"/>
    <w:rsid w:val="005B6AA8"/>
    <w:rsid w:val="005C0D9B"/>
    <w:rsid w:val="005C0F05"/>
    <w:rsid w:val="005C101E"/>
    <w:rsid w:val="005C191D"/>
    <w:rsid w:val="005C231D"/>
    <w:rsid w:val="005C24FE"/>
    <w:rsid w:val="005C2D5A"/>
    <w:rsid w:val="005C4DD5"/>
    <w:rsid w:val="005C4FBF"/>
    <w:rsid w:val="005C5EC4"/>
    <w:rsid w:val="005C6174"/>
    <w:rsid w:val="005C6819"/>
    <w:rsid w:val="005C6DF6"/>
    <w:rsid w:val="005C764B"/>
    <w:rsid w:val="005C7EFE"/>
    <w:rsid w:val="005D00D6"/>
    <w:rsid w:val="005D01BB"/>
    <w:rsid w:val="005D0A3C"/>
    <w:rsid w:val="005D0B72"/>
    <w:rsid w:val="005D0CB9"/>
    <w:rsid w:val="005D23EA"/>
    <w:rsid w:val="005D536F"/>
    <w:rsid w:val="005D60D9"/>
    <w:rsid w:val="005D639B"/>
    <w:rsid w:val="005D64A2"/>
    <w:rsid w:val="005D6780"/>
    <w:rsid w:val="005D6D98"/>
    <w:rsid w:val="005E10B8"/>
    <w:rsid w:val="005E123C"/>
    <w:rsid w:val="005E13F4"/>
    <w:rsid w:val="005E2574"/>
    <w:rsid w:val="005E2786"/>
    <w:rsid w:val="005E3EAB"/>
    <w:rsid w:val="005E3F96"/>
    <w:rsid w:val="005E5F1D"/>
    <w:rsid w:val="005E6970"/>
    <w:rsid w:val="005E7151"/>
    <w:rsid w:val="005F1117"/>
    <w:rsid w:val="005F31B6"/>
    <w:rsid w:val="005F357B"/>
    <w:rsid w:val="005F665A"/>
    <w:rsid w:val="005F6D09"/>
    <w:rsid w:val="005F762A"/>
    <w:rsid w:val="006008EE"/>
    <w:rsid w:val="00602038"/>
    <w:rsid w:val="00602F76"/>
    <w:rsid w:val="00603532"/>
    <w:rsid w:val="00603615"/>
    <w:rsid w:val="00605975"/>
    <w:rsid w:val="00607036"/>
    <w:rsid w:val="00607FF8"/>
    <w:rsid w:val="006101A0"/>
    <w:rsid w:val="006104CB"/>
    <w:rsid w:val="00611648"/>
    <w:rsid w:val="006117FA"/>
    <w:rsid w:val="00611D62"/>
    <w:rsid w:val="00612F76"/>
    <w:rsid w:val="00613F96"/>
    <w:rsid w:val="00614199"/>
    <w:rsid w:val="00614CDA"/>
    <w:rsid w:val="00614E3A"/>
    <w:rsid w:val="00615FBF"/>
    <w:rsid w:val="00616FAD"/>
    <w:rsid w:val="0061746A"/>
    <w:rsid w:val="00620008"/>
    <w:rsid w:val="00620434"/>
    <w:rsid w:val="0062113B"/>
    <w:rsid w:val="006217AB"/>
    <w:rsid w:val="00621D0B"/>
    <w:rsid w:val="00621E7C"/>
    <w:rsid w:val="0062344E"/>
    <w:rsid w:val="0062422C"/>
    <w:rsid w:val="00624954"/>
    <w:rsid w:val="00627DE7"/>
    <w:rsid w:val="0063005C"/>
    <w:rsid w:val="00630D4E"/>
    <w:rsid w:val="00630F53"/>
    <w:rsid w:val="00631C08"/>
    <w:rsid w:val="00631C46"/>
    <w:rsid w:val="00632C62"/>
    <w:rsid w:val="00633397"/>
    <w:rsid w:val="006339DA"/>
    <w:rsid w:val="00633AA9"/>
    <w:rsid w:val="00633ADD"/>
    <w:rsid w:val="00634EB3"/>
    <w:rsid w:val="006355B4"/>
    <w:rsid w:val="00635F47"/>
    <w:rsid w:val="00636269"/>
    <w:rsid w:val="006363AD"/>
    <w:rsid w:val="006376F0"/>
    <w:rsid w:val="0064071F"/>
    <w:rsid w:val="00641268"/>
    <w:rsid w:val="00641391"/>
    <w:rsid w:val="0064196C"/>
    <w:rsid w:val="006421FF"/>
    <w:rsid w:val="00642296"/>
    <w:rsid w:val="006451F2"/>
    <w:rsid w:val="00645213"/>
    <w:rsid w:val="00647485"/>
    <w:rsid w:val="00647D54"/>
    <w:rsid w:val="00650B22"/>
    <w:rsid w:val="006515CC"/>
    <w:rsid w:val="00651DBA"/>
    <w:rsid w:val="006521B5"/>
    <w:rsid w:val="006534BE"/>
    <w:rsid w:val="00654901"/>
    <w:rsid w:val="006552CA"/>
    <w:rsid w:val="00656C3D"/>
    <w:rsid w:val="00656E14"/>
    <w:rsid w:val="00656ED8"/>
    <w:rsid w:val="00657784"/>
    <w:rsid w:val="00663F8B"/>
    <w:rsid w:val="006666E5"/>
    <w:rsid w:val="00670702"/>
    <w:rsid w:val="006708B3"/>
    <w:rsid w:val="006709C3"/>
    <w:rsid w:val="0067210B"/>
    <w:rsid w:val="006729DF"/>
    <w:rsid w:val="00672CCE"/>
    <w:rsid w:val="00673686"/>
    <w:rsid w:val="00673889"/>
    <w:rsid w:val="00673DC3"/>
    <w:rsid w:val="00676F95"/>
    <w:rsid w:val="0067737B"/>
    <w:rsid w:val="00677EB4"/>
    <w:rsid w:val="0068092A"/>
    <w:rsid w:val="0068561E"/>
    <w:rsid w:val="00686AF8"/>
    <w:rsid w:val="00686BBD"/>
    <w:rsid w:val="006870D9"/>
    <w:rsid w:val="0069017E"/>
    <w:rsid w:val="00690792"/>
    <w:rsid w:val="00690B21"/>
    <w:rsid w:val="00690F6D"/>
    <w:rsid w:val="006915DB"/>
    <w:rsid w:val="006917AA"/>
    <w:rsid w:val="00691AEC"/>
    <w:rsid w:val="006925E0"/>
    <w:rsid w:val="00692F74"/>
    <w:rsid w:val="00693696"/>
    <w:rsid w:val="006944BD"/>
    <w:rsid w:val="0069459F"/>
    <w:rsid w:val="00695231"/>
    <w:rsid w:val="006962F5"/>
    <w:rsid w:val="006963E4"/>
    <w:rsid w:val="006A0611"/>
    <w:rsid w:val="006A079F"/>
    <w:rsid w:val="006A2C98"/>
    <w:rsid w:val="006A3CB4"/>
    <w:rsid w:val="006A58A8"/>
    <w:rsid w:val="006A5C9C"/>
    <w:rsid w:val="006A613B"/>
    <w:rsid w:val="006B0492"/>
    <w:rsid w:val="006B094A"/>
    <w:rsid w:val="006B173C"/>
    <w:rsid w:val="006B28E6"/>
    <w:rsid w:val="006B2BF6"/>
    <w:rsid w:val="006B35FE"/>
    <w:rsid w:val="006B3FDF"/>
    <w:rsid w:val="006B45D5"/>
    <w:rsid w:val="006B46A6"/>
    <w:rsid w:val="006B46BE"/>
    <w:rsid w:val="006B573A"/>
    <w:rsid w:val="006B57DA"/>
    <w:rsid w:val="006B62FE"/>
    <w:rsid w:val="006B655F"/>
    <w:rsid w:val="006B6EA6"/>
    <w:rsid w:val="006B6F35"/>
    <w:rsid w:val="006C3B48"/>
    <w:rsid w:val="006C4223"/>
    <w:rsid w:val="006C475D"/>
    <w:rsid w:val="006C4F5C"/>
    <w:rsid w:val="006C5D15"/>
    <w:rsid w:val="006C653D"/>
    <w:rsid w:val="006D159B"/>
    <w:rsid w:val="006D15A2"/>
    <w:rsid w:val="006D19BA"/>
    <w:rsid w:val="006D3C86"/>
    <w:rsid w:val="006D4870"/>
    <w:rsid w:val="006D5117"/>
    <w:rsid w:val="006D63EE"/>
    <w:rsid w:val="006D67B8"/>
    <w:rsid w:val="006E298B"/>
    <w:rsid w:val="006E3C5C"/>
    <w:rsid w:val="006E491B"/>
    <w:rsid w:val="006E5F5D"/>
    <w:rsid w:val="006F0DA3"/>
    <w:rsid w:val="006F1126"/>
    <w:rsid w:val="006F1E1D"/>
    <w:rsid w:val="006F2E9C"/>
    <w:rsid w:val="006F418D"/>
    <w:rsid w:val="006F4E20"/>
    <w:rsid w:val="006F5067"/>
    <w:rsid w:val="006F6DC2"/>
    <w:rsid w:val="006F7C60"/>
    <w:rsid w:val="007002F3"/>
    <w:rsid w:val="00700355"/>
    <w:rsid w:val="007013AE"/>
    <w:rsid w:val="00702541"/>
    <w:rsid w:val="00703CD0"/>
    <w:rsid w:val="0070463A"/>
    <w:rsid w:val="00705AE0"/>
    <w:rsid w:val="00707125"/>
    <w:rsid w:val="00707619"/>
    <w:rsid w:val="00707A29"/>
    <w:rsid w:val="00707CC9"/>
    <w:rsid w:val="00710B92"/>
    <w:rsid w:val="007115F7"/>
    <w:rsid w:val="00712A69"/>
    <w:rsid w:val="0071393F"/>
    <w:rsid w:val="00713DF9"/>
    <w:rsid w:val="00714185"/>
    <w:rsid w:val="007149B1"/>
    <w:rsid w:val="00716C8E"/>
    <w:rsid w:val="00717768"/>
    <w:rsid w:val="00717CB1"/>
    <w:rsid w:val="007208B7"/>
    <w:rsid w:val="00720B1F"/>
    <w:rsid w:val="00720D4E"/>
    <w:rsid w:val="00722600"/>
    <w:rsid w:val="007236E7"/>
    <w:rsid w:val="00724D94"/>
    <w:rsid w:val="00725193"/>
    <w:rsid w:val="00725223"/>
    <w:rsid w:val="0072522F"/>
    <w:rsid w:val="007264F1"/>
    <w:rsid w:val="00726F0D"/>
    <w:rsid w:val="00731FEC"/>
    <w:rsid w:val="00732ED1"/>
    <w:rsid w:val="00734748"/>
    <w:rsid w:val="00734A66"/>
    <w:rsid w:val="00740119"/>
    <w:rsid w:val="007417A7"/>
    <w:rsid w:val="00741B19"/>
    <w:rsid w:val="00741F37"/>
    <w:rsid w:val="00743A21"/>
    <w:rsid w:val="00743C31"/>
    <w:rsid w:val="00743DA8"/>
    <w:rsid w:val="00744C2C"/>
    <w:rsid w:val="00744FE1"/>
    <w:rsid w:val="00745E1F"/>
    <w:rsid w:val="007464D0"/>
    <w:rsid w:val="0074765B"/>
    <w:rsid w:val="00750254"/>
    <w:rsid w:val="00754213"/>
    <w:rsid w:val="00754EB6"/>
    <w:rsid w:val="007563BE"/>
    <w:rsid w:val="007568EF"/>
    <w:rsid w:val="00756EB8"/>
    <w:rsid w:val="00761676"/>
    <w:rsid w:val="00761C43"/>
    <w:rsid w:val="00763899"/>
    <w:rsid w:val="00764073"/>
    <w:rsid w:val="00764460"/>
    <w:rsid w:val="00764B08"/>
    <w:rsid w:val="0076756F"/>
    <w:rsid w:val="007700C5"/>
    <w:rsid w:val="00770254"/>
    <w:rsid w:val="007705C4"/>
    <w:rsid w:val="00770742"/>
    <w:rsid w:val="00770FED"/>
    <w:rsid w:val="00771EB3"/>
    <w:rsid w:val="0077296B"/>
    <w:rsid w:val="00773937"/>
    <w:rsid w:val="007754E4"/>
    <w:rsid w:val="00776DE1"/>
    <w:rsid w:val="00776EEC"/>
    <w:rsid w:val="007776EB"/>
    <w:rsid w:val="00777961"/>
    <w:rsid w:val="007810FF"/>
    <w:rsid w:val="0078225A"/>
    <w:rsid w:val="007824B7"/>
    <w:rsid w:val="007828F1"/>
    <w:rsid w:val="00782D8A"/>
    <w:rsid w:val="007830E8"/>
    <w:rsid w:val="00783E06"/>
    <w:rsid w:val="00784BB4"/>
    <w:rsid w:val="00785958"/>
    <w:rsid w:val="00785C0F"/>
    <w:rsid w:val="007909CA"/>
    <w:rsid w:val="00790B03"/>
    <w:rsid w:val="00790D76"/>
    <w:rsid w:val="00790F6A"/>
    <w:rsid w:val="007914DB"/>
    <w:rsid w:val="00792164"/>
    <w:rsid w:val="0079293A"/>
    <w:rsid w:val="00792B93"/>
    <w:rsid w:val="00795053"/>
    <w:rsid w:val="00795A3C"/>
    <w:rsid w:val="00796756"/>
    <w:rsid w:val="007967E7"/>
    <w:rsid w:val="00796DB0"/>
    <w:rsid w:val="00796FBB"/>
    <w:rsid w:val="007971DD"/>
    <w:rsid w:val="0079729C"/>
    <w:rsid w:val="007973C4"/>
    <w:rsid w:val="007A06FF"/>
    <w:rsid w:val="007A083F"/>
    <w:rsid w:val="007A0E40"/>
    <w:rsid w:val="007A0E46"/>
    <w:rsid w:val="007A29DD"/>
    <w:rsid w:val="007A2E55"/>
    <w:rsid w:val="007A4108"/>
    <w:rsid w:val="007A6084"/>
    <w:rsid w:val="007A6383"/>
    <w:rsid w:val="007A735C"/>
    <w:rsid w:val="007A7A3E"/>
    <w:rsid w:val="007A7CB0"/>
    <w:rsid w:val="007A7D8F"/>
    <w:rsid w:val="007B17B1"/>
    <w:rsid w:val="007B2E37"/>
    <w:rsid w:val="007B300D"/>
    <w:rsid w:val="007B3C65"/>
    <w:rsid w:val="007B3F01"/>
    <w:rsid w:val="007B42B8"/>
    <w:rsid w:val="007B4529"/>
    <w:rsid w:val="007B727A"/>
    <w:rsid w:val="007C0DA9"/>
    <w:rsid w:val="007C135B"/>
    <w:rsid w:val="007C143B"/>
    <w:rsid w:val="007C1D92"/>
    <w:rsid w:val="007C1E40"/>
    <w:rsid w:val="007C3AE4"/>
    <w:rsid w:val="007C4864"/>
    <w:rsid w:val="007C4E0F"/>
    <w:rsid w:val="007C5E95"/>
    <w:rsid w:val="007C6FB3"/>
    <w:rsid w:val="007C75A6"/>
    <w:rsid w:val="007C79BA"/>
    <w:rsid w:val="007D00CF"/>
    <w:rsid w:val="007D015C"/>
    <w:rsid w:val="007D16A1"/>
    <w:rsid w:val="007D271B"/>
    <w:rsid w:val="007D2A3F"/>
    <w:rsid w:val="007D3A89"/>
    <w:rsid w:val="007D3B9A"/>
    <w:rsid w:val="007D3E5D"/>
    <w:rsid w:val="007D471A"/>
    <w:rsid w:val="007D4AD8"/>
    <w:rsid w:val="007D54E7"/>
    <w:rsid w:val="007D5D79"/>
    <w:rsid w:val="007D6AAA"/>
    <w:rsid w:val="007D7416"/>
    <w:rsid w:val="007D7582"/>
    <w:rsid w:val="007D7CC2"/>
    <w:rsid w:val="007E069F"/>
    <w:rsid w:val="007E117E"/>
    <w:rsid w:val="007E39F9"/>
    <w:rsid w:val="007E7468"/>
    <w:rsid w:val="007E77FB"/>
    <w:rsid w:val="007F04C6"/>
    <w:rsid w:val="007F06E7"/>
    <w:rsid w:val="007F0ACF"/>
    <w:rsid w:val="007F3DC7"/>
    <w:rsid w:val="007F4BAF"/>
    <w:rsid w:val="007F632E"/>
    <w:rsid w:val="007F745F"/>
    <w:rsid w:val="007F786E"/>
    <w:rsid w:val="00802C3B"/>
    <w:rsid w:val="0080363E"/>
    <w:rsid w:val="0080389B"/>
    <w:rsid w:val="00804A7D"/>
    <w:rsid w:val="00804F90"/>
    <w:rsid w:val="00805197"/>
    <w:rsid w:val="00805361"/>
    <w:rsid w:val="00806DB7"/>
    <w:rsid w:val="008079D9"/>
    <w:rsid w:val="00807B3D"/>
    <w:rsid w:val="00810412"/>
    <w:rsid w:val="00810874"/>
    <w:rsid w:val="008119CA"/>
    <w:rsid w:val="00811A5C"/>
    <w:rsid w:val="0081236A"/>
    <w:rsid w:val="00812826"/>
    <w:rsid w:val="008132D1"/>
    <w:rsid w:val="00813A2F"/>
    <w:rsid w:val="00814D7A"/>
    <w:rsid w:val="008154C6"/>
    <w:rsid w:val="00817FAB"/>
    <w:rsid w:val="00820D02"/>
    <w:rsid w:val="00821AFC"/>
    <w:rsid w:val="008238EC"/>
    <w:rsid w:val="00824916"/>
    <w:rsid w:val="008250B7"/>
    <w:rsid w:val="0082560F"/>
    <w:rsid w:val="00826034"/>
    <w:rsid w:val="008269D6"/>
    <w:rsid w:val="0083176E"/>
    <w:rsid w:val="00837179"/>
    <w:rsid w:val="00840C57"/>
    <w:rsid w:val="00841E3B"/>
    <w:rsid w:val="00842282"/>
    <w:rsid w:val="00842936"/>
    <w:rsid w:val="00843809"/>
    <w:rsid w:val="008440EC"/>
    <w:rsid w:val="00845A61"/>
    <w:rsid w:val="00846934"/>
    <w:rsid w:val="00846EB5"/>
    <w:rsid w:val="00851177"/>
    <w:rsid w:val="0085195E"/>
    <w:rsid w:val="00851D7F"/>
    <w:rsid w:val="008524B1"/>
    <w:rsid w:val="00852FE7"/>
    <w:rsid w:val="00854CA3"/>
    <w:rsid w:val="008600F9"/>
    <w:rsid w:val="008607DD"/>
    <w:rsid w:val="00861A1D"/>
    <w:rsid w:val="00861F16"/>
    <w:rsid w:val="008623E1"/>
    <w:rsid w:val="00864BF0"/>
    <w:rsid w:val="00864BF8"/>
    <w:rsid w:val="00865519"/>
    <w:rsid w:val="00867D10"/>
    <w:rsid w:val="00870177"/>
    <w:rsid w:val="008711F8"/>
    <w:rsid w:val="0087147C"/>
    <w:rsid w:val="008714F9"/>
    <w:rsid w:val="00871EE5"/>
    <w:rsid w:val="00872E77"/>
    <w:rsid w:val="00874897"/>
    <w:rsid w:val="00874FEE"/>
    <w:rsid w:val="00874FF6"/>
    <w:rsid w:val="00875C6C"/>
    <w:rsid w:val="008768BD"/>
    <w:rsid w:val="00877AC3"/>
    <w:rsid w:val="00880208"/>
    <w:rsid w:val="008804FD"/>
    <w:rsid w:val="00882409"/>
    <w:rsid w:val="00883150"/>
    <w:rsid w:val="00883FED"/>
    <w:rsid w:val="00885918"/>
    <w:rsid w:val="008859DD"/>
    <w:rsid w:val="00886DC9"/>
    <w:rsid w:val="00886DF3"/>
    <w:rsid w:val="0088799D"/>
    <w:rsid w:val="0089008C"/>
    <w:rsid w:val="00890492"/>
    <w:rsid w:val="008905EF"/>
    <w:rsid w:val="008909D2"/>
    <w:rsid w:val="00891A34"/>
    <w:rsid w:val="00891F30"/>
    <w:rsid w:val="00893FC6"/>
    <w:rsid w:val="0089482B"/>
    <w:rsid w:val="00897251"/>
    <w:rsid w:val="00897792"/>
    <w:rsid w:val="008A0882"/>
    <w:rsid w:val="008A0894"/>
    <w:rsid w:val="008A6BFD"/>
    <w:rsid w:val="008B050D"/>
    <w:rsid w:val="008B05BD"/>
    <w:rsid w:val="008B0C0A"/>
    <w:rsid w:val="008B3936"/>
    <w:rsid w:val="008B3C93"/>
    <w:rsid w:val="008B45DE"/>
    <w:rsid w:val="008B4CF1"/>
    <w:rsid w:val="008B4FE0"/>
    <w:rsid w:val="008B6341"/>
    <w:rsid w:val="008C05CE"/>
    <w:rsid w:val="008C0AF7"/>
    <w:rsid w:val="008C0FA9"/>
    <w:rsid w:val="008C22AE"/>
    <w:rsid w:val="008C3558"/>
    <w:rsid w:val="008C6854"/>
    <w:rsid w:val="008C6EC5"/>
    <w:rsid w:val="008D020A"/>
    <w:rsid w:val="008D08F6"/>
    <w:rsid w:val="008D2BEC"/>
    <w:rsid w:val="008D3A77"/>
    <w:rsid w:val="008D3BC2"/>
    <w:rsid w:val="008D7C89"/>
    <w:rsid w:val="008E0361"/>
    <w:rsid w:val="008E1367"/>
    <w:rsid w:val="008E18DD"/>
    <w:rsid w:val="008E2789"/>
    <w:rsid w:val="008E2A48"/>
    <w:rsid w:val="008E2E9A"/>
    <w:rsid w:val="008E36D9"/>
    <w:rsid w:val="008E3B3C"/>
    <w:rsid w:val="008E480B"/>
    <w:rsid w:val="008E4C4E"/>
    <w:rsid w:val="008E64DF"/>
    <w:rsid w:val="008E7B75"/>
    <w:rsid w:val="008F0069"/>
    <w:rsid w:val="008F094E"/>
    <w:rsid w:val="008F10FB"/>
    <w:rsid w:val="008F2FD1"/>
    <w:rsid w:val="008F3F22"/>
    <w:rsid w:val="008F6722"/>
    <w:rsid w:val="009004B8"/>
    <w:rsid w:val="00901023"/>
    <w:rsid w:val="0090237B"/>
    <w:rsid w:val="00902DE8"/>
    <w:rsid w:val="00903397"/>
    <w:rsid w:val="0090577D"/>
    <w:rsid w:val="00905C4B"/>
    <w:rsid w:val="009141A7"/>
    <w:rsid w:val="00915023"/>
    <w:rsid w:val="00916632"/>
    <w:rsid w:val="00917AE5"/>
    <w:rsid w:val="00920113"/>
    <w:rsid w:val="0092049E"/>
    <w:rsid w:val="009215EC"/>
    <w:rsid w:val="009216C6"/>
    <w:rsid w:val="00921BAE"/>
    <w:rsid w:val="00921D05"/>
    <w:rsid w:val="0092211D"/>
    <w:rsid w:val="00923CB3"/>
    <w:rsid w:val="009243A0"/>
    <w:rsid w:val="00925138"/>
    <w:rsid w:val="00925A4D"/>
    <w:rsid w:val="00925AE0"/>
    <w:rsid w:val="00926BBA"/>
    <w:rsid w:val="00931B79"/>
    <w:rsid w:val="00931CB3"/>
    <w:rsid w:val="009334F7"/>
    <w:rsid w:val="009351EE"/>
    <w:rsid w:val="00935254"/>
    <w:rsid w:val="00935288"/>
    <w:rsid w:val="0093560C"/>
    <w:rsid w:val="00936C65"/>
    <w:rsid w:val="00937288"/>
    <w:rsid w:val="0094097C"/>
    <w:rsid w:val="00940EB0"/>
    <w:rsid w:val="00942D49"/>
    <w:rsid w:val="0094391E"/>
    <w:rsid w:val="00945AD9"/>
    <w:rsid w:val="00946B87"/>
    <w:rsid w:val="00946E2D"/>
    <w:rsid w:val="00947C0B"/>
    <w:rsid w:val="00947FF3"/>
    <w:rsid w:val="00951504"/>
    <w:rsid w:val="0095205B"/>
    <w:rsid w:val="00953003"/>
    <w:rsid w:val="00953391"/>
    <w:rsid w:val="00953F95"/>
    <w:rsid w:val="0095405A"/>
    <w:rsid w:val="00954133"/>
    <w:rsid w:val="00954F8C"/>
    <w:rsid w:val="00956FD8"/>
    <w:rsid w:val="0095790A"/>
    <w:rsid w:val="009608C9"/>
    <w:rsid w:val="00960F87"/>
    <w:rsid w:val="00961FC0"/>
    <w:rsid w:val="00962073"/>
    <w:rsid w:val="009627A4"/>
    <w:rsid w:val="009646BC"/>
    <w:rsid w:val="009646FC"/>
    <w:rsid w:val="00964B46"/>
    <w:rsid w:val="00967C4A"/>
    <w:rsid w:val="00971421"/>
    <w:rsid w:val="00971973"/>
    <w:rsid w:val="009719EA"/>
    <w:rsid w:val="00973776"/>
    <w:rsid w:val="00973BC0"/>
    <w:rsid w:val="00974C04"/>
    <w:rsid w:val="00975B13"/>
    <w:rsid w:val="00975C91"/>
    <w:rsid w:val="00976951"/>
    <w:rsid w:val="009819DA"/>
    <w:rsid w:val="00982472"/>
    <w:rsid w:val="00982A60"/>
    <w:rsid w:val="009830DE"/>
    <w:rsid w:val="009836FC"/>
    <w:rsid w:val="00984095"/>
    <w:rsid w:val="009846A3"/>
    <w:rsid w:val="00984F49"/>
    <w:rsid w:val="009851AB"/>
    <w:rsid w:val="009854D8"/>
    <w:rsid w:val="00985E3A"/>
    <w:rsid w:val="009875C9"/>
    <w:rsid w:val="00987DEC"/>
    <w:rsid w:val="009915B8"/>
    <w:rsid w:val="00991B09"/>
    <w:rsid w:val="009926BE"/>
    <w:rsid w:val="00992ABE"/>
    <w:rsid w:val="00993018"/>
    <w:rsid w:val="00993760"/>
    <w:rsid w:val="00993C3E"/>
    <w:rsid w:val="00994BEB"/>
    <w:rsid w:val="00995E6A"/>
    <w:rsid w:val="00997610"/>
    <w:rsid w:val="009A257B"/>
    <w:rsid w:val="009A2C4A"/>
    <w:rsid w:val="009A75A1"/>
    <w:rsid w:val="009A7C70"/>
    <w:rsid w:val="009B1DFD"/>
    <w:rsid w:val="009B2FE3"/>
    <w:rsid w:val="009B3B20"/>
    <w:rsid w:val="009B3CBF"/>
    <w:rsid w:val="009B458E"/>
    <w:rsid w:val="009B540B"/>
    <w:rsid w:val="009B56F1"/>
    <w:rsid w:val="009B5B8D"/>
    <w:rsid w:val="009B5FC8"/>
    <w:rsid w:val="009B75C4"/>
    <w:rsid w:val="009C0C9E"/>
    <w:rsid w:val="009C36E6"/>
    <w:rsid w:val="009C3B8C"/>
    <w:rsid w:val="009C4893"/>
    <w:rsid w:val="009C4C0E"/>
    <w:rsid w:val="009C72B4"/>
    <w:rsid w:val="009C7FA8"/>
    <w:rsid w:val="009D0809"/>
    <w:rsid w:val="009D0F80"/>
    <w:rsid w:val="009D103B"/>
    <w:rsid w:val="009D17AF"/>
    <w:rsid w:val="009D24CD"/>
    <w:rsid w:val="009D26D4"/>
    <w:rsid w:val="009D3091"/>
    <w:rsid w:val="009D3335"/>
    <w:rsid w:val="009D4A73"/>
    <w:rsid w:val="009D4C14"/>
    <w:rsid w:val="009D58EE"/>
    <w:rsid w:val="009D5BE9"/>
    <w:rsid w:val="009D62E0"/>
    <w:rsid w:val="009D6A84"/>
    <w:rsid w:val="009D6CF9"/>
    <w:rsid w:val="009E0DB3"/>
    <w:rsid w:val="009E111E"/>
    <w:rsid w:val="009E18B2"/>
    <w:rsid w:val="009E52F4"/>
    <w:rsid w:val="009E5DBB"/>
    <w:rsid w:val="009F171D"/>
    <w:rsid w:val="009F176C"/>
    <w:rsid w:val="009F3184"/>
    <w:rsid w:val="009F3B2E"/>
    <w:rsid w:val="009F3B79"/>
    <w:rsid w:val="009F3E5D"/>
    <w:rsid w:val="009F3E6E"/>
    <w:rsid w:val="009F46D0"/>
    <w:rsid w:val="009F4E1E"/>
    <w:rsid w:val="009F552B"/>
    <w:rsid w:val="009F5A89"/>
    <w:rsid w:val="009F711E"/>
    <w:rsid w:val="00A00277"/>
    <w:rsid w:val="00A00284"/>
    <w:rsid w:val="00A00343"/>
    <w:rsid w:val="00A00E94"/>
    <w:rsid w:val="00A0162E"/>
    <w:rsid w:val="00A02129"/>
    <w:rsid w:val="00A02213"/>
    <w:rsid w:val="00A026D5"/>
    <w:rsid w:val="00A02A6B"/>
    <w:rsid w:val="00A03759"/>
    <w:rsid w:val="00A0445E"/>
    <w:rsid w:val="00A05812"/>
    <w:rsid w:val="00A05EE8"/>
    <w:rsid w:val="00A101C4"/>
    <w:rsid w:val="00A11678"/>
    <w:rsid w:val="00A12892"/>
    <w:rsid w:val="00A1419C"/>
    <w:rsid w:val="00A16C6F"/>
    <w:rsid w:val="00A170E2"/>
    <w:rsid w:val="00A212EB"/>
    <w:rsid w:val="00A2327D"/>
    <w:rsid w:val="00A23311"/>
    <w:rsid w:val="00A237A2"/>
    <w:rsid w:val="00A2630A"/>
    <w:rsid w:val="00A26538"/>
    <w:rsid w:val="00A27418"/>
    <w:rsid w:val="00A30E54"/>
    <w:rsid w:val="00A33A37"/>
    <w:rsid w:val="00A33E98"/>
    <w:rsid w:val="00A349C8"/>
    <w:rsid w:val="00A34E09"/>
    <w:rsid w:val="00A3570C"/>
    <w:rsid w:val="00A35E55"/>
    <w:rsid w:val="00A362EC"/>
    <w:rsid w:val="00A36559"/>
    <w:rsid w:val="00A36A46"/>
    <w:rsid w:val="00A424C6"/>
    <w:rsid w:val="00A4254B"/>
    <w:rsid w:val="00A433C0"/>
    <w:rsid w:val="00A461BF"/>
    <w:rsid w:val="00A464AA"/>
    <w:rsid w:val="00A5008A"/>
    <w:rsid w:val="00A51C99"/>
    <w:rsid w:val="00A51E74"/>
    <w:rsid w:val="00A53817"/>
    <w:rsid w:val="00A53F2E"/>
    <w:rsid w:val="00A53F7A"/>
    <w:rsid w:val="00A55346"/>
    <w:rsid w:val="00A55470"/>
    <w:rsid w:val="00A55D0C"/>
    <w:rsid w:val="00A56F28"/>
    <w:rsid w:val="00A571F8"/>
    <w:rsid w:val="00A5769F"/>
    <w:rsid w:val="00A6059B"/>
    <w:rsid w:val="00A61018"/>
    <w:rsid w:val="00A615FF"/>
    <w:rsid w:val="00A61746"/>
    <w:rsid w:val="00A635C3"/>
    <w:rsid w:val="00A637A9"/>
    <w:rsid w:val="00A64067"/>
    <w:rsid w:val="00A646A4"/>
    <w:rsid w:val="00A64BEE"/>
    <w:rsid w:val="00A6541F"/>
    <w:rsid w:val="00A65517"/>
    <w:rsid w:val="00A65A43"/>
    <w:rsid w:val="00A670AB"/>
    <w:rsid w:val="00A71EB8"/>
    <w:rsid w:val="00A7375C"/>
    <w:rsid w:val="00A7462C"/>
    <w:rsid w:val="00A769BD"/>
    <w:rsid w:val="00A77207"/>
    <w:rsid w:val="00A841AF"/>
    <w:rsid w:val="00A852B5"/>
    <w:rsid w:val="00A86C86"/>
    <w:rsid w:val="00A87DFE"/>
    <w:rsid w:val="00A87E79"/>
    <w:rsid w:val="00A900D8"/>
    <w:rsid w:val="00A9070F"/>
    <w:rsid w:val="00A90906"/>
    <w:rsid w:val="00A90A58"/>
    <w:rsid w:val="00A90BD6"/>
    <w:rsid w:val="00A91D6C"/>
    <w:rsid w:val="00A921FF"/>
    <w:rsid w:val="00A92B6C"/>
    <w:rsid w:val="00A949B1"/>
    <w:rsid w:val="00A94B42"/>
    <w:rsid w:val="00A95204"/>
    <w:rsid w:val="00A95BF2"/>
    <w:rsid w:val="00A96556"/>
    <w:rsid w:val="00A966C2"/>
    <w:rsid w:val="00AA004A"/>
    <w:rsid w:val="00AA055E"/>
    <w:rsid w:val="00AA0564"/>
    <w:rsid w:val="00AA46D4"/>
    <w:rsid w:val="00AA4F0D"/>
    <w:rsid w:val="00AB0266"/>
    <w:rsid w:val="00AB083B"/>
    <w:rsid w:val="00AB0AAB"/>
    <w:rsid w:val="00AB2436"/>
    <w:rsid w:val="00AB24A2"/>
    <w:rsid w:val="00AB2F4C"/>
    <w:rsid w:val="00AB499F"/>
    <w:rsid w:val="00AB4A69"/>
    <w:rsid w:val="00AB626A"/>
    <w:rsid w:val="00AB68DF"/>
    <w:rsid w:val="00AC03D2"/>
    <w:rsid w:val="00AC1B9A"/>
    <w:rsid w:val="00AC560B"/>
    <w:rsid w:val="00AC7860"/>
    <w:rsid w:val="00AD1896"/>
    <w:rsid w:val="00AD2208"/>
    <w:rsid w:val="00AD273A"/>
    <w:rsid w:val="00AD2FE3"/>
    <w:rsid w:val="00AD38A3"/>
    <w:rsid w:val="00AD4156"/>
    <w:rsid w:val="00AD58AB"/>
    <w:rsid w:val="00AD71D9"/>
    <w:rsid w:val="00AE169B"/>
    <w:rsid w:val="00AE3D7D"/>
    <w:rsid w:val="00AE41D4"/>
    <w:rsid w:val="00AE5250"/>
    <w:rsid w:val="00AE787A"/>
    <w:rsid w:val="00AF07F5"/>
    <w:rsid w:val="00AF1C74"/>
    <w:rsid w:val="00AF1E7E"/>
    <w:rsid w:val="00AF21D9"/>
    <w:rsid w:val="00AF222A"/>
    <w:rsid w:val="00AF2FCE"/>
    <w:rsid w:val="00AF37D2"/>
    <w:rsid w:val="00AF499B"/>
    <w:rsid w:val="00AF4C1F"/>
    <w:rsid w:val="00AF4F17"/>
    <w:rsid w:val="00AF5301"/>
    <w:rsid w:val="00AF597C"/>
    <w:rsid w:val="00AF5D93"/>
    <w:rsid w:val="00B00224"/>
    <w:rsid w:val="00B00C7B"/>
    <w:rsid w:val="00B00D17"/>
    <w:rsid w:val="00B0105C"/>
    <w:rsid w:val="00B027AA"/>
    <w:rsid w:val="00B0372A"/>
    <w:rsid w:val="00B0424F"/>
    <w:rsid w:val="00B04E5C"/>
    <w:rsid w:val="00B04F23"/>
    <w:rsid w:val="00B05C9B"/>
    <w:rsid w:val="00B10CD5"/>
    <w:rsid w:val="00B10FFE"/>
    <w:rsid w:val="00B11F8F"/>
    <w:rsid w:val="00B12E9D"/>
    <w:rsid w:val="00B14A1C"/>
    <w:rsid w:val="00B14F73"/>
    <w:rsid w:val="00B15CFC"/>
    <w:rsid w:val="00B15F74"/>
    <w:rsid w:val="00B17DF0"/>
    <w:rsid w:val="00B20C59"/>
    <w:rsid w:val="00B21860"/>
    <w:rsid w:val="00B2232C"/>
    <w:rsid w:val="00B225A4"/>
    <w:rsid w:val="00B228C1"/>
    <w:rsid w:val="00B22CA9"/>
    <w:rsid w:val="00B22CC9"/>
    <w:rsid w:val="00B25176"/>
    <w:rsid w:val="00B25572"/>
    <w:rsid w:val="00B26824"/>
    <w:rsid w:val="00B27101"/>
    <w:rsid w:val="00B30352"/>
    <w:rsid w:val="00B311BB"/>
    <w:rsid w:val="00B328F6"/>
    <w:rsid w:val="00B330EC"/>
    <w:rsid w:val="00B35C44"/>
    <w:rsid w:val="00B366C5"/>
    <w:rsid w:val="00B410B7"/>
    <w:rsid w:val="00B415A6"/>
    <w:rsid w:val="00B41796"/>
    <w:rsid w:val="00B41821"/>
    <w:rsid w:val="00B41854"/>
    <w:rsid w:val="00B4222C"/>
    <w:rsid w:val="00B4264D"/>
    <w:rsid w:val="00B42C10"/>
    <w:rsid w:val="00B42F3D"/>
    <w:rsid w:val="00B430C2"/>
    <w:rsid w:val="00B4318C"/>
    <w:rsid w:val="00B4400F"/>
    <w:rsid w:val="00B44443"/>
    <w:rsid w:val="00B44F76"/>
    <w:rsid w:val="00B4507C"/>
    <w:rsid w:val="00B4625B"/>
    <w:rsid w:val="00B51E9B"/>
    <w:rsid w:val="00B52ED8"/>
    <w:rsid w:val="00B542EC"/>
    <w:rsid w:val="00B544BB"/>
    <w:rsid w:val="00B5537C"/>
    <w:rsid w:val="00B5674F"/>
    <w:rsid w:val="00B5690E"/>
    <w:rsid w:val="00B5729C"/>
    <w:rsid w:val="00B575B8"/>
    <w:rsid w:val="00B60482"/>
    <w:rsid w:val="00B60525"/>
    <w:rsid w:val="00B60AB0"/>
    <w:rsid w:val="00B61855"/>
    <w:rsid w:val="00B61991"/>
    <w:rsid w:val="00B61EA2"/>
    <w:rsid w:val="00B61EFE"/>
    <w:rsid w:val="00B62D64"/>
    <w:rsid w:val="00B63F1C"/>
    <w:rsid w:val="00B65313"/>
    <w:rsid w:val="00B65AA5"/>
    <w:rsid w:val="00B65D6F"/>
    <w:rsid w:val="00B66E61"/>
    <w:rsid w:val="00B66FD0"/>
    <w:rsid w:val="00B674C2"/>
    <w:rsid w:val="00B678CB"/>
    <w:rsid w:val="00B701FC"/>
    <w:rsid w:val="00B7096B"/>
    <w:rsid w:val="00B720B3"/>
    <w:rsid w:val="00B724D2"/>
    <w:rsid w:val="00B72FB1"/>
    <w:rsid w:val="00B7659F"/>
    <w:rsid w:val="00B77A8A"/>
    <w:rsid w:val="00B807B5"/>
    <w:rsid w:val="00B81625"/>
    <w:rsid w:val="00B82E0D"/>
    <w:rsid w:val="00B83D17"/>
    <w:rsid w:val="00B84752"/>
    <w:rsid w:val="00B857C2"/>
    <w:rsid w:val="00B85D07"/>
    <w:rsid w:val="00B864C1"/>
    <w:rsid w:val="00B86C44"/>
    <w:rsid w:val="00B87FF2"/>
    <w:rsid w:val="00B9029F"/>
    <w:rsid w:val="00B91BEA"/>
    <w:rsid w:val="00B91D9E"/>
    <w:rsid w:val="00B927FC"/>
    <w:rsid w:val="00B92ABB"/>
    <w:rsid w:val="00B93C37"/>
    <w:rsid w:val="00B9524B"/>
    <w:rsid w:val="00B95D56"/>
    <w:rsid w:val="00B96C7C"/>
    <w:rsid w:val="00B97897"/>
    <w:rsid w:val="00BA0034"/>
    <w:rsid w:val="00BA00FE"/>
    <w:rsid w:val="00BA1899"/>
    <w:rsid w:val="00BA236A"/>
    <w:rsid w:val="00BA2419"/>
    <w:rsid w:val="00BA520E"/>
    <w:rsid w:val="00BA54D7"/>
    <w:rsid w:val="00BA555C"/>
    <w:rsid w:val="00BA6671"/>
    <w:rsid w:val="00BA69DD"/>
    <w:rsid w:val="00BB0BC0"/>
    <w:rsid w:val="00BB1E0A"/>
    <w:rsid w:val="00BB2068"/>
    <w:rsid w:val="00BB26DA"/>
    <w:rsid w:val="00BB3711"/>
    <w:rsid w:val="00BB3B06"/>
    <w:rsid w:val="00BB47FF"/>
    <w:rsid w:val="00BB573C"/>
    <w:rsid w:val="00BB5C82"/>
    <w:rsid w:val="00BB5D26"/>
    <w:rsid w:val="00BB7058"/>
    <w:rsid w:val="00BB7059"/>
    <w:rsid w:val="00BB772B"/>
    <w:rsid w:val="00BB7D4D"/>
    <w:rsid w:val="00BC0754"/>
    <w:rsid w:val="00BC2A92"/>
    <w:rsid w:val="00BC3060"/>
    <w:rsid w:val="00BC411C"/>
    <w:rsid w:val="00BC4709"/>
    <w:rsid w:val="00BC5255"/>
    <w:rsid w:val="00BC535D"/>
    <w:rsid w:val="00BC617C"/>
    <w:rsid w:val="00BD04E2"/>
    <w:rsid w:val="00BD0D13"/>
    <w:rsid w:val="00BD245E"/>
    <w:rsid w:val="00BD4EB1"/>
    <w:rsid w:val="00BD56CA"/>
    <w:rsid w:val="00BE10F7"/>
    <w:rsid w:val="00BE2FD4"/>
    <w:rsid w:val="00BE41BA"/>
    <w:rsid w:val="00BE4B14"/>
    <w:rsid w:val="00BE5C6E"/>
    <w:rsid w:val="00BE656E"/>
    <w:rsid w:val="00BE65B9"/>
    <w:rsid w:val="00BE79C9"/>
    <w:rsid w:val="00BF0186"/>
    <w:rsid w:val="00BF0471"/>
    <w:rsid w:val="00BF1C6C"/>
    <w:rsid w:val="00BF2474"/>
    <w:rsid w:val="00BF2FE3"/>
    <w:rsid w:val="00BF3807"/>
    <w:rsid w:val="00C01891"/>
    <w:rsid w:val="00C03D0B"/>
    <w:rsid w:val="00C05444"/>
    <w:rsid w:val="00C05ECF"/>
    <w:rsid w:val="00C05F84"/>
    <w:rsid w:val="00C0614F"/>
    <w:rsid w:val="00C06209"/>
    <w:rsid w:val="00C0703B"/>
    <w:rsid w:val="00C1075B"/>
    <w:rsid w:val="00C10903"/>
    <w:rsid w:val="00C1139D"/>
    <w:rsid w:val="00C15572"/>
    <w:rsid w:val="00C17B17"/>
    <w:rsid w:val="00C231E5"/>
    <w:rsid w:val="00C24F82"/>
    <w:rsid w:val="00C258BD"/>
    <w:rsid w:val="00C267D3"/>
    <w:rsid w:val="00C274CD"/>
    <w:rsid w:val="00C30007"/>
    <w:rsid w:val="00C3054F"/>
    <w:rsid w:val="00C30A25"/>
    <w:rsid w:val="00C32517"/>
    <w:rsid w:val="00C32E1D"/>
    <w:rsid w:val="00C33D9D"/>
    <w:rsid w:val="00C35099"/>
    <w:rsid w:val="00C360E9"/>
    <w:rsid w:val="00C37B60"/>
    <w:rsid w:val="00C37DBF"/>
    <w:rsid w:val="00C40C3E"/>
    <w:rsid w:val="00C414E5"/>
    <w:rsid w:val="00C42099"/>
    <w:rsid w:val="00C428A2"/>
    <w:rsid w:val="00C42C49"/>
    <w:rsid w:val="00C4324A"/>
    <w:rsid w:val="00C45EA8"/>
    <w:rsid w:val="00C45EF3"/>
    <w:rsid w:val="00C46345"/>
    <w:rsid w:val="00C469E0"/>
    <w:rsid w:val="00C479CA"/>
    <w:rsid w:val="00C47DEF"/>
    <w:rsid w:val="00C51E76"/>
    <w:rsid w:val="00C5225C"/>
    <w:rsid w:val="00C52443"/>
    <w:rsid w:val="00C52F95"/>
    <w:rsid w:val="00C53DDE"/>
    <w:rsid w:val="00C54872"/>
    <w:rsid w:val="00C54BD5"/>
    <w:rsid w:val="00C54BE7"/>
    <w:rsid w:val="00C55603"/>
    <w:rsid w:val="00C56D42"/>
    <w:rsid w:val="00C609AC"/>
    <w:rsid w:val="00C60FFE"/>
    <w:rsid w:val="00C62119"/>
    <w:rsid w:val="00C62BFC"/>
    <w:rsid w:val="00C637E7"/>
    <w:rsid w:val="00C64608"/>
    <w:rsid w:val="00C647AA"/>
    <w:rsid w:val="00C64817"/>
    <w:rsid w:val="00C6498E"/>
    <w:rsid w:val="00C64B5B"/>
    <w:rsid w:val="00C64FEC"/>
    <w:rsid w:val="00C65689"/>
    <w:rsid w:val="00C65A6B"/>
    <w:rsid w:val="00C65E4F"/>
    <w:rsid w:val="00C672F6"/>
    <w:rsid w:val="00C700D8"/>
    <w:rsid w:val="00C70851"/>
    <w:rsid w:val="00C71411"/>
    <w:rsid w:val="00C72B8C"/>
    <w:rsid w:val="00C74200"/>
    <w:rsid w:val="00C7452E"/>
    <w:rsid w:val="00C74657"/>
    <w:rsid w:val="00C74B36"/>
    <w:rsid w:val="00C76FBA"/>
    <w:rsid w:val="00C80E7C"/>
    <w:rsid w:val="00C80EAD"/>
    <w:rsid w:val="00C811B3"/>
    <w:rsid w:val="00C81908"/>
    <w:rsid w:val="00C8229B"/>
    <w:rsid w:val="00C82461"/>
    <w:rsid w:val="00C82DFF"/>
    <w:rsid w:val="00C85488"/>
    <w:rsid w:val="00C86153"/>
    <w:rsid w:val="00C86346"/>
    <w:rsid w:val="00C86890"/>
    <w:rsid w:val="00C871CE"/>
    <w:rsid w:val="00C90267"/>
    <w:rsid w:val="00C90FDD"/>
    <w:rsid w:val="00C91113"/>
    <w:rsid w:val="00C91988"/>
    <w:rsid w:val="00C93F3F"/>
    <w:rsid w:val="00C96339"/>
    <w:rsid w:val="00CA015A"/>
    <w:rsid w:val="00CA02FD"/>
    <w:rsid w:val="00CA208A"/>
    <w:rsid w:val="00CA2175"/>
    <w:rsid w:val="00CA2DC6"/>
    <w:rsid w:val="00CA3738"/>
    <w:rsid w:val="00CA44FD"/>
    <w:rsid w:val="00CA622F"/>
    <w:rsid w:val="00CA6435"/>
    <w:rsid w:val="00CA6596"/>
    <w:rsid w:val="00CA6DCF"/>
    <w:rsid w:val="00CA7D68"/>
    <w:rsid w:val="00CB18DB"/>
    <w:rsid w:val="00CB2400"/>
    <w:rsid w:val="00CB35DC"/>
    <w:rsid w:val="00CB39EC"/>
    <w:rsid w:val="00CB4429"/>
    <w:rsid w:val="00CB4C31"/>
    <w:rsid w:val="00CB53CE"/>
    <w:rsid w:val="00CB5422"/>
    <w:rsid w:val="00CB66E4"/>
    <w:rsid w:val="00CC0A1A"/>
    <w:rsid w:val="00CC1D05"/>
    <w:rsid w:val="00CC2880"/>
    <w:rsid w:val="00CC3339"/>
    <w:rsid w:val="00CC337A"/>
    <w:rsid w:val="00CC6919"/>
    <w:rsid w:val="00CC6C15"/>
    <w:rsid w:val="00CD0D7A"/>
    <w:rsid w:val="00CD19CC"/>
    <w:rsid w:val="00CD4F3A"/>
    <w:rsid w:val="00CD6A24"/>
    <w:rsid w:val="00CD7441"/>
    <w:rsid w:val="00CD74D0"/>
    <w:rsid w:val="00CE0EA4"/>
    <w:rsid w:val="00CE1223"/>
    <w:rsid w:val="00CE1431"/>
    <w:rsid w:val="00CE1FF5"/>
    <w:rsid w:val="00CE236E"/>
    <w:rsid w:val="00CE4197"/>
    <w:rsid w:val="00CE4F57"/>
    <w:rsid w:val="00CE6694"/>
    <w:rsid w:val="00CE68C4"/>
    <w:rsid w:val="00CE77ED"/>
    <w:rsid w:val="00CE7CFE"/>
    <w:rsid w:val="00CE7E08"/>
    <w:rsid w:val="00CE7FB4"/>
    <w:rsid w:val="00CF0422"/>
    <w:rsid w:val="00CF2545"/>
    <w:rsid w:val="00CF2938"/>
    <w:rsid w:val="00CF2FE3"/>
    <w:rsid w:val="00CF4CF9"/>
    <w:rsid w:val="00CF6EDA"/>
    <w:rsid w:val="00CF7353"/>
    <w:rsid w:val="00CF7C7A"/>
    <w:rsid w:val="00D01D74"/>
    <w:rsid w:val="00D02002"/>
    <w:rsid w:val="00D0227A"/>
    <w:rsid w:val="00D02581"/>
    <w:rsid w:val="00D04285"/>
    <w:rsid w:val="00D0437C"/>
    <w:rsid w:val="00D051E3"/>
    <w:rsid w:val="00D067DE"/>
    <w:rsid w:val="00D06BFD"/>
    <w:rsid w:val="00D0702C"/>
    <w:rsid w:val="00D11875"/>
    <w:rsid w:val="00D11986"/>
    <w:rsid w:val="00D120DE"/>
    <w:rsid w:val="00D139EC"/>
    <w:rsid w:val="00D13EB3"/>
    <w:rsid w:val="00D14CB6"/>
    <w:rsid w:val="00D14F46"/>
    <w:rsid w:val="00D1742D"/>
    <w:rsid w:val="00D205EB"/>
    <w:rsid w:val="00D22AFC"/>
    <w:rsid w:val="00D23919"/>
    <w:rsid w:val="00D23BFF"/>
    <w:rsid w:val="00D249AD"/>
    <w:rsid w:val="00D25CEB"/>
    <w:rsid w:val="00D26CB3"/>
    <w:rsid w:val="00D272BF"/>
    <w:rsid w:val="00D279DB"/>
    <w:rsid w:val="00D27AEC"/>
    <w:rsid w:val="00D27B26"/>
    <w:rsid w:val="00D310F7"/>
    <w:rsid w:val="00D31C1A"/>
    <w:rsid w:val="00D31F80"/>
    <w:rsid w:val="00D33532"/>
    <w:rsid w:val="00D33DDB"/>
    <w:rsid w:val="00D35207"/>
    <w:rsid w:val="00D36895"/>
    <w:rsid w:val="00D37027"/>
    <w:rsid w:val="00D37099"/>
    <w:rsid w:val="00D37C84"/>
    <w:rsid w:val="00D42D3C"/>
    <w:rsid w:val="00D43C3B"/>
    <w:rsid w:val="00D43E52"/>
    <w:rsid w:val="00D4462B"/>
    <w:rsid w:val="00D46A81"/>
    <w:rsid w:val="00D46E30"/>
    <w:rsid w:val="00D50A96"/>
    <w:rsid w:val="00D50FCB"/>
    <w:rsid w:val="00D51CB1"/>
    <w:rsid w:val="00D52813"/>
    <w:rsid w:val="00D53E8C"/>
    <w:rsid w:val="00D5437C"/>
    <w:rsid w:val="00D5508C"/>
    <w:rsid w:val="00D55DC1"/>
    <w:rsid w:val="00D565CC"/>
    <w:rsid w:val="00D56BF5"/>
    <w:rsid w:val="00D57D28"/>
    <w:rsid w:val="00D60C91"/>
    <w:rsid w:val="00D61149"/>
    <w:rsid w:val="00D61BBD"/>
    <w:rsid w:val="00D62154"/>
    <w:rsid w:val="00D638D1"/>
    <w:rsid w:val="00D63E07"/>
    <w:rsid w:val="00D64063"/>
    <w:rsid w:val="00D6408E"/>
    <w:rsid w:val="00D6500B"/>
    <w:rsid w:val="00D65CCD"/>
    <w:rsid w:val="00D65E6B"/>
    <w:rsid w:val="00D66242"/>
    <w:rsid w:val="00D67A0C"/>
    <w:rsid w:val="00D67CDF"/>
    <w:rsid w:val="00D70C24"/>
    <w:rsid w:val="00D70EA5"/>
    <w:rsid w:val="00D721FF"/>
    <w:rsid w:val="00D7348A"/>
    <w:rsid w:val="00D73927"/>
    <w:rsid w:val="00D73F53"/>
    <w:rsid w:val="00D74FFA"/>
    <w:rsid w:val="00D75598"/>
    <w:rsid w:val="00D757B9"/>
    <w:rsid w:val="00D75BCE"/>
    <w:rsid w:val="00D7622D"/>
    <w:rsid w:val="00D7627F"/>
    <w:rsid w:val="00D76459"/>
    <w:rsid w:val="00D76542"/>
    <w:rsid w:val="00D769C9"/>
    <w:rsid w:val="00D76A15"/>
    <w:rsid w:val="00D76BB5"/>
    <w:rsid w:val="00D80577"/>
    <w:rsid w:val="00D809AC"/>
    <w:rsid w:val="00D80F20"/>
    <w:rsid w:val="00D81787"/>
    <w:rsid w:val="00D81BB1"/>
    <w:rsid w:val="00D81E3F"/>
    <w:rsid w:val="00D824D1"/>
    <w:rsid w:val="00D82B9A"/>
    <w:rsid w:val="00D82CF8"/>
    <w:rsid w:val="00D82F1A"/>
    <w:rsid w:val="00D8388B"/>
    <w:rsid w:val="00D84865"/>
    <w:rsid w:val="00D849D2"/>
    <w:rsid w:val="00D86187"/>
    <w:rsid w:val="00D87449"/>
    <w:rsid w:val="00D90E3F"/>
    <w:rsid w:val="00D90EF4"/>
    <w:rsid w:val="00D91553"/>
    <w:rsid w:val="00D91D02"/>
    <w:rsid w:val="00D92DC3"/>
    <w:rsid w:val="00D96E69"/>
    <w:rsid w:val="00D97DC1"/>
    <w:rsid w:val="00DA05A1"/>
    <w:rsid w:val="00DA0897"/>
    <w:rsid w:val="00DA0F79"/>
    <w:rsid w:val="00DA16CA"/>
    <w:rsid w:val="00DA31AB"/>
    <w:rsid w:val="00DA372E"/>
    <w:rsid w:val="00DA5AE1"/>
    <w:rsid w:val="00DA5EE2"/>
    <w:rsid w:val="00DA697C"/>
    <w:rsid w:val="00DA7664"/>
    <w:rsid w:val="00DA770F"/>
    <w:rsid w:val="00DB0758"/>
    <w:rsid w:val="00DB0A7A"/>
    <w:rsid w:val="00DB1713"/>
    <w:rsid w:val="00DB1D7C"/>
    <w:rsid w:val="00DB1D7E"/>
    <w:rsid w:val="00DB3736"/>
    <w:rsid w:val="00DB379C"/>
    <w:rsid w:val="00DB3855"/>
    <w:rsid w:val="00DB39FF"/>
    <w:rsid w:val="00DB62FB"/>
    <w:rsid w:val="00DB6C71"/>
    <w:rsid w:val="00DB6F5E"/>
    <w:rsid w:val="00DB7E51"/>
    <w:rsid w:val="00DC0318"/>
    <w:rsid w:val="00DC0535"/>
    <w:rsid w:val="00DC143C"/>
    <w:rsid w:val="00DC20F0"/>
    <w:rsid w:val="00DC2EB2"/>
    <w:rsid w:val="00DC31DE"/>
    <w:rsid w:val="00DC3A08"/>
    <w:rsid w:val="00DC4F07"/>
    <w:rsid w:val="00DC5477"/>
    <w:rsid w:val="00DC795F"/>
    <w:rsid w:val="00DD1220"/>
    <w:rsid w:val="00DD20E0"/>
    <w:rsid w:val="00DD29DE"/>
    <w:rsid w:val="00DD40DB"/>
    <w:rsid w:val="00DD4E78"/>
    <w:rsid w:val="00DD54D0"/>
    <w:rsid w:val="00DD743A"/>
    <w:rsid w:val="00DD7C37"/>
    <w:rsid w:val="00DE05A2"/>
    <w:rsid w:val="00DE06A1"/>
    <w:rsid w:val="00DE21AE"/>
    <w:rsid w:val="00DE30F6"/>
    <w:rsid w:val="00DE4135"/>
    <w:rsid w:val="00DE4526"/>
    <w:rsid w:val="00DE4762"/>
    <w:rsid w:val="00DE4AC0"/>
    <w:rsid w:val="00DE6208"/>
    <w:rsid w:val="00DE68CD"/>
    <w:rsid w:val="00DE7FEA"/>
    <w:rsid w:val="00DF0886"/>
    <w:rsid w:val="00DF3EB0"/>
    <w:rsid w:val="00DF43BB"/>
    <w:rsid w:val="00DF4596"/>
    <w:rsid w:val="00DF4831"/>
    <w:rsid w:val="00DF4AD4"/>
    <w:rsid w:val="00DF4EF0"/>
    <w:rsid w:val="00DF5BFC"/>
    <w:rsid w:val="00DF626C"/>
    <w:rsid w:val="00E00248"/>
    <w:rsid w:val="00E004D8"/>
    <w:rsid w:val="00E00540"/>
    <w:rsid w:val="00E00EF0"/>
    <w:rsid w:val="00E014B3"/>
    <w:rsid w:val="00E01F03"/>
    <w:rsid w:val="00E025C1"/>
    <w:rsid w:val="00E0327B"/>
    <w:rsid w:val="00E03E47"/>
    <w:rsid w:val="00E04AB0"/>
    <w:rsid w:val="00E04E32"/>
    <w:rsid w:val="00E0610D"/>
    <w:rsid w:val="00E07E85"/>
    <w:rsid w:val="00E11494"/>
    <w:rsid w:val="00E119CA"/>
    <w:rsid w:val="00E11CC5"/>
    <w:rsid w:val="00E127D6"/>
    <w:rsid w:val="00E224C3"/>
    <w:rsid w:val="00E22E8E"/>
    <w:rsid w:val="00E23A6D"/>
    <w:rsid w:val="00E25B12"/>
    <w:rsid w:val="00E2751F"/>
    <w:rsid w:val="00E3056C"/>
    <w:rsid w:val="00E310F1"/>
    <w:rsid w:val="00E3159F"/>
    <w:rsid w:val="00E34BD9"/>
    <w:rsid w:val="00E34E4C"/>
    <w:rsid w:val="00E365F6"/>
    <w:rsid w:val="00E36A16"/>
    <w:rsid w:val="00E413F7"/>
    <w:rsid w:val="00E421AD"/>
    <w:rsid w:val="00E421C8"/>
    <w:rsid w:val="00E42399"/>
    <w:rsid w:val="00E430E7"/>
    <w:rsid w:val="00E43B1E"/>
    <w:rsid w:val="00E442F9"/>
    <w:rsid w:val="00E445DA"/>
    <w:rsid w:val="00E44A54"/>
    <w:rsid w:val="00E45223"/>
    <w:rsid w:val="00E473A1"/>
    <w:rsid w:val="00E52BFE"/>
    <w:rsid w:val="00E53967"/>
    <w:rsid w:val="00E53DD7"/>
    <w:rsid w:val="00E5453C"/>
    <w:rsid w:val="00E54DD6"/>
    <w:rsid w:val="00E571E5"/>
    <w:rsid w:val="00E57B22"/>
    <w:rsid w:val="00E603A4"/>
    <w:rsid w:val="00E61443"/>
    <w:rsid w:val="00E6177B"/>
    <w:rsid w:val="00E62C2C"/>
    <w:rsid w:val="00E63395"/>
    <w:rsid w:val="00E6398E"/>
    <w:rsid w:val="00E64552"/>
    <w:rsid w:val="00E70B5D"/>
    <w:rsid w:val="00E70FFA"/>
    <w:rsid w:val="00E7146F"/>
    <w:rsid w:val="00E72AD3"/>
    <w:rsid w:val="00E72B4B"/>
    <w:rsid w:val="00E75CBC"/>
    <w:rsid w:val="00E75E96"/>
    <w:rsid w:val="00E77121"/>
    <w:rsid w:val="00E774A3"/>
    <w:rsid w:val="00E77D2C"/>
    <w:rsid w:val="00E77DB7"/>
    <w:rsid w:val="00E81476"/>
    <w:rsid w:val="00E81BD4"/>
    <w:rsid w:val="00E82955"/>
    <w:rsid w:val="00E8373D"/>
    <w:rsid w:val="00E843FD"/>
    <w:rsid w:val="00E8446F"/>
    <w:rsid w:val="00E909DB"/>
    <w:rsid w:val="00E90D41"/>
    <w:rsid w:val="00E91AA7"/>
    <w:rsid w:val="00E936E5"/>
    <w:rsid w:val="00E95B16"/>
    <w:rsid w:val="00E95F0C"/>
    <w:rsid w:val="00E96BFD"/>
    <w:rsid w:val="00E97B4B"/>
    <w:rsid w:val="00EA021B"/>
    <w:rsid w:val="00EA0533"/>
    <w:rsid w:val="00EA241B"/>
    <w:rsid w:val="00EA2739"/>
    <w:rsid w:val="00EA2ACF"/>
    <w:rsid w:val="00EA3039"/>
    <w:rsid w:val="00EA349A"/>
    <w:rsid w:val="00EA3AD1"/>
    <w:rsid w:val="00EA42EB"/>
    <w:rsid w:val="00EA669F"/>
    <w:rsid w:val="00EA6CED"/>
    <w:rsid w:val="00EA6D67"/>
    <w:rsid w:val="00EB1DD1"/>
    <w:rsid w:val="00EB30CE"/>
    <w:rsid w:val="00EB3B3A"/>
    <w:rsid w:val="00EB5B3C"/>
    <w:rsid w:val="00EB5D6E"/>
    <w:rsid w:val="00EB5FD6"/>
    <w:rsid w:val="00EB65E7"/>
    <w:rsid w:val="00EB6DF3"/>
    <w:rsid w:val="00EB76EF"/>
    <w:rsid w:val="00EB7844"/>
    <w:rsid w:val="00EC19B3"/>
    <w:rsid w:val="00EC2913"/>
    <w:rsid w:val="00EC2918"/>
    <w:rsid w:val="00EC2926"/>
    <w:rsid w:val="00EC4D4D"/>
    <w:rsid w:val="00EC6377"/>
    <w:rsid w:val="00EC7165"/>
    <w:rsid w:val="00EC78DB"/>
    <w:rsid w:val="00ED0C20"/>
    <w:rsid w:val="00ED392E"/>
    <w:rsid w:val="00ED3961"/>
    <w:rsid w:val="00ED3B12"/>
    <w:rsid w:val="00ED3DFC"/>
    <w:rsid w:val="00ED4795"/>
    <w:rsid w:val="00ED6D35"/>
    <w:rsid w:val="00EE0019"/>
    <w:rsid w:val="00EE0A8D"/>
    <w:rsid w:val="00EE1F7B"/>
    <w:rsid w:val="00EE227A"/>
    <w:rsid w:val="00EE2DAE"/>
    <w:rsid w:val="00EE46E5"/>
    <w:rsid w:val="00EE4911"/>
    <w:rsid w:val="00EE5CF6"/>
    <w:rsid w:val="00EE68A9"/>
    <w:rsid w:val="00EE6C57"/>
    <w:rsid w:val="00EE6E7F"/>
    <w:rsid w:val="00EE7307"/>
    <w:rsid w:val="00EE7458"/>
    <w:rsid w:val="00EE7788"/>
    <w:rsid w:val="00EF01C9"/>
    <w:rsid w:val="00EF0958"/>
    <w:rsid w:val="00EF126B"/>
    <w:rsid w:val="00EF2F32"/>
    <w:rsid w:val="00EF4977"/>
    <w:rsid w:val="00EF56D0"/>
    <w:rsid w:val="00EF6063"/>
    <w:rsid w:val="00EF69D7"/>
    <w:rsid w:val="00F01526"/>
    <w:rsid w:val="00F01B49"/>
    <w:rsid w:val="00F02174"/>
    <w:rsid w:val="00F0329A"/>
    <w:rsid w:val="00F110C5"/>
    <w:rsid w:val="00F14BFE"/>
    <w:rsid w:val="00F14C15"/>
    <w:rsid w:val="00F169B0"/>
    <w:rsid w:val="00F16E7A"/>
    <w:rsid w:val="00F172D6"/>
    <w:rsid w:val="00F17FED"/>
    <w:rsid w:val="00F203CE"/>
    <w:rsid w:val="00F20AEC"/>
    <w:rsid w:val="00F20F3D"/>
    <w:rsid w:val="00F210B1"/>
    <w:rsid w:val="00F21CBB"/>
    <w:rsid w:val="00F22D0E"/>
    <w:rsid w:val="00F252BD"/>
    <w:rsid w:val="00F265D9"/>
    <w:rsid w:val="00F26AD3"/>
    <w:rsid w:val="00F26B8B"/>
    <w:rsid w:val="00F27863"/>
    <w:rsid w:val="00F2789A"/>
    <w:rsid w:val="00F302E7"/>
    <w:rsid w:val="00F305F2"/>
    <w:rsid w:val="00F31A89"/>
    <w:rsid w:val="00F31B6D"/>
    <w:rsid w:val="00F32C03"/>
    <w:rsid w:val="00F33B85"/>
    <w:rsid w:val="00F34DD4"/>
    <w:rsid w:val="00F34F3D"/>
    <w:rsid w:val="00F354E4"/>
    <w:rsid w:val="00F35A4E"/>
    <w:rsid w:val="00F3620B"/>
    <w:rsid w:val="00F423FF"/>
    <w:rsid w:val="00F43223"/>
    <w:rsid w:val="00F43766"/>
    <w:rsid w:val="00F43BE5"/>
    <w:rsid w:val="00F4402D"/>
    <w:rsid w:val="00F44CBF"/>
    <w:rsid w:val="00F44E93"/>
    <w:rsid w:val="00F47B23"/>
    <w:rsid w:val="00F50DF3"/>
    <w:rsid w:val="00F50EDE"/>
    <w:rsid w:val="00F53005"/>
    <w:rsid w:val="00F534FC"/>
    <w:rsid w:val="00F53681"/>
    <w:rsid w:val="00F53EE7"/>
    <w:rsid w:val="00F54ADA"/>
    <w:rsid w:val="00F54AE3"/>
    <w:rsid w:val="00F555FF"/>
    <w:rsid w:val="00F55956"/>
    <w:rsid w:val="00F56F21"/>
    <w:rsid w:val="00F57687"/>
    <w:rsid w:val="00F60D09"/>
    <w:rsid w:val="00F61792"/>
    <w:rsid w:val="00F61A41"/>
    <w:rsid w:val="00F637EA"/>
    <w:rsid w:val="00F65654"/>
    <w:rsid w:val="00F65F06"/>
    <w:rsid w:val="00F66294"/>
    <w:rsid w:val="00F6791A"/>
    <w:rsid w:val="00F70048"/>
    <w:rsid w:val="00F70A8F"/>
    <w:rsid w:val="00F71036"/>
    <w:rsid w:val="00F715EF"/>
    <w:rsid w:val="00F725DC"/>
    <w:rsid w:val="00F72BEF"/>
    <w:rsid w:val="00F73691"/>
    <w:rsid w:val="00F737FD"/>
    <w:rsid w:val="00F74463"/>
    <w:rsid w:val="00F74471"/>
    <w:rsid w:val="00F746A0"/>
    <w:rsid w:val="00F7555E"/>
    <w:rsid w:val="00F75E53"/>
    <w:rsid w:val="00F76ACF"/>
    <w:rsid w:val="00F814D4"/>
    <w:rsid w:val="00F81C3F"/>
    <w:rsid w:val="00F82321"/>
    <w:rsid w:val="00F82DA0"/>
    <w:rsid w:val="00F84DC7"/>
    <w:rsid w:val="00F85970"/>
    <w:rsid w:val="00F86015"/>
    <w:rsid w:val="00F8660B"/>
    <w:rsid w:val="00F90853"/>
    <w:rsid w:val="00F90D47"/>
    <w:rsid w:val="00F92100"/>
    <w:rsid w:val="00F921DB"/>
    <w:rsid w:val="00F92633"/>
    <w:rsid w:val="00F934E9"/>
    <w:rsid w:val="00F93A10"/>
    <w:rsid w:val="00F93B92"/>
    <w:rsid w:val="00F94112"/>
    <w:rsid w:val="00F9435D"/>
    <w:rsid w:val="00F948B0"/>
    <w:rsid w:val="00F94FB6"/>
    <w:rsid w:val="00F95544"/>
    <w:rsid w:val="00F9581B"/>
    <w:rsid w:val="00F96019"/>
    <w:rsid w:val="00FA02B9"/>
    <w:rsid w:val="00FA0A75"/>
    <w:rsid w:val="00FA0B69"/>
    <w:rsid w:val="00FA0E8B"/>
    <w:rsid w:val="00FA176D"/>
    <w:rsid w:val="00FA2B75"/>
    <w:rsid w:val="00FA3541"/>
    <w:rsid w:val="00FA4752"/>
    <w:rsid w:val="00FA4F9E"/>
    <w:rsid w:val="00FA53F4"/>
    <w:rsid w:val="00FB048A"/>
    <w:rsid w:val="00FB1B41"/>
    <w:rsid w:val="00FB1C76"/>
    <w:rsid w:val="00FB4014"/>
    <w:rsid w:val="00FB40F1"/>
    <w:rsid w:val="00FB43CE"/>
    <w:rsid w:val="00FB4819"/>
    <w:rsid w:val="00FB6CFE"/>
    <w:rsid w:val="00FC1BE9"/>
    <w:rsid w:val="00FC4366"/>
    <w:rsid w:val="00FC43AE"/>
    <w:rsid w:val="00FC7691"/>
    <w:rsid w:val="00FD03E6"/>
    <w:rsid w:val="00FD16F2"/>
    <w:rsid w:val="00FD23CD"/>
    <w:rsid w:val="00FD3DF4"/>
    <w:rsid w:val="00FD53CD"/>
    <w:rsid w:val="00FD5B66"/>
    <w:rsid w:val="00FD7D28"/>
    <w:rsid w:val="00FE140D"/>
    <w:rsid w:val="00FE1FF4"/>
    <w:rsid w:val="00FE22B5"/>
    <w:rsid w:val="00FE42E0"/>
    <w:rsid w:val="00FE4FEA"/>
    <w:rsid w:val="00FE59BB"/>
    <w:rsid w:val="00FE5F2D"/>
    <w:rsid w:val="00FE69A6"/>
    <w:rsid w:val="00FE6D58"/>
    <w:rsid w:val="00FE717A"/>
    <w:rsid w:val="00FE77A2"/>
    <w:rsid w:val="00FE7AC0"/>
    <w:rsid w:val="00FF0251"/>
    <w:rsid w:val="00FF027B"/>
    <w:rsid w:val="00FF1407"/>
    <w:rsid w:val="00FF159B"/>
    <w:rsid w:val="00FF4098"/>
    <w:rsid w:val="00FF4951"/>
    <w:rsid w:val="00FF4F13"/>
    <w:rsid w:val="00FF7E0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2459C8"/>
  <w15:chartTrackingRefBased/>
  <w15:docId w15:val="{80BD97E6-CF58-4DFB-BA8A-BF751CBEF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HTML Definition" w:semiHidden="1" w:unhideWhenUsed="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544BB"/>
    <w:pPr>
      <w:spacing w:before="240" w:line="312" w:lineRule="atLeast"/>
      <w:jc w:val="both"/>
    </w:pPr>
    <w:rPr>
      <w:sz w:val="24"/>
    </w:rPr>
  </w:style>
  <w:style w:type="paragraph" w:styleId="Heading1">
    <w:name w:val="heading 1"/>
    <w:basedOn w:val="Normal"/>
    <w:next w:val="Normal"/>
    <w:autoRedefine/>
    <w:qFormat/>
    <w:rsid w:val="00B62D64"/>
    <w:pPr>
      <w:keepNext/>
      <w:numPr>
        <w:numId w:val="1"/>
      </w:numPr>
      <w:tabs>
        <w:tab w:val="left" w:pos="426"/>
      </w:tabs>
      <w:spacing w:line="240" w:lineRule="auto"/>
      <w:ind w:left="425" w:hanging="425"/>
      <w:jc w:val="left"/>
      <w:outlineLvl w:val="0"/>
    </w:pPr>
    <w:rPr>
      <w:rFonts w:ascii="Arial" w:hAnsi="Arial"/>
      <w:b/>
      <w:kern w:val="28"/>
      <w:sz w:val="22"/>
    </w:rPr>
  </w:style>
  <w:style w:type="paragraph" w:styleId="Heading2">
    <w:name w:val="heading 2"/>
    <w:basedOn w:val="Normal"/>
    <w:next w:val="Normal"/>
    <w:link w:val="Heading2Char"/>
    <w:autoRedefine/>
    <w:qFormat/>
    <w:rsid w:val="008238EC"/>
    <w:pPr>
      <w:keepNext/>
      <w:numPr>
        <w:ilvl w:val="1"/>
        <w:numId w:val="1"/>
      </w:numPr>
      <w:spacing w:before="120" w:line="240" w:lineRule="auto"/>
      <w:ind w:left="578" w:hanging="578"/>
      <w:jc w:val="left"/>
      <w:outlineLvl w:val="1"/>
    </w:pPr>
    <w:rPr>
      <w:rFonts w:ascii="Arial" w:hAnsi="Arial"/>
      <w:b/>
      <w:sz w:val="22"/>
    </w:rPr>
  </w:style>
  <w:style w:type="paragraph" w:styleId="Heading3">
    <w:name w:val="heading 3"/>
    <w:basedOn w:val="Normal"/>
    <w:next w:val="Normal"/>
    <w:autoRedefine/>
    <w:qFormat/>
    <w:rsid w:val="00C74657"/>
    <w:pPr>
      <w:keepNext/>
      <w:numPr>
        <w:ilvl w:val="2"/>
        <w:numId w:val="1"/>
      </w:numPr>
      <w:spacing w:line="240" w:lineRule="auto"/>
      <w:jc w:val="left"/>
      <w:outlineLvl w:val="2"/>
    </w:pPr>
    <w:rPr>
      <w:rFonts w:ascii="Arial" w:hAnsi="Arial"/>
      <w:b/>
      <w:sz w:val="22"/>
    </w:rPr>
  </w:style>
  <w:style w:type="paragraph" w:styleId="Heading4">
    <w:name w:val="heading 4"/>
    <w:basedOn w:val="Normal"/>
    <w:next w:val="Normal"/>
    <w:qFormat/>
    <w:pPr>
      <w:keepNext/>
      <w:numPr>
        <w:ilvl w:val="3"/>
        <w:numId w:val="1"/>
      </w:numPr>
      <w:spacing w:line="240" w:lineRule="auto"/>
      <w:jc w:val="left"/>
      <w:outlineLvl w:val="3"/>
    </w:pPr>
  </w:style>
  <w:style w:type="paragraph" w:styleId="Heading5">
    <w:name w:val="heading 5"/>
    <w:basedOn w:val="Normal"/>
    <w:next w:val="Normal"/>
    <w:qFormat/>
    <w:pPr>
      <w:numPr>
        <w:ilvl w:val="4"/>
        <w:numId w:val="1"/>
      </w:numPr>
      <w:outlineLvl w:val="4"/>
    </w:pPr>
    <w:rPr>
      <w:rFonts w:ascii="Arial" w:hAnsi="Arial"/>
      <w:sz w:val="22"/>
    </w:rPr>
  </w:style>
  <w:style w:type="paragraph" w:styleId="Heading6">
    <w:name w:val="heading 6"/>
    <w:basedOn w:val="Normal"/>
    <w:next w:val="Normal"/>
    <w:qFormat/>
    <w:pPr>
      <w:numPr>
        <w:ilvl w:val="5"/>
        <w:numId w:val="1"/>
      </w:numPr>
      <w:outlineLvl w:val="5"/>
    </w:pPr>
    <w:rPr>
      <w:rFonts w:ascii="Arial" w:hAnsi="Arial"/>
      <w:i/>
      <w:sz w:val="22"/>
    </w:rPr>
  </w:style>
  <w:style w:type="paragraph" w:styleId="Heading7">
    <w:name w:val="heading 7"/>
    <w:basedOn w:val="Normal"/>
    <w:next w:val="Normal"/>
    <w:qFormat/>
    <w:pPr>
      <w:numPr>
        <w:ilvl w:val="6"/>
        <w:numId w:val="1"/>
      </w:numPr>
      <w:outlineLvl w:val="6"/>
    </w:pPr>
    <w:rPr>
      <w:rFonts w:ascii="Arial" w:hAnsi="Arial"/>
      <w:sz w:val="20"/>
    </w:rPr>
  </w:style>
  <w:style w:type="paragraph" w:styleId="Heading8">
    <w:name w:val="heading 8"/>
    <w:basedOn w:val="Normal"/>
    <w:next w:val="Normal"/>
    <w:qFormat/>
    <w:pPr>
      <w:numPr>
        <w:ilvl w:val="7"/>
        <w:numId w:val="1"/>
      </w:numPr>
      <w:outlineLvl w:val="7"/>
    </w:pPr>
    <w:rPr>
      <w:rFonts w:ascii="Arial" w:hAnsi="Arial"/>
      <w:i/>
      <w:sz w:val="20"/>
    </w:rPr>
  </w:style>
  <w:style w:type="paragraph" w:styleId="Heading9">
    <w:name w:val="heading 9"/>
    <w:basedOn w:val="Normal"/>
    <w:next w:val="Normal"/>
    <w:qFormat/>
    <w:pPr>
      <w:numPr>
        <w:ilvl w:val="8"/>
        <w:numId w:val="1"/>
      </w:numPr>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F21D9"/>
    <w:pPr>
      <w:pBdr>
        <w:bottom w:val="single" w:sz="4" w:space="1" w:color="auto"/>
      </w:pBdr>
      <w:tabs>
        <w:tab w:val="right" w:pos="8505"/>
      </w:tabs>
      <w:spacing w:line="240" w:lineRule="auto"/>
    </w:pPr>
    <w:rPr>
      <w:rFonts w:ascii="Arial" w:hAnsi="Arial"/>
      <w:sz w:val="20"/>
    </w:rPr>
  </w:style>
  <w:style w:type="paragraph" w:styleId="Footer">
    <w:name w:val="footer"/>
    <w:basedOn w:val="Normal"/>
    <w:pPr>
      <w:tabs>
        <w:tab w:val="center" w:pos="4536"/>
        <w:tab w:val="right" w:pos="9072"/>
      </w:tabs>
    </w:pPr>
  </w:style>
  <w:style w:type="character" w:styleId="PageNumber">
    <w:name w:val="page number"/>
    <w:rsid w:val="00067051"/>
    <w:rPr>
      <w:rFonts w:ascii="Arial" w:hAnsi="Arial"/>
      <w:sz w:val="20"/>
    </w:rPr>
  </w:style>
  <w:style w:type="paragraph" w:styleId="FootnoteText">
    <w:name w:val="footnote text"/>
    <w:basedOn w:val="Normal"/>
    <w:semiHidden/>
    <w:pPr>
      <w:spacing w:line="240" w:lineRule="auto"/>
      <w:ind w:left="170" w:hanging="170"/>
    </w:pPr>
    <w:rPr>
      <w:sz w:val="20"/>
    </w:rPr>
  </w:style>
  <w:style w:type="character" w:styleId="FootnoteReference">
    <w:name w:val="footnote reference"/>
    <w:semiHidden/>
    <w:rPr>
      <w:vertAlign w:val="superscript"/>
    </w:rPr>
  </w:style>
  <w:style w:type="paragraph" w:styleId="Caption">
    <w:name w:val="caption"/>
    <w:basedOn w:val="Normal"/>
    <w:next w:val="Normal"/>
    <w:qFormat/>
    <w:pPr>
      <w:keepNext/>
      <w:keepLines/>
      <w:spacing w:line="240" w:lineRule="auto"/>
      <w:ind w:left="1276" w:hanging="1276"/>
      <w:jc w:val="left"/>
    </w:pPr>
    <w:rPr>
      <w:i/>
      <w:sz w:val="20"/>
    </w:rPr>
  </w:style>
  <w:style w:type="paragraph" w:customStyle="1" w:styleId="VZwischenberschriftkursiv">
    <w:name w:val="V Zwischenüberschrift kursiv"/>
    <w:basedOn w:val="Normal"/>
    <w:rsid w:val="009B458E"/>
    <w:pPr>
      <w:spacing w:line="360" w:lineRule="auto"/>
    </w:pPr>
    <w:rPr>
      <w:rFonts w:ascii="Arial" w:hAnsi="Arial"/>
      <w:i/>
      <w:iCs/>
      <w:sz w:val="22"/>
    </w:rPr>
  </w:style>
  <w:style w:type="paragraph" w:styleId="TOC1">
    <w:name w:val="toc 1"/>
    <w:basedOn w:val="Normal"/>
    <w:next w:val="Normal"/>
    <w:autoRedefine/>
    <w:uiPriority w:val="39"/>
    <w:rsid w:val="00C74657"/>
    <w:pPr>
      <w:tabs>
        <w:tab w:val="left" w:pos="480"/>
        <w:tab w:val="right" w:leader="dot" w:pos="8493"/>
      </w:tabs>
    </w:pPr>
    <w:rPr>
      <w:rFonts w:ascii="Arial" w:hAnsi="Arial"/>
      <w:noProof/>
      <w:sz w:val="22"/>
    </w:rPr>
  </w:style>
  <w:style w:type="paragraph" w:customStyle="1" w:styleId="VAbbildung">
    <w:name w:val="V Abbildung"/>
    <w:basedOn w:val="Normal"/>
    <w:next w:val="Normal"/>
    <w:rsid w:val="00AC1B9A"/>
    <w:pPr>
      <w:keepNext/>
      <w:spacing w:line="240" w:lineRule="atLeast"/>
      <w:ind w:left="709" w:hanging="709"/>
      <w:jc w:val="left"/>
    </w:pPr>
    <w:rPr>
      <w:rFonts w:ascii="Arial" w:hAnsi="Arial"/>
      <w:sz w:val="20"/>
    </w:rPr>
  </w:style>
  <w:style w:type="paragraph" w:customStyle="1" w:styleId="VTabellenberschrift">
    <w:name w:val="V Tabellenüberschrift"/>
    <w:basedOn w:val="Normal"/>
    <w:next w:val="Normal"/>
    <w:rsid w:val="00AC1B9A"/>
    <w:pPr>
      <w:keepNext/>
      <w:keepLines/>
      <w:tabs>
        <w:tab w:val="left" w:pos="1134"/>
      </w:tabs>
      <w:spacing w:line="240" w:lineRule="auto"/>
      <w:ind w:left="1134" w:hanging="1134"/>
      <w:jc w:val="left"/>
    </w:pPr>
    <w:rPr>
      <w:rFonts w:ascii="Arial" w:hAnsi="Arial"/>
      <w:sz w:val="20"/>
    </w:rPr>
  </w:style>
  <w:style w:type="paragraph" w:styleId="TOC2">
    <w:name w:val="toc 2"/>
    <w:basedOn w:val="Normal"/>
    <w:next w:val="Normal"/>
    <w:autoRedefine/>
    <w:uiPriority w:val="39"/>
    <w:rsid w:val="007D4AD8"/>
    <w:pPr>
      <w:tabs>
        <w:tab w:val="left" w:pos="880"/>
        <w:tab w:val="right" w:leader="dot" w:pos="8493"/>
      </w:tabs>
      <w:ind w:left="240"/>
    </w:pPr>
    <w:rPr>
      <w:rFonts w:ascii="Arial" w:hAnsi="Arial"/>
      <w:noProof/>
      <w:sz w:val="22"/>
    </w:rPr>
  </w:style>
  <w:style w:type="paragraph" w:styleId="TOC3">
    <w:name w:val="toc 3"/>
    <w:basedOn w:val="Normal"/>
    <w:next w:val="Normal"/>
    <w:autoRedefine/>
    <w:uiPriority w:val="39"/>
    <w:rsid w:val="00AF21D9"/>
    <w:pPr>
      <w:tabs>
        <w:tab w:val="left" w:pos="1320"/>
        <w:tab w:val="right" w:leader="dot" w:pos="8493"/>
      </w:tabs>
      <w:ind w:left="480"/>
    </w:pPr>
    <w:rPr>
      <w:rFonts w:ascii="Arial" w:hAnsi="Arial"/>
      <w:noProof/>
    </w:rPr>
  </w:style>
  <w:style w:type="character" w:styleId="Hyperlink">
    <w:name w:val="Hyperlink"/>
    <w:uiPriority w:val="99"/>
    <w:rsid w:val="00C74657"/>
    <w:rPr>
      <w:rFonts w:ascii="Arial" w:hAnsi="Arial"/>
      <w:color w:val="0000FF"/>
      <w:sz w:val="22"/>
      <w:u w:val="single"/>
    </w:rPr>
  </w:style>
  <w:style w:type="paragraph" w:styleId="TOC4">
    <w:name w:val="toc 4"/>
    <w:basedOn w:val="Normal"/>
    <w:next w:val="Normal"/>
    <w:autoRedefine/>
    <w:semiHidden/>
    <w:rsid w:val="0007198B"/>
    <w:pPr>
      <w:ind w:left="720"/>
    </w:pPr>
  </w:style>
  <w:style w:type="table" w:styleId="TableGrid">
    <w:name w:val="Table Grid"/>
    <w:basedOn w:val="TableNormal"/>
    <w:uiPriority w:val="39"/>
    <w:rsid w:val="00E77DB7"/>
    <w:pPr>
      <w:spacing w:before="60" w:after="60" w:line="312" w:lineRule="atLeas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804A7D"/>
    <w:pPr>
      <w:ind w:left="480" w:hanging="480"/>
    </w:pPr>
  </w:style>
  <w:style w:type="paragraph" w:customStyle="1" w:styleId="Default">
    <w:name w:val="Default"/>
    <w:rsid w:val="00852FE7"/>
    <w:pPr>
      <w:autoSpaceDE w:val="0"/>
      <w:autoSpaceDN w:val="0"/>
      <w:adjustRightInd w:val="0"/>
    </w:pPr>
    <w:rPr>
      <w:color w:val="000000"/>
      <w:sz w:val="24"/>
      <w:szCs w:val="24"/>
    </w:rPr>
  </w:style>
  <w:style w:type="character" w:customStyle="1" w:styleId="link-external">
    <w:name w:val="link-external"/>
    <w:basedOn w:val="DefaultParagraphFont"/>
    <w:rsid w:val="00EE0019"/>
  </w:style>
  <w:style w:type="paragraph" w:customStyle="1" w:styleId="VTitel16pt">
    <w:name w:val="V Titel 16pt"/>
    <w:basedOn w:val="Normal"/>
    <w:rsid w:val="00AF21D9"/>
    <w:pPr>
      <w:jc w:val="center"/>
    </w:pPr>
    <w:rPr>
      <w:rFonts w:ascii="Arial" w:hAnsi="Arial"/>
      <w:b/>
      <w:bCs/>
      <w:sz w:val="32"/>
    </w:rPr>
  </w:style>
  <w:style w:type="paragraph" w:customStyle="1" w:styleId="VTitelArbeit12pt">
    <w:name w:val="V Titel Arbeit 12pt"/>
    <w:basedOn w:val="Normal"/>
    <w:qFormat/>
    <w:rsid w:val="00AF21D9"/>
    <w:pPr>
      <w:jc w:val="center"/>
    </w:pPr>
    <w:rPr>
      <w:rFonts w:ascii="Arial" w:hAnsi="Arial"/>
      <w:b/>
    </w:rPr>
  </w:style>
  <w:style w:type="paragraph" w:customStyle="1" w:styleId="VTitelblattTextzentriert">
    <w:name w:val="V Titelblatt Text zentriert"/>
    <w:basedOn w:val="VTitelArbeit12pt"/>
    <w:qFormat/>
    <w:rsid w:val="005B636D"/>
    <w:rPr>
      <w:b w:val="0"/>
      <w:sz w:val="22"/>
    </w:rPr>
  </w:style>
  <w:style w:type="paragraph" w:customStyle="1" w:styleId="VText">
    <w:name w:val="V Text"/>
    <w:basedOn w:val="Normal"/>
    <w:autoRedefine/>
    <w:qFormat/>
    <w:rsid w:val="000D2333"/>
    <w:pPr>
      <w:spacing w:line="360" w:lineRule="auto"/>
    </w:pPr>
    <w:rPr>
      <w:rFonts w:ascii="Arial" w:hAnsi="Arial"/>
      <w:sz w:val="22"/>
      <w:szCs w:val="24"/>
    </w:rPr>
  </w:style>
  <w:style w:type="paragraph" w:customStyle="1" w:styleId="VTextLiteraturverzeichnis">
    <w:name w:val="V Text Literaturverzeichnis"/>
    <w:basedOn w:val="Normal"/>
    <w:autoRedefine/>
    <w:qFormat/>
    <w:rsid w:val="00E119CA"/>
    <w:pPr>
      <w:autoSpaceDE w:val="0"/>
      <w:autoSpaceDN w:val="0"/>
      <w:adjustRightInd w:val="0"/>
      <w:ind w:left="284" w:hanging="284"/>
      <w:jc w:val="left"/>
    </w:pPr>
    <w:rPr>
      <w:rFonts w:ascii="Arial" w:hAnsi="Arial"/>
      <w:bCs/>
      <w:sz w:val="22"/>
      <w:szCs w:val="24"/>
    </w:rPr>
  </w:style>
  <w:style w:type="paragraph" w:customStyle="1" w:styleId="VVerzeichnisberschrift">
    <w:name w:val="V Verzeichnis_Überschrift"/>
    <w:basedOn w:val="Normal"/>
    <w:autoRedefine/>
    <w:qFormat/>
    <w:rsid w:val="004147AA"/>
    <w:pPr>
      <w:tabs>
        <w:tab w:val="left" w:pos="1740"/>
      </w:tabs>
      <w:spacing w:line="360" w:lineRule="auto"/>
      <w:jc w:val="left"/>
      <w:outlineLvl w:val="0"/>
    </w:pPr>
    <w:rPr>
      <w:rFonts w:ascii="Arial" w:hAnsi="Arial"/>
      <w:b/>
      <w:bCs/>
      <w:sz w:val="22"/>
    </w:rPr>
  </w:style>
  <w:style w:type="paragraph" w:customStyle="1" w:styleId="VVerzeichnisText">
    <w:name w:val="V Verzeichnis Text"/>
    <w:basedOn w:val="TOC1"/>
    <w:autoRedefine/>
    <w:qFormat/>
    <w:rsid w:val="005B636D"/>
    <w:pPr>
      <w:tabs>
        <w:tab w:val="clear" w:pos="480"/>
        <w:tab w:val="left" w:pos="1418"/>
      </w:tabs>
    </w:pPr>
    <w:rPr>
      <w:szCs w:val="22"/>
    </w:rPr>
  </w:style>
  <w:style w:type="paragraph" w:customStyle="1" w:styleId="VTexteinzeilig">
    <w:name w:val="V Text einzeilig"/>
    <w:basedOn w:val="Normal"/>
    <w:qFormat/>
    <w:rsid w:val="00EE6E7F"/>
    <w:pPr>
      <w:autoSpaceDE w:val="0"/>
      <w:autoSpaceDN w:val="0"/>
      <w:adjustRightInd w:val="0"/>
      <w:spacing w:before="0" w:line="240" w:lineRule="auto"/>
      <w:jc w:val="left"/>
    </w:pPr>
    <w:rPr>
      <w:rFonts w:ascii="CIDFont+F1" w:hAnsi="CIDFont+F1" w:cs="CIDFont+F1"/>
      <w:sz w:val="22"/>
      <w:szCs w:val="22"/>
      <w:lang w:val="en-US"/>
    </w:rPr>
  </w:style>
  <w:style w:type="paragraph" w:styleId="NormalWeb">
    <w:name w:val="Normal (Web)"/>
    <w:basedOn w:val="Normal"/>
    <w:uiPriority w:val="99"/>
    <w:unhideWhenUsed/>
    <w:rsid w:val="00495ED2"/>
    <w:pPr>
      <w:spacing w:before="100" w:beforeAutospacing="1" w:after="100" w:afterAutospacing="1" w:line="240" w:lineRule="auto"/>
      <w:jc w:val="left"/>
    </w:pPr>
    <w:rPr>
      <w:szCs w:val="24"/>
      <w:lang w:eastAsia="en-GB"/>
    </w:rPr>
  </w:style>
  <w:style w:type="character" w:styleId="Strong">
    <w:name w:val="Strong"/>
    <w:basedOn w:val="DefaultParagraphFont"/>
    <w:uiPriority w:val="22"/>
    <w:qFormat/>
    <w:rsid w:val="00495ED2"/>
    <w:rPr>
      <w:b/>
      <w:bCs/>
    </w:rPr>
  </w:style>
  <w:style w:type="paragraph" w:styleId="HTMLPreformatted">
    <w:name w:val="HTML Preformatted"/>
    <w:basedOn w:val="Normal"/>
    <w:link w:val="HTMLPreformattedChar"/>
    <w:uiPriority w:val="99"/>
    <w:unhideWhenUsed/>
    <w:rsid w:val="0049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sz w:val="20"/>
      <w:lang w:eastAsia="en-GB"/>
    </w:rPr>
  </w:style>
  <w:style w:type="character" w:customStyle="1" w:styleId="HTMLPreformattedChar">
    <w:name w:val="HTML Preformatted Char"/>
    <w:basedOn w:val="DefaultParagraphFont"/>
    <w:link w:val="HTMLPreformatted"/>
    <w:uiPriority w:val="99"/>
    <w:rsid w:val="00495ED2"/>
    <w:rPr>
      <w:rFonts w:ascii="Courier New" w:hAnsi="Courier New" w:cs="Courier New"/>
      <w:lang w:eastAsia="en-GB"/>
    </w:rPr>
  </w:style>
  <w:style w:type="character" w:styleId="HTMLCode">
    <w:name w:val="HTML Code"/>
    <w:basedOn w:val="DefaultParagraphFont"/>
    <w:uiPriority w:val="99"/>
    <w:unhideWhenUsed/>
    <w:rsid w:val="00495ED2"/>
    <w:rPr>
      <w:rFonts w:ascii="Courier New" w:eastAsia="Times New Roman" w:hAnsi="Courier New" w:cs="Courier New"/>
      <w:sz w:val="20"/>
      <w:szCs w:val="20"/>
    </w:rPr>
  </w:style>
  <w:style w:type="character" w:styleId="FollowedHyperlink">
    <w:name w:val="FollowedHyperlink"/>
    <w:basedOn w:val="DefaultParagraphFont"/>
    <w:rsid w:val="000114C5"/>
    <w:rPr>
      <w:color w:val="954F72" w:themeColor="followedHyperlink"/>
      <w:u w:val="single"/>
    </w:rPr>
  </w:style>
  <w:style w:type="paragraph" w:styleId="BalloonText">
    <w:name w:val="Balloon Text"/>
    <w:basedOn w:val="Normal"/>
    <w:link w:val="BalloonTextChar"/>
    <w:semiHidden/>
    <w:unhideWhenUsed/>
    <w:rsid w:val="00E2751F"/>
    <w:pPr>
      <w:spacing w:before="0" w:line="240" w:lineRule="auto"/>
    </w:pPr>
    <w:rPr>
      <w:sz w:val="18"/>
      <w:szCs w:val="18"/>
    </w:rPr>
  </w:style>
  <w:style w:type="character" w:customStyle="1" w:styleId="BalloonTextChar">
    <w:name w:val="Balloon Text Char"/>
    <w:basedOn w:val="DefaultParagraphFont"/>
    <w:link w:val="BalloonText"/>
    <w:semiHidden/>
    <w:rsid w:val="00E2751F"/>
    <w:rPr>
      <w:sz w:val="18"/>
      <w:szCs w:val="18"/>
    </w:rPr>
  </w:style>
  <w:style w:type="character" w:styleId="UnresolvedMention">
    <w:name w:val="Unresolved Mention"/>
    <w:basedOn w:val="DefaultParagraphFont"/>
    <w:uiPriority w:val="99"/>
    <w:semiHidden/>
    <w:unhideWhenUsed/>
    <w:rsid w:val="00B81625"/>
    <w:rPr>
      <w:color w:val="605E5C"/>
      <w:shd w:val="clear" w:color="auto" w:fill="E1DFDD"/>
    </w:rPr>
  </w:style>
  <w:style w:type="character" w:customStyle="1" w:styleId="Heading2Char">
    <w:name w:val="Heading 2 Char"/>
    <w:basedOn w:val="DefaultParagraphFont"/>
    <w:link w:val="Heading2"/>
    <w:rsid w:val="008238EC"/>
    <w:rPr>
      <w:rFonts w:ascii="Arial" w:hAnsi="Arial"/>
      <w:b/>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823540">
      <w:bodyDiv w:val="1"/>
      <w:marLeft w:val="0"/>
      <w:marRight w:val="0"/>
      <w:marTop w:val="0"/>
      <w:marBottom w:val="0"/>
      <w:divBdr>
        <w:top w:val="none" w:sz="0" w:space="0" w:color="auto"/>
        <w:left w:val="none" w:sz="0" w:space="0" w:color="auto"/>
        <w:bottom w:val="none" w:sz="0" w:space="0" w:color="auto"/>
        <w:right w:val="none" w:sz="0" w:space="0" w:color="auto"/>
      </w:divBdr>
    </w:div>
    <w:div w:id="186796915">
      <w:bodyDiv w:val="1"/>
      <w:marLeft w:val="0"/>
      <w:marRight w:val="0"/>
      <w:marTop w:val="0"/>
      <w:marBottom w:val="0"/>
      <w:divBdr>
        <w:top w:val="none" w:sz="0" w:space="0" w:color="auto"/>
        <w:left w:val="none" w:sz="0" w:space="0" w:color="auto"/>
        <w:bottom w:val="none" w:sz="0" w:space="0" w:color="auto"/>
        <w:right w:val="none" w:sz="0" w:space="0" w:color="auto"/>
      </w:divBdr>
    </w:div>
    <w:div w:id="256643031">
      <w:bodyDiv w:val="1"/>
      <w:marLeft w:val="0"/>
      <w:marRight w:val="0"/>
      <w:marTop w:val="0"/>
      <w:marBottom w:val="0"/>
      <w:divBdr>
        <w:top w:val="none" w:sz="0" w:space="0" w:color="auto"/>
        <w:left w:val="none" w:sz="0" w:space="0" w:color="auto"/>
        <w:bottom w:val="none" w:sz="0" w:space="0" w:color="auto"/>
        <w:right w:val="none" w:sz="0" w:space="0" w:color="auto"/>
      </w:divBdr>
      <w:divsChild>
        <w:div w:id="40834357">
          <w:marLeft w:val="0"/>
          <w:marRight w:val="0"/>
          <w:marTop w:val="0"/>
          <w:marBottom w:val="0"/>
          <w:divBdr>
            <w:top w:val="none" w:sz="0" w:space="0" w:color="auto"/>
            <w:left w:val="none" w:sz="0" w:space="0" w:color="auto"/>
            <w:bottom w:val="none" w:sz="0" w:space="0" w:color="auto"/>
            <w:right w:val="none" w:sz="0" w:space="0" w:color="auto"/>
          </w:divBdr>
          <w:divsChild>
            <w:div w:id="130963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654974">
      <w:bodyDiv w:val="1"/>
      <w:marLeft w:val="0"/>
      <w:marRight w:val="0"/>
      <w:marTop w:val="0"/>
      <w:marBottom w:val="0"/>
      <w:divBdr>
        <w:top w:val="none" w:sz="0" w:space="0" w:color="auto"/>
        <w:left w:val="none" w:sz="0" w:space="0" w:color="auto"/>
        <w:bottom w:val="none" w:sz="0" w:space="0" w:color="auto"/>
        <w:right w:val="none" w:sz="0" w:space="0" w:color="auto"/>
      </w:divBdr>
    </w:div>
    <w:div w:id="322202679">
      <w:bodyDiv w:val="1"/>
      <w:marLeft w:val="107"/>
      <w:marRight w:val="0"/>
      <w:marTop w:val="107"/>
      <w:marBottom w:val="0"/>
      <w:divBdr>
        <w:top w:val="none" w:sz="0" w:space="0" w:color="auto"/>
        <w:left w:val="none" w:sz="0" w:space="0" w:color="auto"/>
        <w:bottom w:val="none" w:sz="0" w:space="0" w:color="auto"/>
        <w:right w:val="none" w:sz="0" w:space="0" w:color="auto"/>
      </w:divBdr>
      <w:divsChild>
        <w:div w:id="205987849">
          <w:marLeft w:val="0"/>
          <w:marRight w:val="0"/>
          <w:marTop w:val="0"/>
          <w:marBottom w:val="0"/>
          <w:divBdr>
            <w:top w:val="single" w:sz="4" w:space="0" w:color="FFFFFF"/>
            <w:left w:val="single" w:sz="4" w:space="5" w:color="FFFFFF"/>
            <w:bottom w:val="single" w:sz="4" w:space="11" w:color="FFFFFF"/>
            <w:right w:val="single" w:sz="4" w:space="11" w:color="FFFFFF"/>
          </w:divBdr>
          <w:divsChild>
            <w:div w:id="864171299">
              <w:marLeft w:val="0"/>
              <w:marRight w:val="0"/>
              <w:marTop w:val="107"/>
              <w:marBottom w:val="0"/>
              <w:divBdr>
                <w:top w:val="single" w:sz="4" w:space="0" w:color="FFFFFF"/>
                <w:left w:val="single" w:sz="4" w:space="5" w:color="FFFFFF"/>
                <w:bottom w:val="single" w:sz="4" w:space="11" w:color="FFFFFF"/>
                <w:right w:val="single" w:sz="4" w:space="11" w:color="FFFFFF"/>
              </w:divBdr>
              <w:divsChild>
                <w:div w:id="1569068608">
                  <w:marLeft w:val="0"/>
                  <w:marRight w:val="0"/>
                  <w:marTop w:val="107"/>
                  <w:marBottom w:val="0"/>
                  <w:divBdr>
                    <w:top w:val="single" w:sz="4" w:space="0" w:color="FFFFFF"/>
                    <w:left w:val="single" w:sz="4" w:space="5" w:color="FFFFFF"/>
                    <w:bottom w:val="single" w:sz="4" w:space="11" w:color="FFFFFF"/>
                    <w:right w:val="single" w:sz="4" w:space="11" w:color="FFFFFF"/>
                  </w:divBdr>
                  <w:divsChild>
                    <w:div w:id="724450000">
                      <w:marLeft w:val="107"/>
                      <w:marRight w:val="0"/>
                      <w:marTop w:val="107"/>
                      <w:marBottom w:val="0"/>
                      <w:divBdr>
                        <w:top w:val="single" w:sz="4" w:space="0" w:color="FFFFFF"/>
                        <w:left w:val="single" w:sz="4" w:space="5" w:color="FFFFFF"/>
                        <w:bottom w:val="single" w:sz="4" w:space="11" w:color="FFFFFF"/>
                        <w:right w:val="single" w:sz="4" w:space="11" w:color="FFFFFF"/>
                      </w:divBdr>
                      <w:divsChild>
                        <w:div w:id="446311745">
                          <w:marLeft w:val="107"/>
                          <w:marRight w:val="0"/>
                          <w:marTop w:val="0"/>
                          <w:marBottom w:val="0"/>
                          <w:divBdr>
                            <w:top w:val="single" w:sz="4" w:space="0" w:color="FFFFFF"/>
                            <w:left w:val="single" w:sz="4" w:space="5" w:color="FFFFFF"/>
                            <w:bottom w:val="single" w:sz="4" w:space="11" w:color="FFFFFF"/>
                            <w:right w:val="single" w:sz="4" w:space="11" w:color="FFFFFF"/>
                          </w:divBdr>
                          <w:divsChild>
                            <w:div w:id="897210358">
                              <w:marLeft w:val="107"/>
                              <w:marRight w:val="0"/>
                              <w:marTop w:val="0"/>
                              <w:marBottom w:val="236"/>
                              <w:divBdr>
                                <w:top w:val="single" w:sz="4" w:space="0" w:color="FFFFFF"/>
                                <w:left w:val="single" w:sz="4" w:space="5" w:color="FFFFFF"/>
                                <w:bottom w:val="single" w:sz="4" w:space="11" w:color="FFFFFF"/>
                                <w:right w:val="single" w:sz="4" w:space="11" w:color="FFFFFF"/>
                              </w:divBdr>
                            </w:div>
                          </w:divsChild>
                        </w:div>
                      </w:divsChild>
                    </w:div>
                  </w:divsChild>
                </w:div>
              </w:divsChild>
            </w:div>
          </w:divsChild>
        </w:div>
      </w:divsChild>
    </w:div>
    <w:div w:id="393968451">
      <w:bodyDiv w:val="1"/>
      <w:marLeft w:val="0"/>
      <w:marRight w:val="0"/>
      <w:marTop w:val="0"/>
      <w:marBottom w:val="0"/>
      <w:divBdr>
        <w:top w:val="none" w:sz="0" w:space="0" w:color="auto"/>
        <w:left w:val="none" w:sz="0" w:space="0" w:color="auto"/>
        <w:bottom w:val="none" w:sz="0" w:space="0" w:color="auto"/>
        <w:right w:val="none" w:sz="0" w:space="0" w:color="auto"/>
      </w:divBdr>
    </w:div>
    <w:div w:id="418911681">
      <w:bodyDiv w:val="1"/>
      <w:marLeft w:val="0"/>
      <w:marRight w:val="0"/>
      <w:marTop w:val="0"/>
      <w:marBottom w:val="0"/>
      <w:divBdr>
        <w:top w:val="none" w:sz="0" w:space="0" w:color="auto"/>
        <w:left w:val="none" w:sz="0" w:space="0" w:color="auto"/>
        <w:bottom w:val="none" w:sz="0" w:space="0" w:color="auto"/>
        <w:right w:val="none" w:sz="0" w:space="0" w:color="auto"/>
      </w:divBdr>
    </w:div>
    <w:div w:id="527524414">
      <w:bodyDiv w:val="1"/>
      <w:marLeft w:val="0"/>
      <w:marRight w:val="0"/>
      <w:marTop w:val="0"/>
      <w:marBottom w:val="0"/>
      <w:divBdr>
        <w:top w:val="none" w:sz="0" w:space="0" w:color="auto"/>
        <w:left w:val="none" w:sz="0" w:space="0" w:color="auto"/>
        <w:bottom w:val="none" w:sz="0" w:space="0" w:color="auto"/>
        <w:right w:val="none" w:sz="0" w:space="0" w:color="auto"/>
      </w:divBdr>
    </w:div>
    <w:div w:id="597909195">
      <w:bodyDiv w:val="1"/>
      <w:marLeft w:val="0"/>
      <w:marRight w:val="0"/>
      <w:marTop w:val="0"/>
      <w:marBottom w:val="0"/>
      <w:divBdr>
        <w:top w:val="none" w:sz="0" w:space="0" w:color="auto"/>
        <w:left w:val="none" w:sz="0" w:space="0" w:color="auto"/>
        <w:bottom w:val="none" w:sz="0" w:space="0" w:color="auto"/>
        <w:right w:val="none" w:sz="0" w:space="0" w:color="auto"/>
      </w:divBdr>
    </w:div>
    <w:div w:id="667749405">
      <w:bodyDiv w:val="1"/>
      <w:marLeft w:val="0"/>
      <w:marRight w:val="0"/>
      <w:marTop w:val="0"/>
      <w:marBottom w:val="0"/>
      <w:divBdr>
        <w:top w:val="none" w:sz="0" w:space="0" w:color="auto"/>
        <w:left w:val="none" w:sz="0" w:space="0" w:color="auto"/>
        <w:bottom w:val="none" w:sz="0" w:space="0" w:color="auto"/>
        <w:right w:val="none" w:sz="0" w:space="0" w:color="auto"/>
      </w:divBdr>
    </w:div>
    <w:div w:id="685911571">
      <w:bodyDiv w:val="1"/>
      <w:marLeft w:val="0"/>
      <w:marRight w:val="0"/>
      <w:marTop w:val="0"/>
      <w:marBottom w:val="0"/>
      <w:divBdr>
        <w:top w:val="none" w:sz="0" w:space="0" w:color="auto"/>
        <w:left w:val="none" w:sz="0" w:space="0" w:color="auto"/>
        <w:bottom w:val="none" w:sz="0" w:space="0" w:color="auto"/>
        <w:right w:val="none" w:sz="0" w:space="0" w:color="auto"/>
      </w:divBdr>
    </w:div>
    <w:div w:id="729160275">
      <w:bodyDiv w:val="1"/>
      <w:marLeft w:val="0"/>
      <w:marRight w:val="0"/>
      <w:marTop w:val="0"/>
      <w:marBottom w:val="0"/>
      <w:divBdr>
        <w:top w:val="none" w:sz="0" w:space="0" w:color="auto"/>
        <w:left w:val="none" w:sz="0" w:space="0" w:color="auto"/>
        <w:bottom w:val="none" w:sz="0" w:space="0" w:color="auto"/>
        <w:right w:val="none" w:sz="0" w:space="0" w:color="auto"/>
      </w:divBdr>
    </w:div>
    <w:div w:id="734933707">
      <w:bodyDiv w:val="1"/>
      <w:marLeft w:val="0"/>
      <w:marRight w:val="0"/>
      <w:marTop w:val="0"/>
      <w:marBottom w:val="0"/>
      <w:divBdr>
        <w:top w:val="none" w:sz="0" w:space="0" w:color="auto"/>
        <w:left w:val="none" w:sz="0" w:space="0" w:color="auto"/>
        <w:bottom w:val="none" w:sz="0" w:space="0" w:color="auto"/>
        <w:right w:val="none" w:sz="0" w:space="0" w:color="auto"/>
      </w:divBdr>
    </w:div>
    <w:div w:id="737674285">
      <w:bodyDiv w:val="1"/>
      <w:marLeft w:val="0"/>
      <w:marRight w:val="0"/>
      <w:marTop w:val="0"/>
      <w:marBottom w:val="0"/>
      <w:divBdr>
        <w:top w:val="none" w:sz="0" w:space="0" w:color="auto"/>
        <w:left w:val="none" w:sz="0" w:space="0" w:color="auto"/>
        <w:bottom w:val="none" w:sz="0" w:space="0" w:color="auto"/>
        <w:right w:val="none" w:sz="0" w:space="0" w:color="auto"/>
      </w:divBdr>
    </w:div>
    <w:div w:id="772088606">
      <w:bodyDiv w:val="1"/>
      <w:marLeft w:val="0"/>
      <w:marRight w:val="0"/>
      <w:marTop w:val="0"/>
      <w:marBottom w:val="0"/>
      <w:divBdr>
        <w:top w:val="none" w:sz="0" w:space="0" w:color="auto"/>
        <w:left w:val="none" w:sz="0" w:space="0" w:color="auto"/>
        <w:bottom w:val="none" w:sz="0" w:space="0" w:color="auto"/>
        <w:right w:val="none" w:sz="0" w:space="0" w:color="auto"/>
      </w:divBdr>
    </w:div>
    <w:div w:id="816995634">
      <w:bodyDiv w:val="1"/>
      <w:marLeft w:val="0"/>
      <w:marRight w:val="0"/>
      <w:marTop w:val="0"/>
      <w:marBottom w:val="0"/>
      <w:divBdr>
        <w:top w:val="none" w:sz="0" w:space="0" w:color="auto"/>
        <w:left w:val="none" w:sz="0" w:space="0" w:color="auto"/>
        <w:bottom w:val="none" w:sz="0" w:space="0" w:color="auto"/>
        <w:right w:val="none" w:sz="0" w:space="0" w:color="auto"/>
      </w:divBdr>
      <w:divsChild>
        <w:div w:id="1190683993">
          <w:marLeft w:val="0"/>
          <w:marRight w:val="0"/>
          <w:marTop w:val="0"/>
          <w:marBottom w:val="0"/>
          <w:divBdr>
            <w:top w:val="none" w:sz="0" w:space="0" w:color="auto"/>
            <w:left w:val="none" w:sz="0" w:space="0" w:color="auto"/>
            <w:bottom w:val="none" w:sz="0" w:space="0" w:color="auto"/>
            <w:right w:val="none" w:sz="0" w:space="0" w:color="auto"/>
          </w:divBdr>
          <w:divsChild>
            <w:div w:id="509683720">
              <w:marLeft w:val="0"/>
              <w:marRight w:val="0"/>
              <w:marTop w:val="0"/>
              <w:marBottom w:val="0"/>
              <w:divBdr>
                <w:top w:val="none" w:sz="0" w:space="0" w:color="auto"/>
                <w:left w:val="none" w:sz="0" w:space="0" w:color="auto"/>
                <w:bottom w:val="none" w:sz="0" w:space="0" w:color="auto"/>
                <w:right w:val="none" w:sz="0" w:space="0" w:color="auto"/>
              </w:divBdr>
              <w:divsChild>
                <w:div w:id="620914109">
                  <w:marLeft w:val="0"/>
                  <w:marRight w:val="0"/>
                  <w:marTop w:val="0"/>
                  <w:marBottom w:val="0"/>
                  <w:divBdr>
                    <w:top w:val="none" w:sz="0" w:space="0" w:color="auto"/>
                    <w:left w:val="none" w:sz="0" w:space="0" w:color="auto"/>
                    <w:bottom w:val="none" w:sz="0" w:space="0" w:color="auto"/>
                    <w:right w:val="none" w:sz="0" w:space="0" w:color="auto"/>
                  </w:divBdr>
                  <w:divsChild>
                    <w:div w:id="14439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253885">
      <w:bodyDiv w:val="1"/>
      <w:marLeft w:val="0"/>
      <w:marRight w:val="0"/>
      <w:marTop w:val="0"/>
      <w:marBottom w:val="0"/>
      <w:divBdr>
        <w:top w:val="none" w:sz="0" w:space="0" w:color="auto"/>
        <w:left w:val="none" w:sz="0" w:space="0" w:color="auto"/>
        <w:bottom w:val="none" w:sz="0" w:space="0" w:color="auto"/>
        <w:right w:val="none" w:sz="0" w:space="0" w:color="auto"/>
      </w:divBdr>
    </w:div>
    <w:div w:id="947542719">
      <w:bodyDiv w:val="1"/>
      <w:marLeft w:val="0"/>
      <w:marRight w:val="0"/>
      <w:marTop w:val="0"/>
      <w:marBottom w:val="0"/>
      <w:divBdr>
        <w:top w:val="none" w:sz="0" w:space="0" w:color="auto"/>
        <w:left w:val="none" w:sz="0" w:space="0" w:color="auto"/>
        <w:bottom w:val="none" w:sz="0" w:space="0" w:color="auto"/>
        <w:right w:val="none" w:sz="0" w:space="0" w:color="auto"/>
      </w:divBdr>
    </w:div>
    <w:div w:id="954798978">
      <w:bodyDiv w:val="1"/>
      <w:marLeft w:val="0"/>
      <w:marRight w:val="0"/>
      <w:marTop w:val="0"/>
      <w:marBottom w:val="0"/>
      <w:divBdr>
        <w:top w:val="none" w:sz="0" w:space="0" w:color="auto"/>
        <w:left w:val="none" w:sz="0" w:space="0" w:color="auto"/>
        <w:bottom w:val="none" w:sz="0" w:space="0" w:color="auto"/>
        <w:right w:val="none" w:sz="0" w:space="0" w:color="auto"/>
      </w:divBdr>
    </w:div>
    <w:div w:id="958534354">
      <w:bodyDiv w:val="1"/>
      <w:marLeft w:val="0"/>
      <w:marRight w:val="0"/>
      <w:marTop w:val="0"/>
      <w:marBottom w:val="0"/>
      <w:divBdr>
        <w:top w:val="none" w:sz="0" w:space="0" w:color="auto"/>
        <w:left w:val="none" w:sz="0" w:space="0" w:color="auto"/>
        <w:bottom w:val="none" w:sz="0" w:space="0" w:color="auto"/>
        <w:right w:val="none" w:sz="0" w:space="0" w:color="auto"/>
      </w:divBdr>
      <w:divsChild>
        <w:div w:id="2104497815">
          <w:marLeft w:val="0"/>
          <w:marRight w:val="0"/>
          <w:marTop w:val="0"/>
          <w:marBottom w:val="0"/>
          <w:divBdr>
            <w:top w:val="none" w:sz="0" w:space="0" w:color="auto"/>
            <w:left w:val="none" w:sz="0" w:space="0" w:color="auto"/>
            <w:bottom w:val="none" w:sz="0" w:space="0" w:color="auto"/>
            <w:right w:val="none" w:sz="0" w:space="0" w:color="auto"/>
          </w:divBdr>
          <w:divsChild>
            <w:div w:id="652949434">
              <w:marLeft w:val="0"/>
              <w:marRight w:val="0"/>
              <w:marTop w:val="0"/>
              <w:marBottom w:val="0"/>
              <w:divBdr>
                <w:top w:val="none" w:sz="0" w:space="0" w:color="auto"/>
                <w:left w:val="none" w:sz="0" w:space="0" w:color="auto"/>
                <w:bottom w:val="none" w:sz="0" w:space="0" w:color="auto"/>
                <w:right w:val="none" w:sz="0" w:space="0" w:color="auto"/>
              </w:divBdr>
            </w:div>
            <w:div w:id="1169566364">
              <w:marLeft w:val="0"/>
              <w:marRight w:val="0"/>
              <w:marTop w:val="0"/>
              <w:marBottom w:val="0"/>
              <w:divBdr>
                <w:top w:val="none" w:sz="0" w:space="0" w:color="auto"/>
                <w:left w:val="none" w:sz="0" w:space="0" w:color="auto"/>
                <w:bottom w:val="none" w:sz="0" w:space="0" w:color="auto"/>
                <w:right w:val="none" w:sz="0" w:space="0" w:color="auto"/>
              </w:divBdr>
            </w:div>
            <w:div w:id="1274627295">
              <w:marLeft w:val="0"/>
              <w:marRight w:val="0"/>
              <w:marTop w:val="0"/>
              <w:marBottom w:val="0"/>
              <w:divBdr>
                <w:top w:val="none" w:sz="0" w:space="0" w:color="auto"/>
                <w:left w:val="none" w:sz="0" w:space="0" w:color="auto"/>
                <w:bottom w:val="none" w:sz="0" w:space="0" w:color="auto"/>
                <w:right w:val="none" w:sz="0" w:space="0" w:color="auto"/>
              </w:divBdr>
            </w:div>
            <w:div w:id="192506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747528">
      <w:bodyDiv w:val="1"/>
      <w:marLeft w:val="0"/>
      <w:marRight w:val="0"/>
      <w:marTop w:val="0"/>
      <w:marBottom w:val="0"/>
      <w:divBdr>
        <w:top w:val="none" w:sz="0" w:space="0" w:color="auto"/>
        <w:left w:val="none" w:sz="0" w:space="0" w:color="auto"/>
        <w:bottom w:val="none" w:sz="0" w:space="0" w:color="auto"/>
        <w:right w:val="none" w:sz="0" w:space="0" w:color="auto"/>
      </w:divBdr>
    </w:div>
    <w:div w:id="1090781808">
      <w:bodyDiv w:val="1"/>
      <w:marLeft w:val="0"/>
      <w:marRight w:val="0"/>
      <w:marTop w:val="0"/>
      <w:marBottom w:val="0"/>
      <w:divBdr>
        <w:top w:val="none" w:sz="0" w:space="0" w:color="auto"/>
        <w:left w:val="none" w:sz="0" w:space="0" w:color="auto"/>
        <w:bottom w:val="none" w:sz="0" w:space="0" w:color="auto"/>
        <w:right w:val="none" w:sz="0" w:space="0" w:color="auto"/>
      </w:divBdr>
    </w:div>
    <w:div w:id="1173645549">
      <w:bodyDiv w:val="1"/>
      <w:marLeft w:val="0"/>
      <w:marRight w:val="0"/>
      <w:marTop w:val="0"/>
      <w:marBottom w:val="0"/>
      <w:divBdr>
        <w:top w:val="none" w:sz="0" w:space="0" w:color="auto"/>
        <w:left w:val="none" w:sz="0" w:space="0" w:color="auto"/>
        <w:bottom w:val="none" w:sz="0" w:space="0" w:color="auto"/>
        <w:right w:val="none" w:sz="0" w:space="0" w:color="auto"/>
      </w:divBdr>
    </w:div>
    <w:div w:id="1173761323">
      <w:bodyDiv w:val="1"/>
      <w:marLeft w:val="0"/>
      <w:marRight w:val="0"/>
      <w:marTop w:val="0"/>
      <w:marBottom w:val="0"/>
      <w:divBdr>
        <w:top w:val="none" w:sz="0" w:space="0" w:color="auto"/>
        <w:left w:val="none" w:sz="0" w:space="0" w:color="auto"/>
        <w:bottom w:val="none" w:sz="0" w:space="0" w:color="auto"/>
        <w:right w:val="none" w:sz="0" w:space="0" w:color="auto"/>
      </w:divBdr>
      <w:divsChild>
        <w:div w:id="1651514442">
          <w:marLeft w:val="185"/>
          <w:marRight w:val="185"/>
          <w:marTop w:val="0"/>
          <w:marBottom w:val="0"/>
          <w:divBdr>
            <w:top w:val="none" w:sz="0" w:space="0" w:color="auto"/>
            <w:left w:val="none" w:sz="0" w:space="0" w:color="auto"/>
            <w:bottom w:val="none" w:sz="0" w:space="0" w:color="auto"/>
            <w:right w:val="none" w:sz="0" w:space="0" w:color="auto"/>
          </w:divBdr>
          <w:divsChild>
            <w:div w:id="553853016">
              <w:marLeft w:val="185"/>
              <w:marRight w:val="185"/>
              <w:marTop w:val="0"/>
              <w:marBottom w:val="0"/>
              <w:divBdr>
                <w:top w:val="none" w:sz="0" w:space="0" w:color="auto"/>
                <w:left w:val="none" w:sz="0" w:space="0" w:color="auto"/>
                <w:bottom w:val="none" w:sz="0" w:space="0" w:color="auto"/>
                <w:right w:val="none" w:sz="0" w:space="0" w:color="auto"/>
              </w:divBdr>
              <w:divsChild>
                <w:div w:id="907813264">
                  <w:marLeft w:val="185"/>
                  <w:marRight w:val="185"/>
                  <w:marTop w:val="0"/>
                  <w:marBottom w:val="0"/>
                  <w:divBdr>
                    <w:top w:val="none" w:sz="0" w:space="0" w:color="auto"/>
                    <w:left w:val="none" w:sz="0" w:space="0" w:color="auto"/>
                    <w:bottom w:val="none" w:sz="0" w:space="0" w:color="auto"/>
                    <w:right w:val="none" w:sz="0" w:space="0" w:color="auto"/>
                  </w:divBdr>
                </w:div>
              </w:divsChild>
            </w:div>
          </w:divsChild>
        </w:div>
      </w:divsChild>
    </w:div>
    <w:div w:id="1212495597">
      <w:bodyDiv w:val="1"/>
      <w:marLeft w:val="0"/>
      <w:marRight w:val="0"/>
      <w:marTop w:val="0"/>
      <w:marBottom w:val="0"/>
      <w:divBdr>
        <w:top w:val="none" w:sz="0" w:space="0" w:color="auto"/>
        <w:left w:val="none" w:sz="0" w:space="0" w:color="auto"/>
        <w:bottom w:val="none" w:sz="0" w:space="0" w:color="auto"/>
        <w:right w:val="none" w:sz="0" w:space="0" w:color="auto"/>
      </w:divBdr>
    </w:div>
    <w:div w:id="1213687117">
      <w:bodyDiv w:val="1"/>
      <w:marLeft w:val="0"/>
      <w:marRight w:val="0"/>
      <w:marTop w:val="0"/>
      <w:marBottom w:val="0"/>
      <w:divBdr>
        <w:top w:val="none" w:sz="0" w:space="0" w:color="auto"/>
        <w:left w:val="none" w:sz="0" w:space="0" w:color="auto"/>
        <w:bottom w:val="none" w:sz="0" w:space="0" w:color="auto"/>
        <w:right w:val="none" w:sz="0" w:space="0" w:color="auto"/>
      </w:divBdr>
    </w:div>
    <w:div w:id="1257129269">
      <w:bodyDiv w:val="1"/>
      <w:marLeft w:val="0"/>
      <w:marRight w:val="0"/>
      <w:marTop w:val="0"/>
      <w:marBottom w:val="0"/>
      <w:divBdr>
        <w:top w:val="none" w:sz="0" w:space="0" w:color="auto"/>
        <w:left w:val="none" w:sz="0" w:space="0" w:color="auto"/>
        <w:bottom w:val="none" w:sz="0" w:space="0" w:color="auto"/>
        <w:right w:val="none" w:sz="0" w:space="0" w:color="auto"/>
      </w:divBdr>
    </w:div>
    <w:div w:id="1375155238">
      <w:bodyDiv w:val="1"/>
      <w:marLeft w:val="0"/>
      <w:marRight w:val="0"/>
      <w:marTop w:val="0"/>
      <w:marBottom w:val="0"/>
      <w:divBdr>
        <w:top w:val="none" w:sz="0" w:space="0" w:color="auto"/>
        <w:left w:val="none" w:sz="0" w:space="0" w:color="auto"/>
        <w:bottom w:val="none" w:sz="0" w:space="0" w:color="auto"/>
        <w:right w:val="none" w:sz="0" w:space="0" w:color="auto"/>
      </w:divBdr>
    </w:div>
    <w:div w:id="1409157189">
      <w:bodyDiv w:val="1"/>
      <w:marLeft w:val="0"/>
      <w:marRight w:val="0"/>
      <w:marTop w:val="0"/>
      <w:marBottom w:val="0"/>
      <w:divBdr>
        <w:top w:val="none" w:sz="0" w:space="0" w:color="auto"/>
        <w:left w:val="none" w:sz="0" w:space="0" w:color="auto"/>
        <w:bottom w:val="none" w:sz="0" w:space="0" w:color="auto"/>
        <w:right w:val="none" w:sz="0" w:space="0" w:color="auto"/>
      </w:divBdr>
    </w:div>
    <w:div w:id="1485733105">
      <w:bodyDiv w:val="1"/>
      <w:marLeft w:val="0"/>
      <w:marRight w:val="0"/>
      <w:marTop w:val="0"/>
      <w:marBottom w:val="0"/>
      <w:divBdr>
        <w:top w:val="none" w:sz="0" w:space="0" w:color="auto"/>
        <w:left w:val="none" w:sz="0" w:space="0" w:color="auto"/>
        <w:bottom w:val="none" w:sz="0" w:space="0" w:color="auto"/>
        <w:right w:val="none" w:sz="0" w:space="0" w:color="auto"/>
      </w:divBdr>
    </w:div>
    <w:div w:id="1539472527">
      <w:bodyDiv w:val="1"/>
      <w:marLeft w:val="0"/>
      <w:marRight w:val="0"/>
      <w:marTop w:val="0"/>
      <w:marBottom w:val="0"/>
      <w:divBdr>
        <w:top w:val="none" w:sz="0" w:space="0" w:color="auto"/>
        <w:left w:val="none" w:sz="0" w:space="0" w:color="auto"/>
        <w:bottom w:val="none" w:sz="0" w:space="0" w:color="auto"/>
        <w:right w:val="none" w:sz="0" w:space="0" w:color="auto"/>
      </w:divBdr>
    </w:div>
    <w:div w:id="1559828613">
      <w:bodyDiv w:val="1"/>
      <w:marLeft w:val="0"/>
      <w:marRight w:val="0"/>
      <w:marTop w:val="0"/>
      <w:marBottom w:val="0"/>
      <w:divBdr>
        <w:top w:val="none" w:sz="0" w:space="0" w:color="auto"/>
        <w:left w:val="none" w:sz="0" w:space="0" w:color="auto"/>
        <w:bottom w:val="none" w:sz="0" w:space="0" w:color="auto"/>
        <w:right w:val="none" w:sz="0" w:space="0" w:color="auto"/>
      </w:divBdr>
    </w:div>
    <w:div w:id="1579901817">
      <w:bodyDiv w:val="1"/>
      <w:marLeft w:val="0"/>
      <w:marRight w:val="0"/>
      <w:marTop w:val="0"/>
      <w:marBottom w:val="0"/>
      <w:divBdr>
        <w:top w:val="none" w:sz="0" w:space="0" w:color="auto"/>
        <w:left w:val="none" w:sz="0" w:space="0" w:color="auto"/>
        <w:bottom w:val="none" w:sz="0" w:space="0" w:color="auto"/>
        <w:right w:val="none" w:sz="0" w:space="0" w:color="auto"/>
      </w:divBdr>
    </w:div>
    <w:div w:id="1587417246">
      <w:bodyDiv w:val="1"/>
      <w:marLeft w:val="0"/>
      <w:marRight w:val="0"/>
      <w:marTop w:val="0"/>
      <w:marBottom w:val="0"/>
      <w:divBdr>
        <w:top w:val="none" w:sz="0" w:space="0" w:color="auto"/>
        <w:left w:val="none" w:sz="0" w:space="0" w:color="auto"/>
        <w:bottom w:val="none" w:sz="0" w:space="0" w:color="auto"/>
        <w:right w:val="none" w:sz="0" w:space="0" w:color="auto"/>
      </w:divBdr>
    </w:div>
    <w:div w:id="1588146719">
      <w:bodyDiv w:val="1"/>
      <w:marLeft w:val="0"/>
      <w:marRight w:val="0"/>
      <w:marTop w:val="0"/>
      <w:marBottom w:val="0"/>
      <w:divBdr>
        <w:top w:val="none" w:sz="0" w:space="0" w:color="auto"/>
        <w:left w:val="none" w:sz="0" w:space="0" w:color="auto"/>
        <w:bottom w:val="none" w:sz="0" w:space="0" w:color="auto"/>
        <w:right w:val="none" w:sz="0" w:space="0" w:color="auto"/>
      </w:divBdr>
    </w:div>
    <w:div w:id="1596785385">
      <w:bodyDiv w:val="1"/>
      <w:marLeft w:val="0"/>
      <w:marRight w:val="0"/>
      <w:marTop w:val="0"/>
      <w:marBottom w:val="0"/>
      <w:divBdr>
        <w:top w:val="none" w:sz="0" w:space="0" w:color="auto"/>
        <w:left w:val="none" w:sz="0" w:space="0" w:color="auto"/>
        <w:bottom w:val="none" w:sz="0" w:space="0" w:color="auto"/>
        <w:right w:val="none" w:sz="0" w:space="0" w:color="auto"/>
      </w:divBdr>
    </w:div>
    <w:div w:id="1651713544">
      <w:bodyDiv w:val="1"/>
      <w:marLeft w:val="0"/>
      <w:marRight w:val="0"/>
      <w:marTop w:val="0"/>
      <w:marBottom w:val="0"/>
      <w:divBdr>
        <w:top w:val="none" w:sz="0" w:space="0" w:color="auto"/>
        <w:left w:val="none" w:sz="0" w:space="0" w:color="auto"/>
        <w:bottom w:val="none" w:sz="0" w:space="0" w:color="auto"/>
        <w:right w:val="none" w:sz="0" w:space="0" w:color="auto"/>
      </w:divBdr>
    </w:div>
    <w:div w:id="1715613435">
      <w:bodyDiv w:val="1"/>
      <w:marLeft w:val="0"/>
      <w:marRight w:val="0"/>
      <w:marTop w:val="0"/>
      <w:marBottom w:val="0"/>
      <w:divBdr>
        <w:top w:val="none" w:sz="0" w:space="0" w:color="auto"/>
        <w:left w:val="none" w:sz="0" w:space="0" w:color="auto"/>
        <w:bottom w:val="none" w:sz="0" w:space="0" w:color="auto"/>
        <w:right w:val="none" w:sz="0" w:space="0" w:color="auto"/>
      </w:divBdr>
    </w:div>
    <w:div w:id="1804035850">
      <w:bodyDiv w:val="1"/>
      <w:marLeft w:val="0"/>
      <w:marRight w:val="0"/>
      <w:marTop w:val="0"/>
      <w:marBottom w:val="0"/>
      <w:divBdr>
        <w:top w:val="none" w:sz="0" w:space="0" w:color="auto"/>
        <w:left w:val="none" w:sz="0" w:space="0" w:color="auto"/>
        <w:bottom w:val="none" w:sz="0" w:space="0" w:color="auto"/>
        <w:right w:val="none" w:sz="0" w:space="0" w:color="auto"/>
      </w:divBdr>
    </w:div>
    <w:div w:id="1816755421">
      <w:bodyDiv w:val="1"/>
      <w:marLeft w:val="0"/>
      <w:marRight w:val="0"/>
      <w:marTop w:val="0"/>
      <w:marBottom w:val="0"/>
      <w:divBdr>
        <w:top w:val="none" w:sz="0" w:space="0" w:color="auto"/>
        <w:left w:val="none" w:sz="0" w:space="0" w:color="auto"/>
        <w:bottom w:val="none" w:sz="0" w:space="0" w:color="auto"/>
        <w:right w:val="none" w:sz="0" w:space="0" w:color="auto"/>
      </w:divBdr>
    </w:div>
    <w:div w:id="1836023347">
      <w:bodyDiv w:val="1"/>
      <w:marLeft w:val="0"/>
      <w:marRight w:val="0"/>
      <w:marTop w:val="0"/>
      <w:marBottom w:val="0"/>
      <w:divBdr>
        <w:top w:val="none" w:sz="0" w:space="0" w:color="auto"/>
        <w:left w:val="none" w:sz="0" w:space="0" w:color="auto"/>
        <w:bottom w:val="none" w:sz="0" w:space="0" w:color="auto"/>
        <w:right w:val="none" w:sz="0" w:space="0" w:color="auto"/>
      </w:divBdr>
    </w:div>
    <w:div w:id="1865973680">
      <w:bodyDiv w:val="1"/>
      <w:marLeft w:val="0"/>
      <w:marRight w:val="0"/>
      <w:marTop w:val="0"/>
      <w:marBottom w:val="0"/>
      <w:divBdr>
        <w:top w:val="none" w:sz="0" w:space="0" w:color="auto"/>
        <w:left w:val="none" w:sz="0" w:space="0" w:color="auto"/>
        <w:bottom w:val="none" w:sz="0" w:space="0" w:color="auto"/>
        <w:right w:val="none" w:sz="0" w:space="0" w:color="auto"/>
      </w:divBdr>
      <w:divsChild>
        <w:div w:id="223609065">
          <w:marLeft w:val="0"/>
          <w:marRight w:val="0"/>
          <w:marTop w:val="0"/>
          <w:marBottom w:val="0"/>
          <w:divBdr>
            <w:top w:val="none" w:sz="0" w:space="0" w:color="auto"/>
            <w:left w:val="none" w:sz="0" w:space="0" w:color="auto"/>
            <w:bottom w:val="none" w:sz="0" w:space="0" w:color="auto"/>
            <w:right w:val="none" w:sz="0" w:space="0" w:color="auto"/>
          </w:divBdr>
        </w:div>
      </w:divsChild>
    </w:div>
    <w:div w:id="1898395604">
      <w:bodyDiv w:val="1"/>
      <w:marLeft w:val="0"/>
      <w:marRight w:val="0"/>
      <w:marTop w:val="0"/>
      <w:marBottom w:val="0"/>
      <w:divBdr>
        <w:top w:val="none" w:sz="0" w:space="0" w:color="auto"/>
        <w:left w:val="none" w:sz="0" w:space="0" w:color="auto"/>
        <w:bottom w:val="none" w:sz="0" w:space="0" w:color="auto"/>
        <w:right w:val="none" w:sz="0" w:space="0" w:color="auto"/>
      </w:divBdr>
    </w:div>
    <w:div w:id="2030258013">
      <w:bodyDiv w:val="1"/>
      <w:marLeft w:val="0"/>
      <w:marRight w:val="0"/>
      <w:marTop w:val="0"/>
      <w:marBottom w:val="0"/>
      <w:divBdr>
        <w:top w:val="none" w:sz="0" w:space="0" w:color="auto"/>
        <w:left w:val="none" w:sz="0" w:space="0" w:color="auto"/>
        <w:bottom w:val="none" w:sz="0" w:space="0" w:color="auto"/>
        <w:right w:val="none" w:sz="0" w:space="0" w:color="auto"/>
      </w:divBdr>
      <w:divsChild>
        <w:div w:id="1686251906">
          <w:marLeft w:val="0"/>
          <w:marRight w:val="0"/>
          <w:marTop w:val="0"/>
          <w:marBottom w:val="240"/>
          <w:divBdr>
            <w:top w:val="none" w:sz="0" w:space="0" w:color="auto"/>
            <w:left w:val="none" w:sz="0" w:space="0" w:color="auto"/>
            <w:bottom w:val="none" w:sz="0" w:space="0" w:color="auto"/>
            <w:right w:val="none" w:sz="0" w:space="0" w:color="auto"/>
          </w:divBdr>
          <w:divsChild>
            <w:div w:id="106032723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033875188">
      <w:bodyDiv w:val="1"/>
      <w:marLeft w:val="0"/>
      <w:marRight w:val="0"/>
      <w:marTop w:val="0"/>
      <w:marBottom w:val="0"/>
      <w:divBdr>
        <w:top w:val="none" w:sz="0" w:space="0" w:color="auto"/>
        <w:left w:val="none" w:sz="0" w:space="0" w:color="auto"/>
        <w:bottom w:val="none" w:sz="0" w:space="0" w:color="auto"/>
        <w:right w:val="none" w:sz="0" w:space="0" w:color="auto"/>
      </w:divBdr>
      <w:divsChild>
        <w:div w:id="18050692">
          <w:marLeft w:val="185"/>
          <w:marRight w:val="185"/>
          <w:marTop w:val="0"/>
          <w:marBottom w:val="0"/>
          <w:divBdr>
            <w:top w:val="none" w:sz="0" w:space="0" w:color="auto"/>
            <w:left w:val="none" w:sz="0" w:space="0" w:color="auto"/>
            <w:bottom w:val="none" w:sz="0" w:space="0" w:color="auto"/>
            <w:right w:val="none" w:sz="0" w:space="0" w:color="auto"/>
          </w:divBdr>
          <w:divsChild>
            <w:div w:id="2108769131">
              <w:marLeft w:val="185"/>
              <w:marRight w:val="185"/>
              <w:marTop w:val="0"/>
              <w:marBottom w:val="0"/>
              <w:divBdr>
                <w:top w:val="none" w:sz="0" w:space="0" w:color="auto"/>
                <w:left w:val="none" w:sz="0" w:space="0" w:color="auto"/>
                <w:bottom w:val="none" w:sz="0" w:space="0" w:color="auto"/>
                <w:right w:val="none" w:sz="0" w:space="0" w:color="auto"/>
              </w:divBdr>
              <w:divsChild>
                <w:div w:id="1050689200">
                  <w:marLeft w:val="185"/>
                  <w:marRight w:val="185"/>
                  <w:marTop w:val="0"/>
                  <w:marBottom w:val="0"/>
                  <w:divBdr>
                    <w:top w:val="none" w:sz="0" w:space="0" w:color="auto"/>
                    <w:left w:val="none" w:sz="0" w:space="0" w:color="auto"/>
                    <w:bottom w:val="none" w:sz="0" w:space="0" w:color="auto"/>
                    <w:right w:val="none" w:sz="0" w:space="0" w:color="auto"/>
                  </w:divBdr>
                </w:div>
              </w:divsChild>
            </w:div>
          </w:divsChild>
        </w:div>
      </w:divsChild>
    </w:div>
    <w:div w:id="2065133773">
      <w:bodyDiv w:val="1"/>
      <w:marLeft w:val="0"/>
      <w:marRight w:val="0"/>
      <w:marTop w:val="0"/>
      <w:marBottom w:val="0"/>
      <w:divBdr>
        <w:top w:val="none" w:sz="0" w:space="0" w:color="auto"/>
        <w:left w:val="none" w:sz="0" w:space="0" w:color="auto"/>
        <w:bottom w:val="none" w:sz="0" w:space="0" w:color="auto"/>
        <w:right w:val="none" w:sz="0" w:space="0" w:color="auto"/>
      </w:divBdr>
    </w:div>
    <w:div w:id="2102024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blockrookie/payments-in-europe-paper" TargetMode="External"/><Relationship Id="rId18" Type="http://schemas.openxmlformats.org/officeDocument/2006/relationships/header" Target="header5.xml"/><Relationship Id="rId26" Type="http://schemas.openxmlformats.org/officeDocument/2006/relationships/footer" Target="footer7.xml"/><Relationship Id="rId39" Type="http://schemas.openxmlformats.org/officeDocument/2006/relationships/hyperlink" Target="https://www.europeanpaymentscouncil.eu/document-library/rulebooks/2019-sepa-direct-debit-core-rulebook-version-11" TargetMode="External"/><Relationship Id="rId21" Type="http://schemas.openxmlformats.org/officeDocument/2006/relationships/header" Target="header6.xml"/><Relationship Id="rId34" Type="http://schemas.openxmlformats.org/officeDocument/2006/relationships/hyperlink" Target="https://citeseerx.ist.psu.edu/viewdoc/download?doi=10.1.1.926.2777&amp;rep=rep1&amp;type=pdf"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yperlink" Target="https://github.com/blockrookie/payments-in-europe-paper/blob/master/payments-in-europe-paper.md" TargetMode="External"/><Relationship Id="rId29" Type="http://schemas.openxmlformats.org/officeDocument/2006/relationships/hyperlink" Target="https://www.ecb.europa.eu/pub/pdf/other/ecbbluebookea200708en.pdf" TargetMode="External"/><Relationship Id="rId41"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6.xml"/><Relationship Id="rId32" Type="http://schemas.openxmlformats.org/officeDocument/2006/relationships/hyperlink" Target="http://data.europa.eu/eli/dir/2007/64/oj" TargetMode="External"/><Relationship Id="rId37" Type="http://schemas.openxmlformats.org/officeDocument/2006/relationships/hyperlink" Target="https://www.ebaclearing.eu/services/step2-sct/settlement-and-processing-cycles/" TargetMode="External"/><Relationship Id="rId40"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eader" Target="header7.xml"/><Relationship Id="rId28" Type="http://schemas.openxmlformats.org/officeDocument/2006/relationships/footer" Target="footer8.xml"/><Relationship Id="rId36" Type="http://schemas.openxmlformats.org/officeDocument/2006/relationships/hyperlink" Target="https://www.paiementor.com/sct-book/" TargetMode="External"/><Relationship Id="rId10" Type="http://schemas.openxmlformats.org/officeDocument/2006/relationships/header" Target="header1.xml"/><Relationship Id="rId19" Type="http://schemas.openxmlformats.org/officeDocument/2006/relationships/footer" Target="footer4.xml"/><Relationship Id="rId31" Type="http://schemas.openxmlformats.org/officeDocument/2006/relationships/hyperlink" Target="https://www.abe-eba.eu/media/azure/production/1342/banks-preparing-for-psd.pdf" TargetMode="External"/><Relationship Id="rId4" Type="http://schemas.openxmlformats.org/officeDocument/2006/relationships/settings" Target="settings.xml"/><Relationship Id="rId9" Type="http://schemas.openxmlformats.org/officeDocument/2006/relationships/hyperlink" Target="https://blockrookie.com" TargetMode="External"/><Relationship Id="rId14" Type="http://schemas.openxmlformats.org/officeDocument/2006/relationships/header" Target="header3.xml"/><Relationship Id="rId22" Type="http://schemas.openxmlformats.org/officeDocument/2006/relationships/footer" Target="footer5.xml"/><Relationship Id="rId27" Type="http://schemas.openxmlformats.org/officeDocument/2006/relationships/header" Target="header9.xml"/><Relationship Id="rId30" Type="http://schemas.openxmlformats.org/officeDocument/2006/relationships/hyperlink" Target="https://ec.europa.eu/info/business-economy-euro/banking-and-finance/consumer-finance-and-payments/payment-services/single-euro-payments-area-sepa_en" TargetMode="External"/><Relationship Id="rId35" Type="http://schemas.openxmlformats.org/officeDocument/2006/relationships/hyperlink" Target="https://www.europeanpaymentscouncil.eu/what-we-do/sepa-instant-credit-transfer" TargetMode="External"/><Relationship Id="rId43"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footer" Target="footer3.xml"/><Relationship Id="rId25" Type="http://schemas.openxmlformats.org/officeDocument/2006/relationships/header" Target="header8.xml"/><Relationship Id="rId33" Type="http://schemas.openxmlformats.org/officeDocument/2006/relationships/hyperlink" Target="https://static1.squarespace.com/static/5888b0436a496319031d1d45/t/5964d1562994ca141b2d3cfe/1499779436856/PSD2+impact+report.pdf" TargetMode="External"/><Relationship Id="rId38" Type="http://schemas.openxmlformats.org/officeDocument/2006/relationships/hyperlink" Target="https://www.europeanpaymentscouncil.eu/document-library/rulebooks/2019-sepa-credit-transfer-rulebook-version-1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nwendungsdaten\Microsoft\Vorlagen\AWDipl1.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6A951F-8181-4E1D-AC4C-3F3008982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AWDipl1.dot</Template>
  <TotalTime>0</TotalTime>
  <Pages>1</Pages>
  <Words>10007</Words>
  <Characters>63046</Characters>
  <Application>Microsoft Office Word</Application>
  <DocSecurity>0</DocSecurity>
  <Lines>525</Lines>
  <Paragraphs>145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payments-in-europe-paper</vt:lpstr>
      <vt:lpstr>blockchain-tokens-paper</vt:lpstr>
    </vt:vector>
  </TitlesOfParts>
  <Company>...</Company>
  <LinksUpToDate>false</LinksUpToDate>
  <CharactersWithSpaces>72908</CharactersWithSpaces>
  <SharedDoc>false</SharedDoc>
  <HLinks>
    <vt:vector size="54" baseType="variant">
      <vt:variant>
        <vt:i4>1376304</vt:i4>
      </vt:variant>
      <vt:variant>
        <vt:i4>50</vt:i4>
      </vt:variant>
      <vt:variant>
        <vt:i4>0</vt:i4>
      </vt:variant>
      <vt:variant>
        <vt:i4>5</vt:i4>
      </vt:variant>
      <vt:variant>
        <vt:lpwstr/>
      </vt:variant>
      <vt:variant>
        <vt:lpwstr>_Toc506545723</vt:lpwstr>
      </vt:variant>
      <vt:variant>
        <vt:i4>1376304</vt:i4>
      </vt:variant>
      <vt:variant>
        <vt:i4>44</vt:i4>
      </vt:variant>
      <vt:variant>
        <vt:i4>0</vt:i4>
      </vt:variant>
      <vt:variant>
        <vt:i4>5</vt:i4>
      </vt:variant>
      <vt:variant>
        <vt:lpwstr/>
      </vt:variant>
      <vt:variant>
        <vt:lpwstr>_Toc506545722</vt:lpwstr>
      </vt:variant>
      <vt:variant>
        <vt:i4>1376304</vt:i4>
      </vt:variant>
      <vt:variant>
        <vt:i4>38</vt:i4>
      </vt:variant>
      <vt:variant>
        <vt:i4>0</vt:i4>
      </vt:variant>
      <vt:variant>
        <vt:i4>5</vt:i4>
      </vt:variant>
      <vt:variant>
        <vt:lpwstr/>
      </vt:variant>
      <vt:variant>
        <vt:lpwstr>_Toc506545721</vt:lpwstr>
      </vt:variant>
      <vt:variant>
        <vt:i4>1376304</vt:i4>
      </vt:variant>
      <vt:variant>
        <vt:i4>32</vt:i4>
      </vt:variant>
      <vt:variant>
        <vt:i4>0</vt:i4>
      </vt:variant>
      <vt:variant>
        <vt:i4>5</vt:i4>
      </vt:variant>
      <vt:variant>
        <vt:lpwstr/>
      </vt:variant>
      <vt:variant>
        <vt:lpwstr>_Toc506545720</vt:lpwstr>
      </vt:variant>
      <vt:variant>
        <vt:i4>1441840</vt:i4>
      </vt:variant>
      <vt:variant>
        <vt:i4>26</vt:i4>
      </vt:variant>
      <vt:variant>
        <vt:i4>0</vt:i4>
      </vt:variant>
      <vt:variant>
        <vt:i4>5</vt:i4>
      </vt:variant>
      <vt:variant>
        <vt:lpwstr/>
      </vt:variant>
      <vt:variant>
        <vt:lpwstr>_Toc506545719</vt:lpwstr>
      </vt:variant>
      <vt:variant>
        <vt:i4>1441840</vt:i4>
      </vt:variant>
      <vt:variant>
        <vt:i4>20</vt:i4>
      </vt:variant>
      <vt:variant>
        <vt:i4>0</vt:i4>
      </vt:variant>
      <vt:variant>
        <vt:i4>5</vt:i4>
      </vt:variant>
      <vt:variant>
        <vt:lpwstr/>
      </vt:variant>
      <vt:variant>
        <vt:lpwstr>_Toc506545718</vt:lpwstr>
      </vt:variant>
      <vt:variant>
        <vt:i4>1441840</vt:i4>
      </vt:variant>
      <vt:variant>
        <vt:i4>14</vt:i4>
      </vt:variant>
      <vt:variant>
        <vt:i4>0</vt:i4>
      </vt:variant>
      <vt:variant>
        <vt:i4>5</vt:i4>
      </vt:variant>
      <vt:variant>
        <vt:lpwstr/>
      </vt:variant>
      <vt:variant>
        <vt:lpwstr>_Toc506545717</vt:lpwstr>
      </vt:variant>
      <vt:variant>
        <vt:i4>1441840</vt:i4>
      </vt:variant>
      <vt:variant>
        <vt:i4>8</vt:i4>
      </vt:variant>
      <vt:variant>
        <vt:i4>0</vt:i4>
      </vt:variant>
      <vt:variant>
        <vt:i4>5</vt:i4>
      </vt:variant>
      <vt:variant>
        <vt:lpwstr/>
      </vt:variant>
      <vt:variant>
        <vt:lpwstr>_Toc506545716</vt:lpwstr>
      </vt:variant>
      <vt:variant>
        <vt:i4>1441840</vt:i4>
      </vt:variant>
      <vt:variant>
        <vt:i4>2</vt:i4>
      </vt:variant>
      <vt:variant>
        <vt:i4>0</vt:i4>
      </vt:variant>
      <vt:variant>
        <vt:i4>5</vt:i4>
      </vt:variant>
      <vt:variant>
        <vt:lpwstr/>
      </vt:variant>
      <vt:variant>
        <vt:lpwstr>_Toc506545715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payments-in-europe-paper</dc:title>
  <dc:subject/>
  <dc:creator>Lucas Baerenfaenger</dc:creator>
  <cp:keywords/>
  <cp:lastModifiedBy>Lucas Baerenfaenger</cp:lastModifiedBy>
  <cp:revision>33</cp:revision>
  <cp:lastPrinted>2020-10-19T15:29:00Z</cp:lastPrinted>
  <dcterms:created xsi:type="dcterms:W3CDTF">2020-07-20T17:03:00Z</dcterms:created>
  <dcterms:modified xsi:type="dcterms:W3CDTF">2020-10-19T15:29:00Z</dcterms:modified>
</cp:coreProperties>
</file>