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黑体" w:hAnsi="黑体" w:eastAsia="黑体"/>
          <w:b/>
          <w:sz w:val="52"/>
          <w:szCs w:val="52"/>
        </w:rPr>
      </w:pPr>
    </w:p>
    <w:p>
      <w:pPr>
        <w:spacing w:before="120" w:line="360" w:lineRule="auto"/>
        <w:jc w:val="center"/>
        <w:rPr>
          <w:rFonts w:eastAsia="黑体"/>
          <w:snapToGrid w:val="0"/>
          <w:sz w:val="36"/>
          <w:szCs w:val="44"/>
        </w:rPr>
      </w:pPr>
    </w:p>
    <w:p>
      <w:pPr>
        <w:pStyle w:val="8"/>
        <w:adjustRightInd w:val="0"/>
        <w:spacing w:before="156"/>
        <w:ind w:firstLine="480"/>
        <w:jc w:val="center"/>
        <w:rPr>
          <w:rFonts w:ascii="Times New Roman" w:hAnsi="Times New Roman" w:eastAsia="黑体"/>
          <w:snapToGrid w:val="0"/>
          <w:color w:val="auto"/>
          <w:sz w:val="36"/>
          <w:szCs w:val="44"/>
        </w:rPr>
      </w:pPr>
    </w:p>
    <w:p>
      <w:pPr>
        <w:pStyle w:val="8"/>
        <w:adjustRightInd w:val="0"/>
        <w:spacing w:before="156"/>
        <w:ind w:firstLine="480"/>
        <w:jc w:val="center"/>
        <w:rPr>
          <w:rFonts w:ascii="Times New Roman" w:hAnsi="Times New Roman" w:eastAsia="黑体"/>
          <w:snapToGrid w:val="0"/>
          <w:color w:val="auto"/>
          <w:sz w:val="36"/>
          <w:szCs w:val="44"/>
        </w:rPr>
      </w:pPr>
      <w:r>
        <w:rPr>
          <w:rFonts w:hint="eastAsia" w:ascii="Times New Roman" w:hAnsi="Times New Roman" w:eastAsia="黑体"/>
          <w:snapToGrid w:val="0"/>
          <w:color w:val="auto"/>
          <w:sz w:val="36"/>
          <w:szCs w:val="44"/>
        </w:rPr>
        <w:t>电力监控系统安全防护评估及信息系统</w:t>
      </w:r>
    </w:p>
    <w:p>
      <w:pPr>
        <w:pStyle w:val="8"/>
        <w:adjustRightInd w:val="0"/>
        <w:spacing w:before="156"/>
        <w:ind w:firstLine="480"/>
        <w:jc w:val="center"/>
        <w:rPr>
          <w:rFonts w:ascii="Times New Roman" w:hAnsi="Times New Roman" w:eastAsia="黑体"/>
          <w:snapToGrid w:val="0"/>
          <w:color w:val="auto"/>
          <w:sz w:val="36"/>
          <w:szCs w:val="44"/>
        </w:rPr>
      </w:pPr>
      <w:r>
        <w:rPr>
          <w:rFonts w:hint="eastAsia" w:ascii="Times New Roman" w:hAnsi="Times New Roman" w:eastAsia="黑体"/>
          <w:snapToGrid w:val="0"/>
          <w:color w:val="auto"/>
          <w:sz w:val="36"/>
          <w:szCs w:val="44"/>
        </w:rPr>
        <w:t>安全等级保护测评项目</w:t>
      </w:r>
    </w:p>
    <w:p>
      <w:pPr>
        <w:pStyle w:val="8"/>
        <w:adjustRightInd w:val="0"/>
        <w:spacing w:before="156"/>
        <w:rPr>
          <w:rFonts w:ascii="Times New Roman" w:hAnsi="Times New Roman"/>
        </w:rPr>
      </w:pPr>
    </w:p>
    <w:p>
      <w:pPr>
        <w:spacing w:before="120" w:line="360" w:lineRule="auto"/>
        <w:jc w:val="center"/>
        <w:rPr>
          <w:sz w:val="32"/>
          <w:szCs w:val="32"/>
        </w:rPr>
      </w:pPr>
      <w:r>
        <w:rPr>
          <w:rFonts w:hint="eastAsia" w:eastAsia="黑体"/>
          <w:sz w:val="84"/>
          <w:szCs w:val="84"/>
        </w:rPr>
        <w:t>技术规范书</w:t>
      </w:r>
    </w:p>
    <w:p>
      <w:pPr>
        <w:spacing w:line="360" w:lineRule="auto"/>
        <w:jc w:val="center"/>
        <w:rPr>
          <w:rFonts w:ascii="黑体" w:hAnsi="黑体" w:eastAsia="黑体"/>
          <w:bCs/>
          <w:sz w:val="44"/>
          <w:szCs w:val="44"/>
        </w:rPr>
      </w:pPr>
    </w:p>
    <w:p>
      <w:pPr>
        <w:ind w:firstLine="1326" w:firstLineChars="367"/>
        <w:jc w:val="left"/>
        <w:rPr>
          <w:rFonts w:ascii="宋体" w:hAnsi="宋体" w:cs="宋体"/>
          <w:b/>
          <w:sz w:val="36"/>
          <w:szCs w:val="36"/>
        </w:rPr>
      </w:pPr>
    </w:p>
    <w:p>
      <w:pPr>
        <w:bidi w:val="0"/>
      </w:pPr>
    </w:p>
    <w:p>
      <w:pPr>
        <w:bidi w:val="0"/>
      </w:pPr>
    </w:p>
    <w:p>
      <w:pPr>
        <w:rPr>
          <w:rFonts w:ascii="宋体" w:hAnsi="宋体" w:cs="宋体"/>
          <w:b/>
          <w:sz w:val="36"/>
          <w:szCs w:val="36"/>
        </w:rPr>
      </w:pPr>
    </w:p>
    <w:p>
      <w:pPr>
        <w:bidi w:val="0"/>
      </w:pPr>
    </w:p>
    <w:p>
      <w:pPr>
        <w:bidi w:val="0"/>
      </w:pPr>
    </w:p>
    <w:p>
      <w:pPr>
        <w:spacing w:line="360" w:lineRule="auto"/>
        <w:rPr>
          <w:b/>
          <w:sz w:val="28"/>
          <w:szCs w:val="28"/>
        </w:rPr>
      </w:pPr>
    </w:p>
    <w:p>
      <w:pPr>
        <w:spacing w:line="360" w:lineRule="auto"/>
        <w:jc w:val="center"/>
        <w:rPr>
          <w:b/>
          <w:sz w:val="28"/>
          <w:szCs w:val="28"/>
        </w:rPr>
      </w:pPr>
    </w:p>
    <w:p>
      <w:pPr>
        <w:pStyle w:val="25"/>
        <w:jc w:val="center"/>
        <w:rPr>
          <w:rFonts w:ascii="华文仿宋" w:hAnsi="华文仿宋" w:eastAsia="华文仿宋"/>
          <w:b/>
          <w:sz w:val="32"/>
          <w:szCs w:val="32"/>
        </w:rPr>
        <w:sectPr>
          <w:headerReference r:id="rId5" w:type="first"/>
          <w:headerReference r:id="rId3" w:type="default"/>
          <w:footerReference r:id="rId6" w:type="default"/>
          <w:headerReference r:id="rId4" w:type="even"/>
          <w:footerReference r:id="rId7" w:type="even"/>
          <w:pgSz w:w="11906" w:h="16838"/>
          <w:pgMar w:top="1440" w:right="1274" w:bottom="1440" w:left="1800" w:header="851" w:footer="992" w:gutter="0"/>
          <w:pgNumType w:start="0"/>
          <w:cols w:space="425" w:num="1"/>
          <w:titlePg/>
          <w:docGrid w:type="lines" w:linePitch="312" w:charSpace="0"/>
        </w:sectPr>
      </w:pPr>
      <w:r>
        <w:rPr>
          <w:rFonts w:hint="eastAsia" w:ascii="黑体" w:hAnsi="黑体" w:eastAsia="黑体"/>
          <w:b/>
          <w:sz w:val="32"/>
          <w:szCs w:val="32"/>
        </w:rPr>
        <w:t>二零二一年</w:t>
      </w:r>
      <w:r>
        <w:rPr>
          <w:rFonts w:hint="eastAsia" w:ascii="黑体" w:hAnsi="黑体" w:eastAsia="黑体"/>
          <w:b/>
          <w:sz w:val="32"/>
          <w:szCs w:val="32"/>
          <w:lang w:val="en-US" w:eastAsia="zh-CN"/>
        </w:rPr>
        <w:t>三</w:t>
      </w:r>
      <w:r>
        <w:rPr>
          <w:rFonts w:hint="eastAsia" w:ascii="黑体" w:hAnsi="黑体" w:eastAsia="黑体"/>
          <w:b/>
          <w:sz w:val="32"/>
          <w:szCs w:val="32"/>
        </w:rPr>
        <w:t>月</w:t>
      </w:r>
    </w:p>
    <w:p>
      <w:pPr>
        <w:numPr>
          <w:ilvl w:val="0"/>
          <w:numId w:val="2"/>
        </w:numPr>
        <w:spacing w:line="360" w:lineRule="auto"/>
        <w:outlineLvl w:val="0"/>
        <w:rPr>
          <w:rFonts w:ascii="宋体" w:hAnsi="宋体"/>
          <w:b/>
          <w:sz w:val="28"/>
          <w:szCs w:val="28"/>
        </w:rPr>
      </w:pPr>
      <w:bookmarkStart w:id="0" w:name="_Toc311015395"/>
      <w:r>
        <w:rPr>
          <w:rFonts w:hint="eastAsia" w:ascii="宋体" w:hAnsi="宋体"/>
          <w:b/>
          <w:sz w:val="28"/>
          <w:szCs w:val="28"/>
        </w:rPr>
        <w:t>总则</w:t>
      </w:r>
      <w:bookmarkEnd w:id="0"/>
    </w:p>
    <w:p>
      <w:pPr>
        <w:numPr>
          <w:ilvl w:val="1"/>
          <w:numId w:val="2"/>
        </w:numPr>
        <w:spacing w:line="360" w:lineRule="auto"/>
        <w:outlineLvl w:val="1"/>
        <w:rPr>
          <w:rFonts w:ascii="宋体" w:hAnsi="宋体"/>
          <w:b/>
          <w:sz w:val="28"/>
          <w:szCs w:val="28"/>
        </w:rPr>
      </w:pPr>
      <w:bookmarkStart w:id="1" w:name="_Toc311015396"/>
      <w:r>
        <w:rPr>
          <w:rFonts w:ascii="宋体" w:hAnsi="宋体"/>
          <w:b/>
          <w:sz w:val="28"/>
          <w:szCs w:val="28"/>
        </w:rPr>
        <w:t>引言</w:t>
      </w:r>
      <w:bookmarkEnd w:id="1"/>
    </w:p>
    <w:p>
      <w:pPr>
        <w:pStyle w:val="43"/>
        <w:spacing w:line="360" w:lineRule="auto"/>
        <w:ind w:firstLine="560"/>
        <w:rPr>
          <w:rFonts w:asciiTheme="minorEastAsia" w:hAnsiTheme="minorEastAsia" w:eastAsiaTheme="minorEastAsia"/>
          <w:color w:val="000000"/>
          <w:sz w:val="28"/>
          <w:szCs w:val="28"/>
        </w:rPr>
      </w:pPr>
      <w:bookmarkStart w:id="2" w:name="_Toc311015397"/>
      <w:r>
        <w:rPr>
          <w:rFonts w:hint="eastAsia" w:asciiTheme="minorEastAsia" w:hAnsiTheme="minorEastAsia" w:eastAsiaTheme="minorEastAsia"/>
          <w:color w:val="000000"/>
          <w:sz w:val="28"/>
          <w:szCs w:val="28"/>
        </w:rPr>
        <w:t>为了落实公安部、国家能源局关于电力监控系统安全等级保护要求，进一步增强电力监控系统安全防护能力，确保电力监控系统安全稳定运行，依据《信息系统安全等级保护基本要求》（</w:t>
      </w:r>
      <w:r>
        <w:rPr>
          <w:rFonts w:asciiTheme="minorEastAsia" w:hAnsiTheme="minorEastAsia" w:eastAsiaTheme="minorEastAsia"/>
          <w:color w:val="000000"/>
          <w:sz w:val="28"/>
          <w:szCs w:val="28"/>
        </w:rPr>
        <w:t>GB/T 22239-2008</w:t>
      </w:r>
      <w:r>
        <w:rPr>
          <w:rFonts w:hint="eastAsia" w:asciiTheme="minorEastAsia" w:hAnsiTheme="minorEastAsia" w:eastAsiaTheme="minorEastAsia"/>
          <w:color w:val="000000"/>
          <w:sz w:val="28"/>
          <w:szCs w:val="28"/>
        </w:rPr>
        <w:t>）、《电力行业信息系统安全等级保护基本要求》（电监信息[2012]62号）、《电力监控系统安全防护规定》（</w:t>
      </w:r>
      <w:r>
        <w:rPr>
          <w:rFonts w:hint="eastAsia" w:ascii="宋体" w:hAnsi="宋体" w:cs="宋体"/>
          <w:sz w:val="28"/>
          <w:szCs w:val="28"/>
        </w:rPr>
        <w:t>国家发展改革委员会</w:t>
      </w:r>
      <w:r>
        <w:rPr>
          <w:rFonts w:hint="eastAsia" w:asciiTheme="minorEastAsia" w:hAnsiTheme="minorEastAsia" w:eastAsiaTheme="minorEastAsia"/>
          <w:color w:val="000000"/>
          <w:sz w:val="28"/>
          <w:szCs w:val="28"/>
        </w:rPr>
        <w:t>[2014年]</w:t>
      </w:r>
      <w:r>
        <w:rPr>
          <w:rFonts w:hint="eastAsia" w:ascii="宋体" w:hAnsi="宋体" w:cs="宋体"/>
          <w:sz w:val="28"/>
          <w:szCs w:val="28"/>
        </w:rPr>
        <w:t>第14号令</w:t>
      </w:r>
      <w:r>
        <w:rPr>
          <w:rFonts w:hint="eastAsia" w:asciiTheme="minorEastAsia" w:hAnsiTheme="minorEastAsia" w:eastAsiaTheme="minorEastAsia"/>
          <w:color w:val="000000"/>
          <w:sz w:val="28"/>
          <w:szCs w:val="28"/>
        </w:rPr>
        <w:t>）、《电力行业网络与信息安全管理办法》（国能安全[2014]317号）和《电力行业信息安全等级保护管理办法》（国能安全[2014]318号）等制度和标准要求，进行本次电力监控系统等级保护测评与安全防护评估。</w:t>
      </w:r>
    </w:p>
    <w:p>
      <w:pPr>
        <w:numPr>
          <w:ilvl w:val="1"/>
          <w:numId w:val="2"/>
        </w:numPr>
        <w:spacing w:line="360" w:lineRule="auto"/>
        <w:outlineLvl w:val="1"/>
        <w:rPr>
          <w:rFonts w:ascii="宋体" w:hAnsi="宋体"/>
          <w:b/>
          <w:sz w:val="28"/>
          <w:szCs w:val="28"/>
        </w:rPr>
      </w:pPr>
      <w:r>
        <w:rPr>
          <w:rFonts w:ascii="宋体" w:hAnsi="宋体"/>
          <w:b/>
          <w:sz w:val="28"/>
          <w:szCs w:val="28"/>
        </w:rPr>
        <w:t>适用范围</w:t>
      </w:r>
      <w:bookmarkEnd w:id="2"/>
    </w:p>
    <w:p>
      <w:pPr>
        <w:pStyle w:val="37"/>
        <w:overflowPunct w:val="0"/>
        <w:topLinePunct/>
        <w:adjustRightInd/>
        <w:snapToGrid/>
        <w:spacing w:line="360" w:lineRule="auto"/>
        <w:ind w:firstLine="560"/>
        <w:textAlignment w:val="auto"/>
        <w:rPr>
          <w:sz w:val="28"/>
        </w:rPr>
      </w:pPr>
      <w:r>
        <w:rPr>
          <w:sz w:val="28"/>
        </w:rPr>
        <w:t>本技术</w:t>
      </w:r>
      <w:r>
        <w:rPr>
          <w:rFonts w:hint="eastAsia"/>
          <w:sz w:val="28"/>
        </w:rPr>
        <w:t>规范</w:t>
      </w:r>
      <w:r>
        <w:rPr>
          <w:sz w:val="28"/>
        </w:rPr>
        <w:t>适用于</w:t>
      </w:r>
      <w:r>
        <w:rPr>
          <w:rFonts w:hint="eastAsia"/>
          <w:sz w:val="28"/>
        </w:rPr>
        <w:t>电力监控系统等级保护测评及安全防护评估技术服务项目</w:t>
      </w:r>
      <w:r>
        <w:rPr>
          <w:sz w:val="28"/>
        </w:rPr>
        <w:t>的采购，包括</w:t>
      </w:r>
      <w:r>
        <w:rPr>
          <w:rFonts w:hint="eastAsia"/>
          <w:sz w:val="28"/>
        </w:rPr>
        <w:t>技术服务要求和验收要求</w:t>
      </w:r>
      <w:r>
        <w:rPr>
          <w:sz w:val="28"/>
        </w:rPr>
        <w:t>。</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本技术规范提出的是最低限度的技术要求。凡本技术规范中未规定，但在相关国家标准、电力行业标准或IEC标准中有规定的规范条文，</w:t>
      </w:r>
      <w:r>
        <w:rPr>
          <w:rFonts w:hint="eastAsia" w:ascii="宋体" w:hAnsi="宋体"/>
          <w:sz w:val="28"/>
          <w:szCs w:val="28"/>
        </w:rPr>
        <w:t>投标方</w:t>
      </w:r>
      <w:r>
        <w:rPr>
          <w:rFonts w:ascii="宋体" w:hAnsi="宋体"/>
          <w:sz w:val="28"/>
          <w:szCs w:val="28"/>
        </w:rPr>
        <w:t>应按相应标准的条文进行</w:t>
      </w:r>
      <w:r>
        <w:rPr>
          <w:rFonts w:hint="eastAsia" w:ascii="宋体" w:hAnsi="宋体"/>
          <w:sz w:val="28"/>
          <w:szCs w:val="28"/>
        </w:rPr>
        <w:t>服务供应说明</w:t>
      </w:r>
      <w:r>
        <w:rPr>
          <w:rFonts w:ascii="宋体" w:hAnsi="宋体"/>
          <w:sz w:val="28"/>
          <w:szCs w:val="28"/>
        </w:rPr>
        <w:t>。</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如果</w:t>
      </w:r>
      <w:r>
        <w:rPr>
          <w:rFonts w:hint="eastAsia" w:ascii="宋体" w:hAnsi="宋体"/>
          <w:sz w:val="28"/>
          <w:szCs w:val="28"/>
        </w:rPr>
        <w:t>投标方</w:t>
      </w:r>
      <w:r>
        <w:rPr>
          <w:rFonts w:ascii="宋体" w:hAnsi="宋体"/>
          <w:sz w:val="28"/>
          <w:szCs w:val="28"/>
        </w:rPr>
        <w:t>没有以书面形式对本技术规范的条文提出异议，则</w:t>
      </w:r>
      <w:r>
        <w:rPr>
          <w:rFonts w:hint="eastAsia" w:ascii="宋体" w:hAnsi="宋体"/>
          <w:sz w:val="28"/>
          <w:szCs w:val="28"/>
        </w:rPr>
        <w:t>招标方</w:t>
      </w:r>
      <w:r>
        <w:rPr>
          <w:rFonts w:ascii="宋体" w:hAnsi="宋体"/>
          <w:sz w:val="28"/>
          <w:szCs w:val="28"/>
        </w:rPr>
        <w:t>认为</w:t>
      </w:r>
      <w:r>
        <w:rPr>
          <w:rFonts w:hint="eastAsia" w:ascii="宋体" w:hAnsi="宋体"/>
          <w:sz w:val="28"/>
          <w:szCs w:val="28"/>
        </w:rPr>
        <w:t>投标方</w:t>
      </w:r>
      <w:r>
        <w:rPr>
          <w:rFonts w:ascii="宋体" w:hAnsi="宋体"/>
          <w:sz w:val="28"/>
          <w:szCs w:val="28"/>
        </w:rPr>
        <w:t>提供的</w:t>
      </w:r>
      <w:r>
        <w:rPr>
          <w:rFonts w:hint="eastAsia" w:ascii="宋体" w:hAnsi="宋体"/>
          <w:sz w:val="28"/>
          <w:szCs w:val="28"/>
        </w:rPr>
        <w:t>服务</w:t>
      </w:r>
      <w:r>
        <w:rPr>
          <w:rFonts w:ascii="宋体" w:hAnsi="宋体"/>
          <w:sz w:val="28"/>
          <w:szCs w:val="28"/>
        </w:rPr>
        <w:t>完全符合本技术规范。</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本技术规范所建议使用的标准如与</w:t>
      </w:r>
      <w:r>
        <w:rPr>
          <w:rFonts w:hint="eastAsia" w:ascii="宋体" w:hAnsi="宋体"/>
          <w:sz w:val="28"/>
          <w:szCs w:val="28"/>
        </w:rPr>
        <w:t>投标方</w:t>
      </w:r>
      <w:r>
        <w:rPr>
          <w:rFonts w:ascii="宋体" w:hAnsi="宋体"/>
          <w:sz w:val="28"/>
          <w:szCs w:val="28"/>
        </w:rPr>
        <w:t>所执行的标准不一致，</w:t>
      </w:r>
      <w:r>
        <w:rPr>
          <w:rFonts w:hint="eastAsia" w:ascii="宋体" w:hAnsi="宋体"/>
          <w:sz w:val="28"/>
          <w:szCs w:val="28"/>
        </w:rPr>
        <w:t>投标方</w:t>
      </w:r>
      <w:r>
        <w:rPr>
          <w:rFonts w:ascii="宋体" w:hAnsi="宋体"/>
          <w:sz w:val="28"/>
          <w:szCs w:val="28"/>
        </w:rPr>
        <w:t>应按更严格标准的条文执行或按双方商定的标准执行。</w:t>
      </w:r>
    </w:p>
    <w:p>
      <w:pPr>
        <w:numPr>
          <w:ilvl w:val="1"/>
          <w:numId w:val="2"/>
        </w:numPr>
        <w:spacing w:line="360" w:lineRule="auto"/>
        <w:outlineLvl w:val="1"/>
        <w:rPr>
          <w:rFonts w:ascii="宋体" w:hAnsi="宋体"/>
          <w:b/>
          <w:sz w:val="28"/>
          <w:szCs w:val="28"/>
        </w:rPr>
      </w:pPr>
      <w:r>
        <w:rPr>
          <w:rFonts w:hint="eastAsia" w:ascii="宋体" w:hAnsi="宋体"/>
          <w:b/>
          <w:sz w:val="28"/>
          <w:szCs w:val="28"/>
        </w:rPr>
        <w:t>标准和规范</w:t>
      </w:r>
    </w:p>
    <w:p>
      <w:pPr>
        <w:autoSpaceDE w:val="0"/>
        <w:autoSpaceDN w:val="0"/>
        <w:adjustRightInd w:val="0"/>
        <w:spacing w:line="360" w:lineRule="auto"/>
        <w:ind w:firstLine="560" w:firstLineChars="200"/>
        <w:jc w:val="left"/>
        <w:rPr>
          <w:rFonts w:ascii="宋体" w:hAnsi="宋体" w:cs="宋体"/>
          <w:kern w:val="0"/>
          <w:sz w:val="28"/>
          <w:szCs w:val="28"/>
        </w:rPr>
      </w:pPr>
      <w:r>
        <w:rPr>
          <w:rFonts w:hint="eastAsia" w:ascii="宋体" w:hAnsi="宋体" w:cs="宋体"/>
          <w:kern w:val="0"/>
          <w:sz w:val="28"/>
          <w:szCs w:val="28"/>
        </w:rPr>
        <w:t>下列文件中的条款通过本规范的引用而成为本规范的条款，</w:t>
      </w:r>
      <w:r>
        <w:rPr>
          <w:rFonts w:hint="eastAsia"/>
          <w:sz w:val="28"/>
          <w:szCs w:val="28"/>
        </w:rPr>
        <w:t>除本技术规范书特别规定外，投标方所提供的测评标准均应遵循公安部、能源局相关文件要求和招标方的相关文件要求，所用的标准必须是其最新版本；如果这些标准内容矛盾时，应按最高标准的条款执行或按双方商定的标准执行；如果投标方选用本技术规范书规定以外的标准时，需提交与这种替换标准相当的或优于规定标准的证明，供招标方确认。</w:t>
      </w:r>
    </w:p>
    <w:p>
      <w:pPr>
        <w:numPr>
          <w:ilvl w:val="0"/>
          <w:numId w:val="3"/>
        </w:numPr>
        <w:spacing w:line="360" w:lineRule="auto"/>
        <w:ind w:left="421" w:leftChars="67" w:hanging="280" w:hangingChars="100"/>
        <w:rPr>
          <w:rFonts w:ascii="宋体" w:hAnsi="宋体"/>
          <w:sz w:val="28"/>
          <w:szCs w:val="28"/>
        </w:rPr>
      </w:pPr>
      <w:bookmarkStart w:id="3" w:name="_Toc303532071"/>
      <w:bookmarkStart w:id="4" w:name="_Toc311015399"/>
      <w:bookmarkStart w:id="5" w:name="_Toc157912713"/>
      <w:bookmarkStart w:id="6" w:name="_Toc77760955"/>
      <w:bookmarkStart w:id="7" w:name="_Toc77761128"/>
      <w:bookmarkStart w:id="8" w:name="_Toc77760799"/>
      <w:bookmarkStart w:id="9" w:name="_Toc77760638"/>
      <w:bookmarkStart w:id="10" w:name="_Toc77760877"/>
      <w:bookmarkStart w:id="11" w:name="_Toc83482791"/>
      <w:r>
        <w:rPr>
          <w:rFonts w:hint="eastAsia" w:ascii="宋体" w:hAnsi="宋体"/>
          <w:sz w:val="28"/>
          <w:szCs w:val="28"/>
        </w:rPr>
        <w:t>《信息安全等级保护管理办法》（公通字[2007]43号）</w:t>
      </w:r>
    </w:p>
    <w:p>
      <w:pPr>
        <w:numPr>
          <w:ilvl w:val="0"/>
          <w:numId w:val="3"/>
        </w:numPr>
        <w:spacing w:line="360" w:lineRule="auto"/>
        <w:rPr>
          <w:rFonts w:hint="eastAsia" w:ascii="宋体" w:hAnsi="宋体"/>
          <w:sz w:val="28"/>
          <w:szCs w:val="28"/>
        </w:rPr>
      </w:pPr>
      <w:r>
        <w:rPr>
          <w:rFonts w:hint="eastAsia" w:ascii="宋体" w:hAnsi="宋体"/>
          <w:sz w:val="28"/>
          <w:szCs w:val="28"/>
        </w:rPr>
        <w:t>《GB/T 22239-2019信息安全技术网络安全等级保护基本要求》</w:t>
      </w:r>
    </w:p>
    <w:p>
      <w:pPr>
        <w:numPr>
          <w:ilvl w:val="0"/>
          <w:numId w:val="3"/>
        </w:numPr>
        <w:spacing w:line="360" w:lineRule="auto"/>
        <w:rPr>
          <w:rFonts w:hint="eastAsia" w:ascii="宋体" w:hAnsi="宋体"/>
          <w:sz w:val="28"/>
          <w:szCs w:val="28"/>
        </w:rPr>
      </w:pPr>
      <w:r>
        <w:rPr>
          <w:rFonts w:hint="eastAsia" w:ascii="宋体" w:hAnsi="宋体"/>
          <w:sz w:val="28"/>
          <w:szCs w:val="28"/>
        </w:rPr>
        <w:t>《GB/T 28448-2019信息安全技术网络安全等级保护测评要求》</w:t>
      </w:r>
    </w:p>
    <w:p>
      <w:pPr>
        <w:numPr>
          <w:ilvl w:val="0"/>
          <w:numId w:val="3"/>
        </w:numPr>
        <w:spacing w:line="360" w:lineRule="auto"/>
        <w:rPr>
          <w:rFonts w:hint="eastAsia" w:ascii="宋体" w:hAnsi="宋体"/>
          <w:sz w:val="28"/>
          <w:szCs w:val="28"/>
        </w:rPr>
      </w:pPr>
      <w:r>
        <w:rPr>
          <w:rFonts w:hint="eastAsia" w:ascii="宋体" w:hAnsi="宋体"/>
          <w:sz w:val="28"/>
          <w:szCs w:val="28"/>
        </w:rPr>
        <w:t>《GB/T 28449-2018信息安全技术网络安全等级保护测评过程指南》</w:t>
      </w:r>
    </w:p>
    <w:p>
      <w:pPr>
        <w:numPr>
          <w:ilvl w:val="0"/>
          <w:numId w:val="3"/>
        </w:numPr>
        <w:spacing w:line="360" w:lineRule="auto"/>
        <w:rPr>
          <w:rFonts w:hint="eastAsia" w:ascii="宋体" w:hAnsi="宋体"/>
          <w:sz w:val="28"/>
          <w:szCs w:val="28"/>
        </w:rPr>
      </w:pPr>
      <w:r>
        <w:rPr>
          <w:rFonts w:hint="eastAsia" w:ascii="宋体" w:hAnsi="宋体"/>
          <w:sz w:val="28"/>
          <w:szCs w:val="28"/>
        </w:rPr>
        <w:t>《GB/T 20984-2007信息安全技术信息安全风险评估规范》》</w:t>
      </w:r>
    </w:p>
    <w:p>
      <w:pPr>
        <w:numPr>
          <w:ilvl w:val="0"/>
          <w:numId w:val="3"/>
        </w:numPr>
        <w:spacing w:line="360" w:lineRule="auto"/>
        <w:rPr>
          <w:rFonts w:hint="eastAsia" w:ascii="宋体" w:hAnsi="宋体"/>
          <w:sz w:val="28"/>
          <w:szCs w:val="28"/>
        </w:rPr>
      </w:pPr>
      <w:r>
        <w:rPr>
          <w:rFonts w:hint="eastAsia" w:ascii="宋体" w:hAnsi="宋体"/>
          <w:sz w:val="28"/>
          <w:szCs w:val="28"/>
        </w:rPr>
        <w:t>《GB/T 37138-2018电力信息系统安全等级保护实施指南》</w:t>
      </w:r>
    </w:p>
    <w:p>
      <w:pPr>
        <w:numPr>
          <w:ilvl w:val="0"/>
          <w:numId w:val="3"/>
        </w:numPr>
        <w:spacing w:line="360" w:lineRule="auto"/>
        <w:rPr>
          <w:rFonts w:hint="eastAsia" w:ascii="宋体" w:hAnsi="宋体"/>
          <w:sz w:val="28"/>
          <w:szCs w:val="28"/>
        </w:rPr>
      </w:pPr>
      <w:r>
        <w:rPr>
          <w:rFonts w:hint="eastAsia" w:ascii="宋体" w:hAnsi="宋体"/>
          <w:sz w:val="28"/>
          <w:szCs w:val="28"/>
        </w:rPr>
        <w:t>《GB/T 36324-2018 信息安全技术工业控制系统信息安全分级规范》</w:t>
      </w:r>
    </w:p>
    <w:p>
      <w:pPr>
        <w:numPr>
          <w:ilvl w:val="0"/>
          <w:numId w:val="3"/>
        </w:numPr>
        <w:spacing w:line="360" w:lineRule="auto"/>
        <w:rPr>
          <w:rFonts w:hint="eastAsia" w:ascii="宋体" w:hAnsi="宋体"/>
          <w:sz w:val="28"/>
          <w:szCs w:val="28"/>
        </w:rPr>
      </w:pPr>
      <w:r>
        <w:rPr>
          <w:rFonts w:hint="eastAsia" w:ascii="宋体" w:hAnsi="宋体"/>
          <w:sz w:val="28"/>
          <w:szCs w:val="28"/>
        </w:rPr>
        <w:t>《GBT 22240-2020)信息安全技术网络安全等级保护定级指南》</w:t>
      </w:r>
    </w:p>
    <w:p>
      <w:pPr>
        <w:numPr>
          <w:ilvl w:val="0"/>
          <w:numId w:val="3"/>
        </w:numPr>
        <w:spacing w:line="360" w:lineRule="auto"/>
        <w:ind w:left="421" w:leftChars="67" w:hanging="280" w:hangingChars="100"/>
        <w:rPr>
          <w:rFonts w:ascii="宋体" w:hAnsi="宋体"/>
          <w:sz w:val="28"/>
          <w:szCs w:val="28"/>
        </w:rPr>
      </w:pPr>
      <w:r>
        <w:rPr>
          <w:rFonts w:hint="eastAsia" w:ascii="宋体" w:hAnsi="宋体" w:cs="宋体"/>
          <w:sz w:val="28"/>
          <w:szCs w:val="28"/>
        </w:rPr>
        <w:t>《关于开展电力行业信息系统安全等级保护定级工作的通知》（电监信息〔2007〕34号）</w:t>
      </w:r>
    </w:p>
    <w:p>
      <w:pPr>
        <w:numPr>
          <w:ilvl w:val="0"/>
          <w:numId w:val="3"/>
        </w:numPr>
        <w:spacing w:line="360" w:lineRule="auto"/>
        <w:ind w:left="421" w:leftChars="67" w:hanging="280" w:hangingChars="100"/>
        <w:rPr>
          <w:rFonts w:ascii="宋体" w:hAnsi="宋体" w:cs="宋体"/>
          <w:sz w:val="28"/>
          <w:szCs w:val="28"/>
        </w:rPr>
      </w:pPr>
      <w:r>
        <w:rPr>
          <w:rFonts w:hint="eastAsia" w:ascii="宋体" w:hAnsi="宋体" w:cs="宋体"/>
          <w:sz w:val="28"/>
          <w:szCs w:val="28"/>
        </w:rPr>
        <w:t>《电力行业信息系统安全等级保护基本要求》（电监信息[2012]62号</w:t>
      </w:r>
      <w:r>
        <w:rPr>
          <w:rFonts w:ascii="宋体" w:hAnsi="宋体" w:cs="宋体"/>
          <w:sz w:val="28"/>
          <w:szCs w:val="28"/>
        </w:rPr>
        <w:t>）</w:t>
      </w:r>
    </w:p>
    <w:p>
      <w:pPr>
        <w:numPr>
          <w:ilvl w:val="0"/>
          <w:numId w:val="3"/>
        </w:numPr>
        <w:spacing w:line="360" w:lineRule="auto"/>
        <w:ind w:left="421" w:leftChars="67" w:hanging="280" w:hangingChars="100"/>
        <w:rPr>
          <w:rFonts w:ascii="宋体" w:hAnsi="宋体" w:cs="宋体"/>
          <w:sz w:val="28"/>
          <w:szCs w:val="28"/>
        </w:rPr>
      </w:pPr>
      <w:r>
        <w:rPr>
          <w:rFonts w:hint="eastAsia" w:ascii="宋体" w:hAnsi="宋体" w:cs="宋体"/>
          <w:sz w:val="28"/>
          <w:szCs w:val="28"/>
        </w:rPr>
        <w:t>《电力行业网络与信息安全管理办法》（国能安全[2014]317号）</w:t>
      </w:r>
    </w:p>
    <w:p>
      <w:pPr>
        <w:numPr>
          <w:ilvl w:val="0"/>
          <w:numId w:val="3"/>
        </w:numPr>
        <w:spacing w:line="360" w:lineRule="auto"/>
        <w:ind w:left="421" w:leftChars="67" w:hanging="280" w:hangingChars="100"/>
        <w:rPr>
          <w:rFonts w:ascii="宋体" w:hAnsi="宋体" w:cs="宋体"/>
          <w:sz w:val="28"/>
          <w:szCs w:val="28"/>
        </w:rPr>
      </w:pPr>
      <w:r>
        <w:rPr>
          <w:rFonts w:hint="eastAsia" w:ascii="宋体" w:hAnsi="宋体" w:cs="宋体"/>
          <w:sz w:val="28"/>
          <w:szCs w:val="28"/>
        </w:rPr>
        <w:t>《电力行业信息安全等级保护管理办法》（国能安全[2014]318号）</w:t>
      </w:r>
    </w:p>
    <w:p>
      <w:pPr>
        <w:numPr>
          <w:ilvl w:val="0"/>
          <w:numId w:val="3"/>
        </w:numPr>
        <w:spacing w:line="360" w:lineRule="auto"/>
        <w:ind w:left="421" w:leftChars="67" w:hanging="280" w:hangingChars="100"/>
        <w:rPr>
          <w:rFonts w:ascii="宋体" w:hAnsi="宋体"/>
          <w:sz w:val="28"/>
          <w:szCs w:val="28"/>
        </w:rPr>
      </w:pPr>
      <w:r>
        <w:rPr>
          <w:rFonts w:hint="eastAsia" w:ascii="宋体" w:hAnsi="宋体" w:cs="宋体"/>
          <w:sz w:val="28"/>
          <w:szCs w:val="28"/>
        </w:rPr>
        <w:t>《电力监控系统安全防护规定》（国家发展改革委员会</w:t>
      </w:r>
      <w:r>
        <w:rPr>
          <w:rFonts w:hint="eastAsia" w:asciiTheme="minorEastAsia" w:hAnsiTheme="minorEastAsia" w:eastAsiaTheme="minorEastAsia"/>
          <w:color w:val="000000"/>
          <w:sz w:val="28"/>
          <w:szCs w:val="28"/>
        </w:rPr>
        <w:t>[2014年]</w:t>
      </w:r>
      <w:r>
        <w:rPr>
          <w:rFonts w:hint="eastAsia" w:ascii="宋体" w:hAnsi="宋体" w:cs="宋体"/>
          <w:sz w:val="28"/>
          <w:szCs w:val="28"/>
        </w:rPr>
        <w:t>第14号令）</w:t>
      </w:r>
    </w:p>
    <w:p>
      <w:pPr>
        <w:numPr>
          <w:ilvl w:val="0"/>
          <w:numId w:val="3"/>
        </w:numPr>
        <w:spacing w:line="360" w:lineRule="auto"/>
        <w:ind w:left="421" w:leftChars="67" w:hanging="280" w:hangingChars="100"/>
        <w:rPr>
          <w:rFonts w:ascii="宋体" w:hAnsi="宋体"/>
          <w:sz w:val="28"/>
          <w:szCs w:val="28"/>
        </w:rPr>
      </w:pPr>
      <w:r>
        <w:rPr>
          <w:rFonts w:hint="eastAsia" w:ascii="宋体" w:hAnsi="宋体" w:cs="宋体"/>
          <w:sz w:val="28"/>
          <w:szCs w:val="28"/>
        </w:rPr>
        <w:t>《电力监控系统安全防护总体方案》国能安全[2015]36号</w:t>
      </w:r>
    </w:p>
    <w:p>
      <w:pPr>
        <w:numPr>
          <w:ilvl w:val="0"/>
          <w:numId w:val="3"/>
        </w:numPr>
        <w:spacing w:line="360" w:lineRule="auto"/>
        <w:ind w:left="421" w:leftChars="67" w:hanging="280" w:hangingChars="100"/>
        <w:rPr>
          <w:rFonts w:ascii="宋体" w:hAnsi="宋体"/>
          <w:sz w:val="28"/>
          <w:szCs w:val="28"/>
        </w:rPr>
      </w:pPr>
      <w:r>
        <w:rPr>
          <w:rFonts w:hint="eastAsia" w:ascii="宋体" w:hAnsi="宋体"/>
          <w:sz w:val="28"/>
          <w:szCs w:val="28"/>
        </w:rPr>
        <w:t>《发电厂监控系统安全防护方案》</w:t>
      </w:r>
      <w:r>
        <w:rPr>
          <w:rFonts w:hint="eastAsia" w:ascii="宋体" w:hAnsi="宋体" w:cs="宋体"/>
          <w:sz w:val="28"/>
          <w:szCs w:val="28"/>
        </w:rPr>
        <w:t>国能安全[2015]36号</w:t>
      </w:r>
    </w:p>
    <w:p>
      <w:pPr>
        <w:numPr>
          <w:ilvl w:val="0"/>
          <w:numId w:val="3"/>
        </w:numPr>
        <w:spacing w:line="360" w:lineRule="auto"/>
        <w:ind w:left="421" w:leftChars="67" w:hanging="280" w:hangingChars="100"/>
        <w:rPr>
          <w:rFonts w:ascii="宋体" w:hAnsi="宋体"/>
          <w:sz w:val="28"/>
          <w:szCs w:val="28"/>
        </w:rPr>
      </w:pPr>
      <w:r>
        <w:rPr>
          <w:rFonts w:hint="eastAsia" w:ascii="宋体" w:hAnsi="宋体"/>
          <w:sz w:val="28"/>
          <w:szCs w:val="28"/>
        </w:rPr>
        <w:t>《电力监控系统安全防护评估规范》</w:t>
      </w:r>
      <w:r>
        <w:rPr>
          <w:rFonts w:hint="eastAsia" w:ascii="宋体" w:hAnsi="宋体" w:cs="宋体"/>
          <w:sz w:val="28"/>
          <w:szCs w:val="28"/>
        </w:rPr>
        <w:t>国能安全[2015]36号</w:t>
      </w:r>
    </w:p>
    <w:p>
      <w:pPr>
        <w:numPr>
          <w:ilvl w:val="1"/>
          <w:numId w:val="2"/>
        </w:numPr>
        <w:spacing w:line="360" w:lineRule="auto"/>
        <w:outlineLvl w:val="1"/>
        <w:rPr>
          <w:rFonts w:ascii="宋体" w:hAnsi="宋体"/>
          <w:b/>
          <w:sz w:val="28"/>
          <w:szCs w:val="28"/>
        </w:rPr>
      </w:pPr>
      <w:r>
        <w:rPr>
          <w:rFonts w:hint="eastAsia" w:ascii="宋体" w:hAnsi="宋体"/>
          <w:b/>
          <w:sz w:val="28"/>
          <w:szCs w:val="28"/>
        </w:rPr>
        <w:t>权利和职责</w:t>
      </w:r>
      <w:bookmarkEnd w:id="3"/>
      <w:bookmarkEnd w:id="4"/>
      <w:bookmarkEnd w:id="5"/>
    </w:p>
    <w:bookmarkEnd w:id="6"/>
    <w:bookmarkEnd w:id="7"/>
    <w:bookmarkEnd w:id="8"/>
    <w:bookmarkEnd w:id="9"/>
    <w:bookmarkEnd w:id="10"/>
    <w:bookmarkEnd w:id="11"/>
    <w:p>
      <w:pPr>
        <w:spacing w:line="360" w:lineRule="auto"/>
        <w:ind w:firstLine="560" w:firstLineChars="200"/>
        <w:rPr>
          <w:rFonts w:ascii="宋体" w:hAnsi="宋体"/>
          <w:sz w:val="28"/>
          <w:szCs w:val="28"/>
        </w:rPr>
      </w:pPr>
      <w:r>
        <w:rPr>
          <w:rFonts w:hint="eastAsia" w:ascii="宋体" w:hAnsi="宋体"/>
          <w:sz w:val="28"/>
          <w:szCs w:val="28"/>
        </w:rPr>
        <w:t>为切实保障本项目的工作质量，确保测评及评估工作达到预期目标，对招标方及项目实施方双方技术工作责任约定如下：</w:t>
      </w:r>
    </w:p>
    <w:p>
      <w:pPr>
        <w:numPr>
          <w:ilvl w:val="2"/>
          <w:numId w:val="2"/>
        </w:numPr>
        <w:tabs>
          <w:tab w:val="left" w:pos="0"/>
        </w:tabs>
        <w:overflowPunct w:val="0"/>
        <w:topLinePunct/>
        <w:snapToGrid w:val="0"/>
        <w:spacing w:line="360" w:lineRule="auto"/>
        <w:ind w:left="0" w:firstLine="0"/>
        <w:outlineLvl w:val="2"/>
        <w:rPr>
          <w:rFonts w:ascii="宋体" w:hAnsi="宋体"/>
          <w:b/>
          <w:sz w:val="28"/>
          <w:szCs w:val="28"/>
        </w:rPr>
      </w:pPr>
      <w:r>
        <w:rPr>
          <w:rFonts w:hint="eastAsia" w:ascii="宋体" w:hAnsi="宋体"/>
          <w:b/>
          <w:sz w:val="28"/>
          <w:szCs w:val="28"/>
        </w:rPr>
        <w:t>招标方责任</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负责测评实施过程中同相关单位和部门的协调。</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为</w:t>
      </w:r>
      <w:r>
        <w:rPr>
          <w:rFonts w:hint="eastAsia" w:ascii="宋体" w:hAnsi="宋体"/>
          <w:sz w:val="28"/>
          <w:szCs w:val="28"/>
        </w:rPr>
        <w:t>项目实施方</w:t>
      </w:r>
      <w:r>
        <w:rPr>
          <w:rFonts w:hint="eastAsia" w:ascii="宋体" w:hAnsi="宋体" w:cs="宋体"/>
          <w:sz w:val="28"/>
          <w:szCs w:val="28"/>
        </w:rPr>
        <w:t>提供良好的工作场地和环境。</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按工作要求提供相关的资料和信息。</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准备应急措施，负责实施过程中的紧急情况的处理。</w:t>
      </w:r>
    </w:p>
    <w:p>
      <w:pPr>
        <w:numPr>
          <w:ilvl w:val="2"/>
          <w:numId w:val="2"/>
        </w:numPr>
        <w:tabs>
          <w:tab w:val="left" w:pos="0"/>
        </w:tabs>
        <w:overflowPunct w:val="0"/>
        <w:topLinePunct/>
        <w:snapToGrid w:val="0"/>
        <w:spacing w:line="360" w:lineRule="auto"/>
        <w:ind w:left="0" w:firstLine="0"/>
        <w:outlineLvl w:val="2"/>
        <w:rPr>
          <w:rFonts w:ascii="宋体" w:hAnsi="宋体"/>
          <w:b/>
          <w:sz w:val="28"/>
          <w:szCs w:val="28"/>
        </w:rPr>
      </w:pPr>
      <w:r>
        <w:rPr>
          <w:rFonts w:hint="eastAsia" w:ascii="宋体" w:hAnsi="宋体"/>
          <w:b/>
          <w:sz w:val="28"/>
          <w:szCs w:val="28"/>
        </w:rPr>
        <w:t>项目实施方责任</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按照招标方工作章程开展工作。</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项目内容的变更及时与招标方代表沟通。</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按照协议要求提供技术服务和成果。</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确保测评及评估工作质量。</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配合招标方准备应急预案和实施过程中的紧急情况处理。</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负责按时完成所有工作。</w:t>
      </w:r>
    </w:p>
    <w:p>
      <w:pPr>
        <w:spacing w:before="156" w:beforeLines="50" w:after="156" w:afterLines="50" w:line="360" w:lineRule="auto"/>
        <w:ind w:firstLine="560" w:firstLineChars="200"/>
        <w:rPr>
          <w:rFonts w:ascii="宋体" w:hAnsi="宋体"/>
          <w:sz w:val="28"/>
          <w:szCs w:val="28"/>
        </w:rPr>
      </w:pPr>
      <w:r>
        <w:rPr>
          <w:rFonts w:hint="eastAsia" w:ascii="宋体" w:hAnsi="宋体"/>
          <w:sz w:val="28"/>
          <w:szCs w:val="28"/>
        </w:rPr>
        <w:t>同时，双方都必须遵循保密要求。</w:t>
      </w:r>
    </w:p>
    <w:p>
      <w:pPr>
        <w:numPr>
          <w:ilvl w:val="1"/>
          <w:numId w:val="2"/>
        </w:numPr>
        <w:spacing w:line="360" w:lineRule="auto"/>
        <w:outlineLvl w:val="1"/>
        <w:rPr>
          <w:rFonts w:ascii="宋体" w:hAnsi="宋体"/>
          <w:b/>
          <w:sz w:val="28"/>
          <w:szCs w:val="28"/>
        </w:rPr>
      </w:pPr>
      <w:bookmarkStart w:id="12" w:name="_Toc311015400"/>
      <w:bookmarkStart w:id="13" w:name="_Toc287704423"/>
      <w:r>
        <w:rPr>
          <w:rFonts w:hint="eastAsia" w:ascii="宋体" w:hAnsi="宋体"/>
          <w:b/>
          <w:sz w:val="28"/>
          <w:szCs w:val="28"/>
        </w:rPr>
        <w:t>项目范围</w:t>
      </w:r>
      <w:bookmarkEnd w:id="12"/>
    </w:p>
    <w:p>
      <w:pPr>
        <w:spacing w:line="360" w:lineRule="auto"/>
        <w:ind w:firstLine="560" w:firstLineChars="200"/>
        <w:rPr>
          <w:rFonts w:ascii="宋体" w:hAnsi="宋体"/>
          <w:color w:val="000000"/>
          <w:sz w:val="28"/>
          <w:szCs w:val="28"/>
        </w:rPr>
      </w:pPr>
      <w:bookmarkStart w:id="14" w:name="_Toc311015401"/>
      <w:r>
        <w:rPr>
          <w:rFonts w:hint="eastAsia" w:ascii="宋体" w:hAnsi="宋体"/>
          <w:color w:val="000000"/>
          <w:sz w:val="28"/>
          <w:szCs w:val="28"/>
        </w:rPr>
        <w:t>电力监控系统信息安全等级保护测评与安全防护评估范围如下：</w:t>
      </w:r>
    </w:p>
    <w:p>
      <w:pPr>
        <w:spacing w:line="360" w:lineRule="auto"/>
        <w:ind w:firstLine="560" w:firstLineChars="200"/>
        <w:rPr>
          <w:rFonts w:ascii="宋体" w:hAnsi="宋体"/>
          <w:color w:val="000000"/>
          <w:sz w:val="28"/>
          <w:szCs w:val="28"/>
        </w:rPr>
      </w:pPr>
      <w:r>
        <w:rPr>
          <w:rFonts w:hint="eastAsia" w:ascii="宋体" w:hAnsi="宋体"/>
          <w:color w:val="000000"/>
          <w:sz w:val="28"/>
          <w:szCs w:val="28"/>
        </w:rPr>
        <w:t>（1）本次项目安全服务具体招标范围包括：对</w:t>
      </w:r>
      <w:r>
        <w:rPr>
          <w:rFonts w:hint="eastAsia" w:ascii="宋体" w:hAnsi="宋体"/>
          <w:color w:val="000000"/>
          <w:sz w:val="28"/>
          <w:szCs w:val="28"/>
          <w:lang w:eastAsia="zh-CN"/>
        </w:rPr>
        <w:t>XXX</w:t>
      </w:r>
      <w:r>
        <w:rPr>
          <w:rFonts w:hint="eastAsia" w:ascii="宋体" w:hAnsi="宋体"/>
          <w:color w:val="000000"/>
          <w:sz w:val="28"/>
          <w:szCs w:val="28"/>
          <w:lang w:val="en-US" w:eastAsia="zh-CN"/>
        </w:rPr>
        <w:t>系统</w:t>
      </w:r>
      <w:r>
        <w:rPr>
          <w:rFonts w:hint="eastAsia" w:ascii="宋体" w:hAnsi="宋体"/>
          <w:color w:val="000000"/>
          <w:sz w:val="28"/>
          <w:szCs w:val="28"/>
        </w:rPr>
        <w:t>、</w:t>
      </w:r>
      <w:r>
        <w:rPr>
          <w:rFonts w:hint="eastAsia" w:ascii="宋体" w:hAnsi="宋体"/>
          <w:color w:val="000000"/>
          <w:sz w:val="28"/>
          <w:szCs w:val="28"/>
          <w:lang w:eastAsia="zh-CN"/>
        </w:rPr>
        <w:t>XXX</w:t>
      </w:r>
      <w:r>
        <w:rPr>
          <w:rFonts w:hint="eastAsia" w:ascii="宋体" w:hAnsi="宋体"/>
          <w:color w:val="000000"/>
          <w:sz w:val="28"/>
          <w:szCs w:val="28"/>
          <w:lang w:val="en-US" w:eastAsia="zh-CN"/>
        </w:rPr>
        <w:t>系统</w:t>
      </w:r>
      <w:r>
        <w:rPr>
          <w:rFonts w:hint="eastAsia" w:ascii="宋体" w:hAnsi="宋体"/>
          <w:color w:val="000000"/>
          <w:sz w:val="28"/>
          <w:szCs w:val="28"/>
        </w:rPr>
        <w:t>，开展等级保护定级、备案、等级测评、安全防护评估、安全整改方案设计和系统安全加固服务。</w:t>
      </w:r>
    </w:p>
    <w:p>
      <w:pPr>
        <w:spacing w:line="360" w:lineRule="auto"/>
        <w:ind w:firstLine="560" w:firstLineChars="200"/>
        <w:rPr>
          <w:rFonts w:ascii="宋体" w:hAnsi="宋体"/>
          <w:sz w:val="28"/>
          <w:szCs w:val="28"/>
        </w:rPr>
      </w:pPr>
      <w:r>
        <w:rPr>
          <w:rFonts w:hint="eastAsia" w:ascii="宋体" w:hAnsi="宋体"/>
          <w:sz w:val="28"/>
          <w:szCs w:val="28"/>
        </w:rPr>
        <w:t>（2）电力监控系统等级保护测评工作需提交主管部门及监管机关认可的等级保护测评报告，电力监控系统安全防护评估工作交付物为主管部门及监管机关认可的安全防护评估报告。等级保护测评及安全防护评估报告必须于2021年4月30日完成。</w:t>
      </w:r>
    </w:p>
    <w:p>
      <w:pPr>
        <w:spacing w:line="360" w:lineRule="auto"/>
        <w:ind w:firstLine="560" w:firstLineChars="200"/>
        <w:rPr>
          <w:rFonts w:ascii="宋体" w:hAnsi="宋体"/>
          <w:sz w:val="28"/>
          <w:szCs w:val="28"/>
        </w:rPr>
      </w:pPr>
      <w:r>
        <w:rPr>
          <w:rFonts w:hint="eastAsia" w:ascii="宋体" w:hAnsi="宋体"/>
          <w:color w:val="000000"/>
          <w:sz w:val="28"/>
          <w:szCs w:val="28"/>
        </w:rPr>
        <w:t>（3）根据国家等级保护相关标准，电力监控系统的安全等级保护测评共10个层面进行测评，主要包括以下内容：</w:t>
      </w:r>
    </w:p>
    <w:p>
      <w:pPr>
        <w:overflowPunct w:val="0"/>
        <w:topLinePunct/>
        <w:snapToGrid w:val="0"/>
        <w:spacing w:line="360" w:lineRule="auto"/>
        <w:ind w:firstLine="560" w:firstLineChars="200"/>
        <w:rPr>
          <w:rFonts w:ascii="宋体" w:hAnsi="宋体"/>
          <w:bCs/>
          <w:color w:val="000000"/>
          <w:sz w:val="28"/>
          <w:szCs w:val="28"/>
        </w:rPr>
      </w:pPr>
      <w:r>
        <w:rPr>
          <w:rFonts w:hint="eastAsia" w:ascii="宋体" w:hAnsi="宋体"/>
          <w:bCs/>
          <w:color w:val="000000"/>
          <w:sz w:val="28"/>
          <w:szCs w:val="28"/>
        </w:rPr>
        <w:t>安全技术测评：包括安全物理环境、安全通信网络、安全区域边界、安全计算环境和安全管理中心等五个方面的安全测评；</w:t>
      </w:r>
    </w:p>
    <w:p>
      <w:pPr>
        <w:overflowPunct w:val="0"/>
        <w:topLinePunct/>
        <w:snapToGrid w:val="0"/>
        <w:spacing w:line="360" w:lineRule="auto"/>
        <w:ind w:firstLine="560" w:firstLineChars="200"/>
        <w:rPr>
          <w:rFonts w:ascii="宋体" w:hAnsi="宋体"/>
          <w:bCs/>
          <w:color w:val="000000"/>
          <w:sz w:val="28"/>
          <w:szCs w:val="28"/>
        </w:rPr>
      </w:pPr>
      <w:r>
        <w:rPr>
          <w:rFonts w:hint="eastAsia" w:ascii="宋体" w:hAnsi="宋体"/>
          <w:bCs/>
          <w:color w:val="000000"/>
          <w:sz w:val="28"/>
          <w:szCs w:val="28"/>
        </w:rPr>
        <w:t>安全管理测评：安全管理制度、安全管理机构、安全管理人员、安全建设管理和安全运维管理等五个方面的安全测评；</w:t>
      </w:r>
    </w:p>
    <w:p>
      <w:pPr>
        <w:overflowPunct w:val="0"/>
        <w:topLinePunct/>
        <w:snapToGrid w:val="0"/>
        <w:spacing w:line="360" w:lineRule="auto"/>
        <w:ind w:firstLine="560" w:firstLineChars="200"/>
        <w:rPr>
          <w:rFonts w:hint="eastAsia" w:ascii="宋体" w:hAnsi="宋体"/>
          <w:sz w:val="28"/>
          <w:szCs w:val="28"/>
        </w:rPr>
      </w:pPr>
      <w:r>
        <w:rPr>
          <w:rFonts w:ascii="宋体" w:hAnsi="宋体"/>
          <w:sz w:val="28"/>
          <w:szCs w:val="28"/>
        </w:rPr>
        <w:t>电力</w:t>
      </w:r>
      <w:r>
        <w:rPr>
          <w:rFonts w:hint="eastAsia" w:ascii="宋体" w:hAnsi="宋体"/>
          <w:color w:val="000000"/>
          <w:sz w:val="28"/>
          <w:szCs w:val="28"/>
        </w:rPr>
        <w:t>监控系统</w:t>
      </w:r>
      <w:r>
        <w:rPr>
          <w:rFonts w:ascii="宋体" w:hAnsi="宋体"/>
          <w:sz w:val="28"/>
          <w:szCs w:val="28"/>
        </w:rPr>
        <w:t>安全防护评估的主要内容包括：资产评估、威胁评估、脆弱性评估</w:t>
      </w:r>
      <w:r>
        <w:rPr>
          <w:rFonts w:hint="eastAsia" w:ascii="宋体" w:hAnsi="宋体"/>
          <w:sz w:val="28"/>
          <w:szCs w:val="28"/>
        </w:rPr>
        <w:t>、</w:t>
      </w:r>
      <w:r>
        <w:rPr>
          <w:rFonts w:hint="eastAsia"/>
          <w:sz w:val="28"/>
          <w:szCs w:val="28"/>
        </w:rPr>
        <w:t>现有安全措施有效性评估、</w:t>
      </w:r>
      <w:r>
        <w:rPr>
          <w:rFonts w:hint="eastAsia"/>
          <w:bCs/>
          <w:sz w:val="28"/>
          <w:szCs w:val="28"/>
        </w:rPr>
        <w:t>白客渗透检测、终端检测、外设检测</w:t>
      </w:r>
      <w:r>
        <w:rPr>
          <w:rFonts w:ascii="宋体" w:hAnsi="宋体"/>
          <w:sz w:val="28"/>
          <w:szCs w:val="28"/>
        </w:rPr>
        <w:t>等</w:t>
      </w:r>
      <w:r>
        <w:rPr>
          <w:rFonts w:hint="eastAsia" w:ascii="宋体" w:hAnsi="宋体"/>
          <w:sz w:val="28"/>
          <w:szCs w:val="28"/>
        </w:rPr>
        <w:t>。</w:t>
      </w:r>
    </w:p>
    <w:p>
      <w:pPr>
        <w:overflowPunct w:val="0"/>
        <w:topLinePunct/>
        <w:snapToGrid w:val="0"/>
        <w:spacing w:line="360" w:lineRule="auto"/>
        <w:ind w:firstLine="560" w:firstLineChars="200"/>
        <w:rPr>
          <w:rFonts w:ascii="宋体" w:hAnsi="宋体"/>
          <w:bCs/>
          <w:sz w:val="28"/>
          <w:szCs w:val="28"/>
        </w:rPr>
      </w:pPr>
      <w:r>
        <w:rPr>
          <w:rFonts w:hint="eastAsia" w:ascii="宋体" w:hAnsi="宋体"/>
          <w:bCs/>
          <w:sz w:val="28"/>
          <w:szCs w:val="28"/>
        </w:rPr>
        <w:t>针对移动互联、工业控制系统提出了特殊要求，称为安全扩展要求，检查内容包括：</w:t>
      </w:r>
    </w:p>
    <w:p>
      <w:pPr>
        <w:overflowPunct w:val="0"/>
        <w:topLinePunct/>
        <w:snapToGrid w:val="0"/>
        <w:spacing w:line="360" w:lineRule="auto"/>
        <w:ind w:firstLine="560" w:firstLineChars="200"/>
        <w:rPr>
          <w:rFonts w:ascii="宋体" w:hAnsi="宋体"/>
          <w:bCs/>
          <w:sz w:val="28"/>
          <w:szCs w:val="28"/>
        </w:rPr>
      </w:pPr>
      <w:r>
        <w:rPr>
          <w:rFonts w:hint="eastAsia" w:ascii="宋体" w:hAnsi="宋体"/>
          <w:bCs/>
          <w:sz w:val="28"/>
          <w:szCs w:val="28"/>
        </w:rPr>
        <w:t>移动互联扩展要求：无线接入点的物理位置、边界防护、访问控制、入侵防范、移动终端管控、移动应用管控、移动应用软件采购、移动应用软件开发、配置管理。</w:t>
      </w:r>
    </w:p>
    <w:p>
      <w:pPr>
        <w:overflowPunct w:val="0"/>
        <w:topLinePunct/>
        <w:snapToGrid w:val="0"/>
        <w:spacing w:line="360" w:lineRule="auto"/>
        <w:ind w:firstLine="560" w:firstLineChars="200"/>
      </w:pPr>
      <w:r>
        <w:rPr>
          <w:rFonts w:hint="eastAsia" w:ascii="宋体" w:hAnsi="宋体"/>
          <w:bCs/>
          <w:sz w:val="28"/>
          <w:szCs w:val="28"/>
        </w:rPr>
        <w:t>工业控制扩展要求：室外控制设备物理防护、网络架构、通信传输、访问控制、拨号使用控制、无线使用控制、控制设备安全、产品采购和使用、外包软件开发。</w:t>
      </w:r>
    </w:p>
    <w:tbl>
      <w:tblPr>
        <w:tblStyle w:val="17"/>
        <w:tblW w:w="95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1551"/>
        <w:gridCol w:w="6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464" w:type="dxa"/>
            <w:shd w:val="clear" w:color="auto" w:fill="auto"/>
            <w:vAlign w:val="center"/>
          </w:tcPr>
          <w:p>
            <w:pPr>
              <w:widowControl/>
              <w:spacing w:line="360" w:lineRule="auto"/>
              <w:jc w:val="center"/>
              <w:rPr>
                <w:rFonts w:ascii="宋体" w:hAnsi="宋体" w:cs="宋体"/>
                <w:sz w:val="24"/>
                <w:szCs w:val="24"/>
              </w:rPr>
            </w:pPr>
            <w:r>
              <w:rPr>
                <w:rFonts w:hint="eastAsia" w:ascii="宋体" w:hAnsi="宋体" w:cs="宋体"/>
                <w:sz w:val="24"/>
                <w:szCs w:val="24"/>
              </w:rPr>
              <w:t>项目</w:t>
            </w:r>
          </w:p>
        </w:tc>
        <w:tc>
          <w:tcPr>
            <w:tcW w:w="1551" w:type="dxa"/>
            <w:vAlign w:val="center"/>
          </w:tcPr>
          <w:p>
            <w:pPr>
              <w:widowControl/>
              <w:spacing w:line="360" w:lineRule="auto"/>
              <w:jc w:val="center"/>
              <w:rPr>
                <w:rFonts w:ascii="宋体" w:hAnsi="宋体" w:cs="宋体"/>
                <w:sz w:val="24"/>
                <w:szCs w:val="24"/>
              </w:rPr>
            </w:pPr>
            <w:r>
              <w:rPr>
                <w:rFonts w:hint="eastAsia" w:ascii="宋体" w:hAnsi="宋体" w:cs="宋体"/>
                <w:sz w:val="24"/>
                <w:szCs w:val="24"/>
              </w:rPr>
              <w:t>服务内容</w:t>
            </w:r>
          </w:p>
        </w:tc>
        <w:tc>
          <w:tcPr>
            <w:tcW w:w="6529" w:type="dxa"/>
            <w:shd w:val="clear" w:color="auto" w:fill="auto"/>
            <w:vAlign w:val="center"/>
          </w:tcPr>
          <w:p>
            <w:pPr>
              <w:widowControl/>
              <w:spacing w:line="360" w:lineRule="auto"/>
              <w:jc w:val="center"/>
              <w:rPr>
                <w:rFonts w:ascii="宋体" w:hAnsi="宋体" w:cs="宋体"/>
                <w:sz w:val="24"/>
                <w:szCs w:val="24"/>
              </w:rPr>
            </w:pPr>
            <w:r>
              <w:rPr>
                <w:rFonts w:hint="eastAsia" w:ascii="宋体" w:hAnsi="宋体" w:cs="宋体"/>
                <w:sz w:val="24"/>
                <w:szCs w:val="24"/>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464" w:type="dxa"/>
            <w:vMerge w:val="restart"/>
            <w:shd w:val="clear" w:color="auto" w:fill="auto"/>
            <w:vAlign w:val="center"/>
          </w:tcPr>
          <w:p>
            <w:pPr>
              <w:widowControl/>
              <w:spacing w:line="360" w:lineRule="auto"/>
              <w:jc w:val="center"/>
              <w:rPr>
                <w:rFonts w:ascii="宋体" w:hAnsi="宋体" w:cs="宋体"/>
                <w:sz w:val="24"/>
                <w:szCs w:val="24"/>
              </w:rPr>
            </w:pPr>
            <w:r>
              <w:rPr>
                <w:rFonts w:hint="eastAsia" w:ascii="宋体" w:hAnsi="宋体" w:cs="宋体"/>
                <w:sz w:val="24"/>
                <w:szCs w:val="24"/>
              </w:rPr>
              <w:t>等级测评</w:t>
            </w: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项目准备及现场调研</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协助对信息系统物理环境、网络、终端、数据、安全管理等进行调研。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jc w:val="center"/>
        </w:trPr>
        <w:tc>
          <w:tcPr>
            <w:tcW w:w="1464" w:type="dxa"/>
            <w:vMerge w:val="continue"/>
            <w:shd w:val="clear" w:color="auto" w:fill="auto"/>
            <w:vAlign w:val="center"/>
          </w:tcPr>
          <w:p>
            <w:pPr>
              <w:widowControl/>
              <w:spacing w:line="360" w:lineRule="auto"/>
              <w:jc w:val="center"/>
              <w:rPr>
                <w:rFonts w:ascii="宋体" w:hAnsi="宋体" w:cs="宋体"/>
                <w:sz w:val="24"/>
                <w:szCs w:val="24"/>
              </w:rPr>
            </w:pP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lang w:eastAsia="zh-CN"/>
              </w:rPr>
              <w:t>XXX</w:t>
            </w:r>
            <w:r>
              <w:rPr>
                <w:rFonts w:hint="eastAsia" w:ascii="宋体" w:hAnsi="宋体" w:cs="宋体"/>
                <w:sz w:val="24"/>
                <w:szCs w:val="24"/>
              </w:rPr>
              <w:t>系统、</w:t>
            </w:r>
            <w:r>
              <w:rPr>
                <w:rFonts w:hint="eastAsia" w:ascii="宋体" w:hAnsi="宋体" w:cs="宋体"/>
                <w:sz w:val="24"/>
                <w:szCs w:val="24"/>
                <w:lang w:eastAsia="zh-CN"/>
              </w:rPr>
              <w:t>XXX</w:t>
            </w:r>
            <w:r>
              <w:rPr>
                <w:rFonts w:hint="eastAsia" w:ascii="宋体" w:hAnsi="宋体" w:cs="宋体"/>
                <w:sz w:val="24"/>
                <w:szCs w:val="24"/>
              </w:rPr>
              <w:t>系统、</w:t>
            </w:r>
            <w:r>
              <w:rPr>
                <w:rFonts w:hint="eastAsia" w:ascii="宋体" w:hAnsi="宋体" w:cs="宋体"/>
                <w:sz w:val="24"/>
                <w:szCs w:val="24"/>
                <w:lang w:eastAsia="zh-CN"/>
              </w:rPr>
              <w:t>XXX</w:t>
            </w:r>
            <w:r>
              <w:rPr>
                <w:rFonts w:hint="eastAsia" w:ascii="宋体" w:hAnsi="宋体" w:cs="宋体"/>
                <w:sz w:val="24"/>
                <w:szCs w:val="24"/>
                <w:lang w:val="en-US" w:eastAsia="zh-CN"/>
              </w:rPr>
              <w:t>系统</w:t>
            </w:r>
            <w:r>
              <w:rPr>
                <w:rFonts w:hint="eastAsia" w:ascii="宋体" w:hAnsi="宋体" w:cs="宋体"/>
                <w:sz w:val="24"/>
                <w:szCs w:val="24"/>
              </w:rPr>
              <w:t>定级、备案</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疏理信息系统定级工作，完成信息系统定级报告及定级材料的准备；</w:t>
            </w:r>
            <w:r>
              <w:rPr>
                <w:rFonts w:hint="eastAsia" w:ascii="宋体" w:hAnsi="宋体" w:cs="宋体"/>
                <w:sz w:val="24"/>
                <w:szCs w:val="24"/>
              </w:rPr>
              <w:br w:type="textWrapping"/>
            </w:r>
            <w:r>
              <w:rPr>
                <w:rFonts w:hint="eastAsia" w:ascii="宋体" w:hAnsi="宋体" w:cs="宋体"/>
                <w:sz w:val="24"/>
                <w:szCs w:val="24"/>
              </w:rPr>
              <w:t>整理、补充信息系统备案所有相关的文档，完成相应信息系统等级保护备案工作，然后送到所属地市公安机关备案。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jc w:val="center"/>
        </w:trPr>
        <w:tc>
          <w:tcPr>
            <w:tcW w:w="1464" w:type="dxa"/>
            <w:vMerge w:val="continue"/>
            <w:shd w:val="clear" w:color="auto" w:fill="auto"/>
            <w:vAlign w:val="center"/>
          </w:tcPr>
          <w:p>
            <w:pPr>
              <w:widowControl/>
              <w:spacing w:line="360" w:lineRule="auto"/>
              <w:jc w:val="center"/>
              <w:rPr>
                <w:rFonts w:ascii="宋体" w:hAnsi="宋体" w:cs="宋体"/>
                <w:sz w:val="24"/>
                <w:szCs w:val="24"/>
              </w:rPr>
            </w:pP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信息系统差距分析</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对定级的信息系统，依照</w:t>
            </w:r>
            <w:r>
              <w:rPr>
                <w:rFonts w:hint="eastAsia" w:ascii="宋体" w:hAnsi="宋体"/>
                <w:bCs/>
                <w:sz w:val="24"/>
                <w:szCs w:val="24"/>
              </w:rPr>
              <w:t>《GBT 22240-2020)信息安全技术网络安全等级保护定级指南》</w:t>
            </w:r>
            <w:r>
              <w:rPr>
                <w:rFonts w:hint="eastAsia" w:ascii="宋体" w:hAnsi="宋体" w:cs="宋体"/>
                <w:sz w:val="24"/>
                <w:szCs w:val="24"/>
              </w:rPr>
              <w:t>进行逐个对照，分析信息系统安全情况与等级保护基本要求的差距，完成信息系统等级保护差距分析报告。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464" w:type="dxa"/>
            <w:vMerge w:val="continue"/>
            <w:shd w:val="clear" w:color="auto" w:fill="auto"/>
            <w:vAlign w:val="center"/>
          </w:tcPr>
          <w:p>
            <w:pPr>
              <w:widowControl/>
              <w:spacing w:line="360" w:lineRule="auto"/>
              <w:jc w:val="center"/>
              <w:rPr>
                <w:rFonts w:ascii="宋体" w:hAnsi="宋体" w:cs="宋体"/>
                <w:sz w:val="24"/>
                <w:szCs w:val="24"/>
              </w:rPr>
            </w:pP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等级保护安全整改</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委派专业的信息安全网络评估师（能源）或主任审核员；按照《信息系统安全等级保护基本要求》协助落实相关的等级保护建设整改工作，等级保护整改实施具体内容包括安全管理制度修订、安全技术整改、形成安全配置基线、进行安全增强配置和调试工作、实施等保相关培训、安全风险管理工作落实等工作内容，提升信息系统的安全防护能力，确保信息系统满足国家等级保护相应等级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8" w:hRule="atLeast"/>
          <w:jc w:val="center"/>
        </w:trPr>
        <w:tc>
          <w:tcPr>
            <w:tcW w:w="1464" w:type="dxa"/>
            <w:vMerge w:val="continue"/>
            <w:shd w:val="clear" w:color="auto" w:fill="auto"/>
            <w:vAlign w:val="center"/>
          </w:tcPr>
          <w:p>
            <w:pPr>
              <w:widowControl/>
              <w:spacing w:line="360" w:lineRule="auto"/>
              <w:jc w:val="center"/>
              <w:rPr>
                <w:rFonts w:ascii="宋体" w:hAnsi="宋体" w:cs="宋体"/>
                <w:sz w:val="24"/>
                <w:szCs w:val="24"/>
              </w:rPr>
            </w:pP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等级保护测评</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 xml:space="preserve">参照《GBT 22239-2019 信息安全技术 网络安全等级保护基本要求》和《GB T 28448-2019 信息安全技术 网络安全等级保护测评要求》等标准规范要求，对信息系统开展信息系统等级保护测评工作。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jc w:val="center"/>
        </w:trPr>
        <w:tc>
          <w:tcPr>
            <w:tcW w:w="1464" w:type="dxa"/>
            <w:vMerge w:val="continue"/>
            <w:shd w:val="clear" w:color="auto" w:fill="auto"/>
            <w:vAlign w:val="center"/>
          </w:tcPr>
          <w:p>
            <w:pPr>
              <w:widowControl/>
              <w:spacing w:line="360" w:lineRule="auto"/>
              <w:jc w:val="center"/>
              <w:rPr>
                <w:rFonts w:ascii="宋体" w:hAnsi="宋体" w:cs="宋体"/>
                <w:sz w:val="24"/>
                <w:szCs w:val="24"/>
              </w:rPr>
            </w:pP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输出《信息系统等级保护测评报告》</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服务目标为通过公安部门的等级保护检查，输出《信息系统等级保护测评报告》 协助用户取得公安机关备案证明。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jc w:val="center"/>
        </w:trPr>
        <w:tc>
          <w:tcPr>
            <w:tcW w:w="1464" w:type="dxa"/>
            <w:vMerge w:val="restart"/>
            <w:shd w:val="clear" w:color="auto" w:fill="auto"/>
            <w:vAlign w:val="center"/>
          </w:tcPr>
          <w:p>
            <w:pPr>
              <w:widowControl/>
              <w:spacing w:line="360" w:lineRule="auto"/>
              <w:jc w:val="center"/>
              <w:rPr>
                <w:rFonts w:ascii="宋体" w:hAnsi="宋体" w:cs="宋体"/>
                <w:sz w:val="24"/>
                <w:szCs w:val="24"/>
              </w:rPr>
            </w:pPr>
            <w:r>
              <w:rPr>
                <w:rFonts w:hint="eastAsia" w:ascii="宋体" w:hAnsi="宋体" w:cs="宋体"/>
                <w:sz w:val="24"/>
                <w:szCs w:val="24"/>
              </w:rPr>
              <w:t>电力监控系统、</w:t>
            </w:r>
            <w:r>
              <w:rPr>
                <w:rFonts w:hint="eastAsia" w:ascii="宋体" w:hAnsi="宋体" w:cs="宋体"/>
                <w:sz w:val="24"/>
                <w:szCs w:val="24"/>
                <w:lang w:eastAsia="zh-CN"/>
              </w:rPr>
              <w:t>XXX</w:t>
            </w:r>
            <w:r>
              <w:rPr>
                <w:rFonts w:hint="eastAsia" w:ascii="宋体" w:hAnsi="宋体" w:cs="宋体"/>
                <w:sz w:val="24"/>
                <w:szCs w:val="24"/>
                <w:lang w:val="en-US" w:eastAsia="zh-CN"/>
              </w:rPr>
              <w:t>系统</w:t>
            </w:r>
            <w:r>
              <w:rPr>
                <w:rFonts w:hint="eastAsia" w:ascii="宋体" w:hAnsi="宋体" w:cs="宋体"/>
                <w:sz w:val="24"/>
                <w:szCs w:val="24"/>
              </w:rPr>
              <w:t>、网络安全监测装置接入业务系统安全防护评估</w:t>
            </w: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编制防护评估方案</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依据《电力监控系统安全防护总体方案》（国能安全[2015]36号配套文件） 编制方案评估方案。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jc w:val="center"/>
        </w:trPr>
        <w:tc>
          <w:tcPr>
            <w:tcW w:w="1464" w:type="dxa"/>
            <w:vMerge w:val="continue"/>
            <w:shd w:val="clear" w:color="auto" w:fill="auto"/>
            <w:vAlign w:val="center"/>
          </w:tcPr>
          <w:p>
            <w:pPr>
              <w:widowControl/>
              <w:spacing w:line="360" w:lineRule="auto"/>
              <w:jc w:val="left"/>
              <w:rPr>
                <w:rFonts w:ascii="宋体" w:hAnsi="宋体" w:cs="宋体"/>
                <w:sz w:val="24"/>
                <w:szCs w:val="24"/>
              </w:rPr>
            </w:pP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安全防护评估</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安全防护评估范围</w:t>
            </w:r>
          </w:p>
          <w:p>
            <w:pPr>
              <w:widowControl/>
              <w:spacing w:line="360" w:lineRule="auto"/>
              <w:jc w:val="left"/>
              <w:rPr>
                <w:rFonts w:ascii="宋体" w:hAnsi="宋体" w:cs="宋体"/>
                <w:sz w:val="24"/>
                <w:szCs w:val="24"/>
              </w:rPr>
            </w:pPr>
            <w:r>
              <w:rPr>
                <w:rFonts w:hint="eastAsia" w:ascii="宋体" w:hAnsi="宋体" w:cs="宋体"/>
                <w:sz w:val="24"/>
                <w:szCs w:val="24"/>
              </w:rPr>
              <w:t>一是技术安全评估，二是管理安全评估。其中技术安全评估主要包括物理安全、网络安全、主机安全、应用安全和数据安全等五个层面，管理安全评估包括安全管理机构、管理制度、人员安全、系统建设管理和系统运维管理。</w:t>
            </w:r>
          </w:p>
          <w:p>
            <w:pPr>
              <w:widowControl/>
              <w:spacing w:line="360" w:lineRule="auto"/>
              <w:jc w:val="left"/>
              <w:rPr>
                <w:rFonts w:ascii="宋体" w:hAnsi="宋体" w:cs="宋体"/>
                <w:sz w:val="24"/>
                <w:szCs w:val="24"/>
              </w:rPr>
            </w:pPr>
            <w:r>
              <w:rPr>
                <w:rFonts w:hint="eastAsia" w:ascii="宋体" w:hAnsi="宋体" w:cs="宋体"/>
                <w:sz w:val="24"/>
                <w:szCs w:val="24"/>
              </w:rPr>
              <w:t>本次安全评估工作包括体系结构分析、资产分析、威胁分析、脆弱性分析、已有安全措施分析和风险分析。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jc w:val="center"/>
        </w:trPr>
        <w:tc>
          <w:tcPr>
            <w:tcW w:w="1464" w:type="dxa"/>
            <w:vMerge w:val="continue"/>
            <w:shd w:val="clear" w:color="auto" w:fill="auto"/>
            <w:vAlign w:val="center"/>
          </w:tcPr>
          <w:p>
            <w:pPr>
              <w:widowControl/>
              <w:spacing w:line="360" w:lineRule="auto"/>
              <w:jc w:val="left"/>
              <w:rPr>
                <w:rFonts w:ascii="宋体" w:hAnsi="宋体" w:cs="宋体"/>
                <w:sz w:val="24"/>
                <w:szCs w:val="24"/>
              </w:rPr>
            </w:pPr>
          </w:p>
        </w:tc>
        <w:tc>
          <w:tcPr>
            <w:tcW w:w="1551" w:type="dxa"/>
            <w:vAlign w:val="center"/>
          </w:tcPr>
          <w:p>
            <w:pPr>
              <w:widowControl/>
              <w:spacing w:line="360" w:lineRule="auto"/>
              <w:jc w:val="left"/>
              <w:rPr>
                <w:rFonts w:ascii="宋体" w:hAnsi="宋体" w:cs="宋体"/>
                <w:sz w:val="24"/>
                <w:szCs w:val="24"/>
              </w:rPr>
            </w:pPr>
            <w:r>
              <w:rPr>
                <w:rFonts w:hint="eastAsia" w:ascii="宋体" w:hAnsi="宋体" w:cs="宋体"/>
                <w:sz w:val="24"/>
                <w:szCs w:val="24"/>
              </w:rPr>
              <w:t>出具防护评估报告</w:t>
            </w:r>
          </w:p>
        </w:tc>
        <w:tc>
          <w:tcPr>
            <w:tcW w:w="6529" w:type="dxa"/>
            <w:shd w:val="clear" w:color="auto" w:fill="auto"/>
            <w:vAlign w:val="center"/>
          </w:tcPr>
          <w:p>
            <w:pPr>
              <w:widowControl/>
              <w:spacing w:line="360" w:lineRule="auto"/>
              <w:jc w:val="left"/>
              <w:rPr>
                <w:rFonts w:ascii="宋体" w:hAnsi="宋体" w:cs="宋体"/>
                <w:sz w:val="24"/>
                <w:szCs w:val="24"/>
              </w:rPr>
            </w:pPr>
            <w:r>
              <w:rPr>
                <w:rFonts w:hint="eastAsia" w:ascii="宋体" w:hAnsi="宋体" w:cs="宋体"/>
                <w:sz w:val="24"/>
                <w:szCs w:val="24"/>
              </w:rPr>
              <w:t>依据《电力监控系统安全防护评估规范》 （国能安全[2015]36号配套文件） ，编制防护评估规范。</w:t>
            </w:r>
          </w:p>
        </w:tc>
      </w:tr>
    </w:tbl>
    <w:p>
      <w:pPr>
        <w:numPr>
          <w:ilvl w:val="0"/>
          <w:numId w:val="2"/>
        </w:numPr>
        <w:spacing w:line="360" w:lineRule="auto"/>
        <w:outlineLvl w:val="0"/>
        <w:rPr>
          <w:rFonts w:ascii="宋体" w:hAnsi="宋体"/>
          <w:b/>
          <w:sz w:val="28"/>
          <w:szCs w:val="28"/>
        </w:rPr>
      </w:pPr>
      <w:r>
        <w:rPr>
          <w:rFonts w:hint="eastAsia" w:ascii="宋体" w:hAnsi="宋体"/>
          <w:b/>
          <w:sz w:val="28"/>
          <w:szCs w:val="28"/>
        </w:rPr>
        <w:t>技术规范</w:t>
      </w:r>
      <w:bookmarkEnd w:id="13"/>
      <w:bookmarkEnd w:id="14"/>
    </w:p>
    <w:p>
      <w:pPr>
        <w:numPr>
          <w:ilvl w:val="1"/>
          <w:numId w:val="2"/>
        </w:numPr>
        <w:spacing w:line="360" w:lineRule="auto"/>
        <w:outlineLvl w:val="1"/>
        <w:rPr>
          <w:rFonts w:ascii="宋体" w:hAnsi="宋体"/>
          <w:b/>
          <w:sz w:val="28"/>
          <w:szCs w:val="28"/>
        </w:rPr>
      </w:pPr>
      <w:bookmarkStart w:id="15" w:name="_Toc311015402"/>
      <w:r>
        <w:rPr>
          <w:rFonts w:hint="eastAsia" w:ascii="宋体" w:hAnsi="宋体"/>
          <w:b/>
          <w:sz w:val="28"/>
          <w:szCs w:val="28"/>
        </w:rPr>
        <w:t>测评及评估原则</w:t>
      </w:r>
      <w:bookmarkEnd w:id="15"/>
    </w:p>
    <w:p>
      <w:pPr>
        <w:overflowPunct w:val="0"/>
        <w:topLinePunct/>
        <w:snapToGrid w:val="0"/>
        <w:spacing w:line="360" w:lineRule="auto"/>
        <w:ind w:firstLine="560" w:firstLineChars="200"/>
        <w:rPr>
          <w:rFonts w:ascii="宋体" w:hAnsi="宋体"/>
          <w:sz w:val="28"/>
          <w:szCs w:val="28"/>
        </w:rPr>
      </w:pPr>
      <w:r>
        <w:rPr>
          <w:rFonts w:hint="eastAsia" w:ascii="宋体" w:hAnsi="宋体"/>
          <w:sz w:val="28"/>
          <w:szCs w:val="28"/>
        </w:rPr>
        <w:t>本项目</w:t>
      </w:r>
      <w:r>
        <w:rPr>
          <w:rFonts w:ascii="宋体" w:hAnsi="宋体"/>
          <w:sz w:val="28"/>
          <w:szCs w:val="28"/>
        </w:rPr>
        <w:t>实施方案设计与具体实施应满足以下原则：</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保密</w:t>
      </w:r>
      <w:r>
        <w:rPr>
          <w:rFonts w:hint="eastAsia" w:ascii="宋体" w:hAnsi="宋体"/>
          <w:sz w:val="28"/>
          <w:szCs w:val="28"/>
        </w:rPr>
        <w:t>性</w:t>
      </w:r>
      <w:r>
        <w:rPr>
          <w:rFonts w:ascii="宋体" w:hAnsi="宋体"/>
          <w:sz w:val="28"/>
          <w:szCs w:val="28"/>
        </w:rPr>
        <w:t>原则：</w:t>
      </w:r>
      <w:r>
        <w:rPr>
          <w:rFonts w:hint="eastAsia" w:ascii="宋体" w:hAnsi="宋体"/>
          <w:sz w:val="28"/>
          <w:szCs w:val="28"/>
        </w:rPr>
        <w:t>项目实施方</w:t>
      </w:r>
      <w:r>
        <w:rPr>
          <w:rFonts w:ascii="宋体" w:hAnsi="宋体"/>
          <w:sz w:val="28"/>
          <w:szCs w:val="28"/>
        </w:rPr>
        <w:t>应与</w:t>
      </w:r>
      <w:r>
        <w:rPr>
          <w:rFonts w:hint="eastAsia" w:ascii="宋体" w:hAnsi="宋体"/>
          <w:sz w:val="28"/>
          <w:szCs w:val="28"/>
        </w:rPr>
        <w:t>招标方签订</w:t>
      </w:r>
      <w:r>
        <w:rPr>
          <w:rFonts w:ascii="宋体" w:hAnsi="宋体"/>
          <w:sz w:val="28"/>
          <w:szCs w:val="28"/>
        </w:rPr>
        <w:t>保密协议</w:t>
      </w:r>
      <w:r>
        <w:rPr>
          <w:rFonts w:hint="eastAsia" w:ascii="宋体" w:hAnsi="宋体"/>
          <w:sz w:val="28"/>
          <w:szCs w:val="28"/>
        </w:rPr>
        <w:t>，</w:t>
      </w:r>
      <w:r>
        <w:rPr>
          <w:rFonts w:ascii="宋体" w:hAnsi="宋体"/>
          <w:sz w:val="28"/>
          <w:szCs w:val="28"/>
        </w:rPr>
        <w:t>对测评的过程数据和结果数据严格保密，未经授权不得泄露给任何单位和个人，不得利用此数据侵害</w:t>
      </w:r>
      <w:r>
        <w:rPr>
          <w:rFonts w:hint="eastAsia" w:ascii="宋体" w:hAnsi="宋体"/>
          <w:sz w:val="28"/>
          <w:szCs w:val="28"/>
        </w:rPr>
        <w:t>招标方的权益</w:t>
      </w:r>
      <w:r>
        <w:rPr>
          <w:rFonts w:ascii="宋体" w:hAnsi="宋体"/>
          <w:sz w:val="28"/>
          <w:szCs w:val="28"/>
        </w:rPr>
        <w:t>，否则</w:t>
      </w:r>
      <w:r>
        <w:rPr>
          <w:rFonts w:hint="eastAsia" w:ascii="宋体" w:hAnsi="宋体"/>
          <w:sz w:val="28"/>
          <w:szCs w:val="28"/>
        </w:rPr>
        <w:t>招标方</w:t>
      </w:r>
      <w:r>
        <w:rPr>
          <w:rFonts w:ascii="宋体" w:hAnsi="宋体"/>
          <w:sz w:val="28"/>
          <w:szCs w:val="28"/>
        </w:rPr>
        <w:t>有权追究</w:t>
      </w:r>
      <w:r>
        <w:rPr>
          <w:rFonts w:hint="eastAsia" w:ascii="宋体" w:hAnsi="宋体"/>
          <w:sz w:val="28"/>
          <w:szCs w:val="28"/>
        </w:rPr>
        <w:t>投标方</w:t>
      </w:r>
      <w:r>
        <w:rPr>
          <w:rFonts w:ascii="宋体" w:hAnsi="宋体"/>
          <w:sz w:val="28"/>
          <w:szCs w:val="28"/>
        </w:rPr>
        <w:t>的责任。</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标准性原则：测评</w:t>
      </w:r>
      <w:r>
        <w:rPr>
          <w:rFonts w:hint="eastAsia" w:ascii="宋体" w:hAnsi="宋体"/>
          <w:sz w:val="28"/>
          <w:szCs w:val="28"/>
        </w:rPr>
        <w:t>及评估</w:t>
      </w:r>
      <w:r>
        <w:rPr>
          <w:rFonts w:ascii="宋体" w:hAnsi="宋体"/>
          <w:sz w:val="28"/>
          <w:szCs w:val="28"/>
        </w:rPr>
        <w:t>方案的设计与实施应依据国家的相关标准进行。</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规范性原则：</w:t>
      </w:r>
      <w:r>
        <w:rPr>
          <w:rFonts w:hint="eastAsia" w:ascii="宋体" w:hAnsi="宋体"/>
          <w:sz w:val="28"/>
          <w:szCs w:val="28"/>
        </w:rPr>
        <w:t>项目实施方</w:t>
      </w:r>
      <w:r>
        <w:rPr>
          <w:rFonts w:ascii="宋体" w:hAnsi="宋体"/>
          <w:sz w:val="28"/>
          <w:szCs w:val="28"/>
        </w:rPr>
        <w:t>工作中的过程和文档，</w:t>
      </w:r>
      <w:r>
        <w:rPr>
          <w:rFonts w:hint="eastAsia" w:ascii="宋体" w:hAnsi="宋体"/>
          <w:sz w:val="28"/>
          <w:szCs w:val="28"/>
        </w:rPr>
        <w:t>应</w:t>
      </w:r>
      <w:r>
        <w:rPr>
          <w:rFonts w:ascii="宋体" w:hAnsi="宋体"/>
          <w:sz w:val="28"/>
          <w:szCs w:val="28"/>
        </w:rPr>
        <w:t>具有规范性，便于项目跟踪和控制</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可控性原则：</w:t>
      </w:r>
      <w:r>
        <w:rPr>
          <w:rFonts w:hint="eastAsia" w:ascii="宋体" w:hAnsi="宋体"/>
          <w:sz w:val="28"/>
          <w:szCs w:val="28"/>
        </w:rPr>
        <w:t>项目</w:t>
      </w:r>
      <w:r>
        <w:rPr>
          <w:rFonts w:ascii="宋体" w:hAnsi="宋体"/>
          <w:sz w:val="28"/>
          <w:szCs w:val="28"/>
        </w:rPr>
        <w:t>的进度</w:t>
      </w:r>
      <w:r>
        <w:rPr>
          <w:rFonts w:hint="eastAsia" w:ascii="宋体" w:hAnsi="宋体"/>
          <w:sz w:val="28"/>
          <w:szCs w:val="28"/>
        </w:rPr>
        <w:t>应符合</w:t>
      </w:r>
      <w:r>
        <w:rPr>
          <w:rFonts w:ascii="宋体" w:hAnsi="宋体"/>
          <w:sz w:val="28"/>
          <w:szCs w:val="28"/>
        </w:rPr>
        <w:t>进度安排，保证</w:t>
      </w:r>
      <w:r>
        <w:rPr>
          <w:rFonts w:hint="eastAsia" w:ascii="宋体" w:hAnsi="宋体"/>
          <w:sz w:val="28"/>
          <w:szCs w:val="28"/>
        </w:rPr>
        <w:t>招标方</w:t>
      </w:r>
      <w:r>
        <w:rPr>
          <w:rFonts w:ascii="宋体" w:hAnsi="宋体"/>
          <w:sz w:val="28"/>
          <w:szCs w:val="28"/>
        </w:rPr>
        <w:t>对测评工作的可控性</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整体性原则：测评</w:t>
      </w:r>
      <w:r>
        <w:rPr>
          <w:rFonts w:hint="eastAsia" w:ascii="宋体" w:hAnsi="宋体"/>
          <w:sz w:val="28"/>
          <w:szCs w:val="28"/>
        </w:rPr>
        <w:t>及评估</w:t>
      </w:r>
      <w:r>
        <w:rPr>
          <w:rFonts w:ascii="宋体" w:hAnsi="宋体"/>
          <w:sz w:val="28"/>
          <w:szCs w:val="28"/>
        </w:rPr>
        <w:t>的范围和内容应</w:t>
      </w:r>
      <w:r>
        <w:rPr>
          <w:rFonts w:hint="eastAsia" w:ascii="宋体" w:hAnsi="宋体"/>
          <w:sz w:val="28"/>
          <w:szCs w:val="28"/>
        </w:rPr>
        <w:t>系统、</w:t>
      </w:r>
      <w:r>
        <w:rPr>
          <w:rFonts w:ascii="宋体" w:hAnsi="宋体"/>
          <w:sz w:val="28"/>
          <w:szCs w:val="28"/>
        </w:rPr>
        <w:t>全面</w:t>
      </w:r>
      <w:r>
        <w:rPr>
          <w:rFonts w:hint="eastAsia" w:ascii="宋体" w:hAnsi="宋体"/>
          <w:sz w:val="28"/>
          <w:szCs w:val="28"/>
        </w:rPr>
        <w:t>、规范</w:t>
      </w:r>
      <w:r>
        <w:rPr>
          <w:rFonts w:ascii="宋体" w:hAnsi="宋体"/>
          <w:sz w:val="28"/>
          <w:szCs w:val="28"/>
        </w:rPr>
        <w:t>，</w:t>
      </w:r>
      <w:r>
        <w:rPr>
          <w:rFonts w:hint="eastAsia" w:ascii="宋体" w:hAnsi="宋体"/>
          <w:sz w:val="28"/>
          <w:szCs w:val="28"/>
        </w:rPr>
        <w:t>满足等级保护和安全防护评估的</w:t>
      </w:r>
      <w:r>
        <w:rPr>
          <w:rFonts w:ascii="宋体" w:hAnsi="宋体"/>
          <w:sz w:val="28"/>
          <w:szCs w:val="28"/>
        </w:rPr>
        <w:t>相关</w:t>
      </w:r>
      <w:r>
        <w:rPr>
          <w:rFonts w:hint="eastAsia" w:ascii="宋体" w:hAnsi="宋体"/>
          <w:sz w:val="28"/>
          <w:szCs w:val="28"/>
        </w:rPr>
        <w:t>基本</w:t>
      </w:r>
      <w:r>
        <w:rPr>
          <w:rFonts w:ascii="宋体" w:hAnsi="宋体"/>
          <w:sz w:val="28"/>
          <w:szCs w:val="28"/>
        </w:rPr>
        <w:t>要求</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rPr>
          <w:rFonts w:ascii="宋体" w:hAnsi="宋体"/>
          <w:sz w:val="28"/>
          <w:szCs w:val="28"/>
        </w:rPr>
      </w:pPr>
      <w:r>
        <w:rPr>
          <w:rFonts w:ascii="宋体" w:hAnsi="宋体"/>
          <w:sz w:val="28"/>
          <w:szCs w:val="28"/>
        </w:rPr>
        <w:t>最小影响原则：</w:t>
      </w:r>
      <w:r>
        <w:rPr>
          <w:rFonts w:hint="eastAsia" w:ascii="宋体" w:hAnsi="宋体"/>
          <w:sz w:val="28"/>
          <w:szCs w:val="28"/>
        </w:rPr>
        <w:t>技术</w:t>
      </w:r>
      <w:r>
        <w:rPr>
          <w:rFonts w:ascii="宋体" w:hAnsi="宋体"/>
          <w:sz w:val="28"/>
          <w:szCs w:val="28"/>
        </w:rPr>
        <w:t>测评</w:t>
      </w:r>
      <w:r>
        <w:rPr>
          <w:rFonts w:hint="eastAsia" w:ascii="宋体" w:hAnsi="宋体"/>
          <w:sz w:val="28"/>
          <w:szCs w:val="28"/>
        </w:rPr>
        <w:t>及评估</w:t>
      </w:r>
      <w:r>
        <w:rPr>
          <w:rFonts w:ascii="宋体" w:hAnsi="宋体"/>
          <w:sz w:val="28"/>
          <w:szCs w:val="28"/>
        </w:rPr>
        <w:t>工作应尽可能小的影响</w:t>
      </w:r>
      <w:r>
        <w:rPr>
          <w:rFonts w:hint="eastAsia" w:ascii="宋体" w:hAnsi="宋体"/>
          <w:sz w:val="28"/>
          <w:szCs w:val="28"/>
        </w:rPr>
        <w:t>在线</w:t>
      </w:r>
      <w:r>
        <w:rPr>
          <w:rFonts w:ascii="宋体" w:hAnsi="宋体"/>
          <w:sz w:val="28"/>
          <w:szCs w:val="28"/>
        </w:rPr>
        <w:t>系统和网络的正常运行，不能对现有</w:t>
      </w:r>
      <w:r>
        <w:rPr>
          <w:rFonts w:hint="eastAsia" w:ascii="宋体" w:hAnsi="宋体"/>
          <w:sz w:val="28"/>
          <w:szCs w:val="28"/>
        </w:rPr>
        <w:t>运行系统造成</w:t>
      </w:r>
      <w:r>
        <w:rPr>
          <w:rFonts w:ascii="宋体" w:hAnsi="宋体"/>
          <w:sz w:val="28"/>
          <w:szCs w:val="28"/>
        </w:rPr>
        <w:t>影响</w:t>
      </w:r>
      <w:r>
        <w:rPr>
          <w:rFonts w:hint="eastAsia" w:ascii="宋体" w:hAnsi="宋体"/>
          <w:sz w:val="28"/>
          <w:szCs w:val="28"/>
        </w:rPr>
        <w:t>。在线测评及评估应在招标方许可的条件下进行。</w:t>
      </w:r>
      <w:bookmarkStart w:id="16" w:name="_Toc288570238"/>
      <w:bookmarkStart w:id="17" w:name="_Toc288552021"/>
      <w:bookmarkStart w:id="18" w:name="_Toc288574636"/>
    </w:p>
    <w:bookmarkEnd w:id="16"/>
    <w:bookmarkEnd w:id="17"/>
    <w:bookmarkEnd w:id="18"/>
    <w:p>
      <w:pPr>
        <w:numPr>
          <w:ilvl w:val="1"/>
          <w:numId w:val="2"/>
        </w:numPr>
        <w:spacing w:line="360" w:lineRule="auto"/>
        <w:outlineLvl w:val="1"/>
        <w:rPr>
          <w:rFonts w:ascii="宋体" w:hAnsi="宋体"/>
          <w:b/>
          <w:sz w:val="28"/>
          <w:szCs w:val="28"/>
        </w:rPr>
      </w:pPr>
      <w:bookmarkStart w:id="19" w:name="_Toc311015403"/>
      <w:bookmarkStart w:id="20" w:name="_Toc214084125"/>
      <w:bookmarkStart w:id="21" w:name="_Toc214010374"/>
      <w:bookmarkStart w:id="22" w:name="_Toc214011261"/>
      <w:bookmarkStart w:id="23" w:name="_Toc214010206"/>
      <w:r>
        <w:rPr>
          <w:rFonts w:hint="eastAsia" w:ascii="宋体" w:hAnsi="宋体"/>
          <w:b/>
          <w:sz w:val="28"/>
          <w:szCs w:val="28"/>
        </w:rPr>
        <w:t>实施要求</w:t>
      </w:r>
      <w:bookmarkEnd w:id="19"/>
    </w:p>
    <w:p>
      <w:pPr>
        <w:overflowPunct w:val="0"/>
        <w:topLinePunct/>
        <w:snapToGrid w:val="0"/>
        <w:spacing w:line="360" w:lineRule="auto"/>
        <w:ind w:firstLine="560" w:firstLineChars="200"/>
        <w:rPr>
          <w:rFonts w:ascii="宋体" w:hAnsi="宋体"/>
          <w:sz w:val="28"/>
          <w:szCs w:val="28"/>
        </w:rPr>
      </w:pPr>
      <w:r>
        <w:rPr>
          <w:rFonts w:hint="eastAsia" w:ascii="宋体" w:hAnsi="宋体"/>
          <w:sz w:val="28"/>
          <w:szCs w:val="28"/>
        </w:rPr>
        <w:t>投标</w:t>
      </w:r>
      <w:r>
        <w:rPr>
          <w:rFonts w:ascii="宋体" w:hAnsi="宋体"/>
          <w:sz w:val="28"/>
          <w:szCs w:val="28"/>
        </w:rPr>
        <w:t>方应详细描述</w:t>
      </w:r>
      <w:r>
        <w:rPr>
          <w:rFonts w:hint="eastAsia" w:ascii="宋体" w:hAnsi="宋体"/>
          <w:sz w:val="28"/>
          <w:szCs w:val="28"/>
        </w:rPr>
        <w:t>电力监控系统</w:t>
      </w:r>
      <w:r>
        <w:rPr>
          <w:rFonts w:ascii="宋体" w:hAnsi="宋体"/>
          <w:sz w:val="28"/>
          <w:szCs w:val="28"/>
        </w:rPr>
        <w:t>等级保护测评</w:t>
      </w:r>
      <w:r>
        <w:rPr>
          <w:rFonts w:hint="eastAsia" w:ascii="宋体" w:hAnsi="宋体"/>
          <w:sz w:val="28"/>
          <w:szCs w:val="28"/>
        </w:rPr>
        <w:t>及安全防护评估</w:t>
      </w:r>
      <w:r>
        <w:rPr>
          <w:rFonts w:ascii="宋体" w:hAnsi="宋体"/>
          <w:sz w:val="28"/>
          <w:szCs w:val="28"/>
        </w:rPr>
        <w:t>的整体实施方案，包括项目概述、</w:t>
      </w:r>
      <w:r>
        <w:rPr>
          <w:rFonts w:hint="eastAsia" w:ascii="宋体" w:hAnsi="宋体"/>
          <w:sz w:val="28"/>
          <w:szCs w:val="28"/>
        </w:rPr>
        <w:t>等保</w:t>
      </w:r>
      <w:r>
        <w:rPr>
          <w:rFonts w:ascii="宋体" w:hAnsi="宋体"/>
          <w:sz w:val="28"/>
          <w:szCs w:val="28"/>
        </w:rPr>
        <w:t>测评方案、</w:t>
      </w:r>
      <w:r>
        <w:rPr>
          <w:rFonts w:hint="eastAsia" w:ascii="宋体" w:hAnsi="宋体"/>
          <w:sz w:val="28"/>
          <w:szCs w:val="28"/>
        </w:rPr>
        <w:t>安全防护评估方案、</w:t>
      </w:r>
      <w:r>
        <w:rPr>
          <w:rFonts w:ascii="宋体" w:hAnsi="宋体"/>
          <w:sz w:val="28"/>
          <w:szCs w:val="28"/>
        </w:rPr>
        <w:t>项目实施方案、时间安排、阶段性文档提交和验收标准等</w:t>
      </w:r>
      <w:r>
        <w:rPr>
          <w:rFonts w:hint="eastAsia" w:ascii="宋体" w:hAnsi="宋体"/>
          <w:sz w:val="28"/>
          <w:szCs w:val="28"/>
        </w:rPr>
        <w:t>。投标</w:t>
      </w:r>
      <w:r>
        <w:rPr>
          <w:rFonts w:ascii="宋体" w:hAnsi="宋体"/>
          <w:sz w:val="28"/>
          <w:szCs w:val="28"/>
        </w:rPr>
        <w:t>方应详细描述测评</w:t>
      </w:r>
      <w:r>
        <w:rPr>
          <w:rFonts w:hint="eastAsia" w:ascii="宋体" w:hAnsi="宋体"/>
          <w:sz w:val="28"/>
          <w:szCs w:val="28"/>
        </w:rPr>
        <w:t>及评估</w:t>
      </w:r>
      <w:r>
        <w:rPr>
          <w:rFonts w:ascii="宋体" w:hAnsi="宋体"/>
          <w:sz w:val="28"/>
          <w:szCs w:val="28"/>
        </w:rPr>
        <w:t>人员的组成、资质及各自职责的划分。</w:t>
      </w:r>
      <w:r>
        <w:rPr>
          <w:rFonts w:hint="eastAsia" w:ascii="宋体" w:hAnsi="宋体"/>
          <w:sz w:val="28"/>
          <w:szCs w:val="28"/>
        </w:rPr>
        <w:t>投标</w:t>
      </w:r>
      <w:r>
        <w:rPr>
          <w:rFonts w:ascii="宋体" w:hAnsi="宋体"/>
          <w:sz w:val="28"/>
          <w:szCs w:val="28"/>
        </w:rPr>
        <w:t>方应配置经验</w:t>
      </w:r>
      <w:r>
        <w:rPr>
          <w:rFonts w:hint="eastAsia" w:ascii="宋体" w:hAnsi="宋体"/>
          <w:sz w:val="28"/>
          <w:szCs w:val="28"/>
        </w:rPr>
        <w:t>丰富</w:t>
      </w:r>
      <w:r>
        <w:rPr>
          <w:rFonts w:ascii="宋体" w:hAnsi="宋体"/>
          <w:sz w:val="28"/>
          <w:szCs w:val="28"/>
        </w:rPr>
        <w:t>的测评</w:t>
      </w:r>
      <w:r>
        <w:rPr>
          <w:rFonts w:hint="eastAsia" w:ascii="宋体" w:hAnsi="宋体"/>
          <w:sz w:val="28"/>
          <w:szCs w:val="28"/>
        </w:rPr>
        <w:t>及评估</w:t>
      </w:r>
      <w:r>
        <w:rPr>
          <w:rFonts w:ascii="宋体" w:hAnsi="宋体"/>
          <w:sz w:val="28"/>
          <w:szCs w:val="28"/>
        </w:rPr>
        <w:t>人员进行</w:t>
      </w:r>
      <w:r>
        <w:rPr>
          <w:rFonts w:hint="eastAsia" w:ascii="宋体" w:hAnsi="宋体"/>
          <w:sz w:val="28"/>
          <w:szCs w:val="28"/>
        </w:rPr>
        <w:t>电力监控系统</w:t>
      </w:r>
      <w:r>
        <w:rPr>
          <w:rFonts w:ascii="宋体" w:hAnsi="宋体"/>
          <w:sz w:val="28"/>
          <w:szCs w:val="28"/>
        </w:rPr>
        <w:t>等级保护测评</w:t>
      </w:r>
      <w:r>
        <w:rPr>
          <w:rFonts w:hint="eastAsia" w:ascii="宋体" w:hAnsi="宋体"/>
          <w:sz w:val="28"/>
          <w:szCs w:val="28"/>
        </w:rPr>
        <w:t>及安全防护评估</w:t>
      </w:r>
      <w:r>
        <w:rPr>
          <w:rFonts w:ascii="宋体" w:hAnsi="宋体"/>
          <w:sz w:val="28"/>
          <w:szCs w:val="28"/>
        </w:rPr>
        <w:t>工作</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测评及评估方法</w:t>
      </w:r>
    </w:p>
    <w:p>
      <w:pPr>
        <w:pStyle w:val="39"/>
        <w:overflowPunct w:val="0"/>
        <w:topLinePunct/>
        <w:spacing w:line="360" w:lineRule="auto"/>
        <w:ind w:firstLine="560" w:firstLineChars="200"/>
        <w:rPr>
          <w:color w:val="auto"/>
          <w:sz w:val="28"/>
          <w:szCs w:val="28"/>
        </w:rPr>
      </w:pPr>
      <w:r>
        <w:rPr>
          <w:rFonts w:hint="eastAsia"/>
          <w:color w:val="auto"/>
          <w:sz w:val="28"/>
          <w:szCs w:val="28"/>
        </w:rPr>
        <w:t>测评及评估方法包括访谈、检查和测试三种方法，可细化为文档审查、配置检查、工具测试和实地察看等多种方法。</w:t>
      </w:r>
    </w:p>
    <w:p>
      <w:pPr>
        <w:overflowPunct w:val="0"/>
        <w:topLinePunct/>
        <w:snapToGrid w:val="0"/>
        <w:spacing w:line="360" w:lineRule="auto"/>
        <w:ind w:firstLine="560" w:firstLineChars="200"/>
        <w:rPr>
          <w:rFonts w:ascii="宋体" w:hAnsi="宋体"/>
          <w:sz w:val="28"/>
          <w:szCs w:val="28"/>
        </w:rPr>
      </w:pPr>
      <w:r>
        <w:rPr>
          <w:rFonts w:hint="eastAsia" w:ascii="宋体" w:hAnsi="宋体"/>
          <w:sz w:val="28"/>
          <w:szCs w:val="28"/>
        </w:rPr>
        <w:t>如需在电力监控系统等级保护测评及安全防护评估实施过程中采用在线测评工具，</w:t>
      </w:r>
      <w:r>
        <w:rPr>
          <w:rFonts w:ascii="宋体" w:hAnsi="宋体"/>
          <w:sz w:val="28"/>
          <w:szCs w:val="28"/>
        </w:rPr>
        <w:t>各种工具软件由</w:t>
      </w:r>
      <w:r>
        <w:rPr>
          <w:rFonts w:hint="eastAsia" w:ascii="宋体" w:hAnsi="宋体"/>
          <w:sz w:val="28"/>
          <w:szCs w:val="28"/>
        </w:rPr>
        <w:t>项目实施方</w:t>
      </w:r>
      <w:r>
        <w:rPr>
          <w:rFonts w:ascii="宋体" w:hAnsi="宋体"/>
          <w:sz w:val="28"/>
          <w:szCs w:val="28"/>
        </w:rPr>
        <w:t>推荐，经</w:t>
      </w:r>
      <w:r>
        <w:rPr>
          <w:rFonts w:hint="eastAsia" w:ascii="宋体" w:hAnsi="宋体"/>
          <w:sz w:val="28"/>
          <w:szCs w:val="28"/>
        </w:rPr>
        <w:t>招标方</w:t>
      </w:r>
      <w:r>
        <w:rPr>
          <w:rFonts w:ascii="宋体" w:hAnsi="宋体"/>
          <w:sz w:val="28"/>
          <w:szCs w:val="28"/>
        </w:rPr>
        <w:t>确认后由</w:t>
      </w:r>
      <w:r>
        <w:rPr>
          <w:rFonts w:hint="eastAsia" w:ascii="宋体" w:hAnsi="宋体"/>
          <w:sz w:val="28"/>
          <w:szCs w:val="28"/>
        </w:rPr>
        <w:t>项目实施方</w:t>
      </w:r>
      <w:r>
        <w:rPr>
          <w:rFonts w:ascii="宋体" w:hAnsi="宋体"/>
          <w:sz w:val="28"/>
          <w:szCs w:val="28"/>
        </w:rPr>
        <w:t>提供并在</w:t>
      </w:r>
      <w:r>
        <w:rPr>
          <w:rFonts w:hint="eastAsia" w:ascii="宋体" w:hAnsi="宋体"/>
          <w:sz w:val="28"/>
          <w:szCs w:val="28"/>
        </w:rPr>
        <w:t>工作</w:t>
      </w:r>
      <w:r>
        <w:rPr>
          <w:rFonts w:ascii="宋体" w:hAnsi="宋体"/>
          <w:sz w:val="28"/>
          <w:szCs w:val="28"/>
        </w:rPr>
        <w:t>中使用。</w:t>
      </w:r>
    </w:p>
    <w:p>
      <w:pPr>
        <w:overflowPunct w:val="0"/>
        <w:topLinePunct/>
        <w:snapToGrid w:val="0"/>
        <w:spacing w:line="360" w:lineRule="auto"/>
        <w:ind w:firstLine="560" w:firstLineChars="200"/>
        <w:rPr>
          <w:rFonts w:ascii="宋体" w:hAnsi="宋体"/>
          <w:sz w:val="28"/>
          <w:szCs w:val="28"/>
        </w:rPr>
      </w:pPr>
      <w:r>
        <w:rPr>
          <w:rFonts w:ascii="宋体" w:hAnsi="宋体"/>
          <w:sz w:val="28"/>
          <w:szCs w:val="28"/>
        </w:rPr>
        <w:t>安全测评工具软件运行可能需要的硬件平台（如笔记本电脑、PC、工作站等）和操作系统软件等由</w:t>
      </w:r>
      <w:r>
        <w:rPr>
          <w:rFonts w:hint="eastAsia" w:ascii="宋体" w:hAnsi="宋体"/>
          <w:sz w:val="28"/>
          <w:szCs w:val="28"/>
        </w:rPr>
        <w:t>项目实施方</w:t>
      </w:r>
      <w:r>
        <w:rPr>
          <w:rFonts w:ascii="宋体" w:hAnsi="宋体"/>
          <w:sz w:val="28"/>
          <w:szCs w:val="28"/>
        </w:rPr>
        <w:t>推荐，经确认后由</w:t>
      </w:r>
      <w:r>
        <w:rPr>
          <w:rFonts w:hint="eastAsia" w:ascii="宋体" w:hAnsi="宋体"/>
          <w:sz w:val="28"/>
          <w:szCs w:val="28"/>
        </w:rPr>
        <w:t>项目实施方</w:t>
      </w:r>
      <w:r>
        <w:rPr>
          <w:rFonts w:ascii="宋体" w:hAnsi="宋体"/>
          <w:sz w:val="28"/>
          <w:szCs w:val="28"/>
        </w:rPr>
        <w:t>提供并在测评中使用</w:t>
      </w:r>
      <w:r>
        <w:rPr>
          <w:rFonts w:hint="eastAsia" w:ascii="宋体" w:hAnsi="宋体"/>
          <w:sz w:val="28"/>
          <w:szCs w:val="28"/>
        </w:rPr>
        <w:t>。</w:t>
      </w:r>
      <w:r>
        <w:rPr>
          <w:rFonts w:ascii="宋体" w:hAnsi="宋体"/>
          <w:sz w:val="28"/>
          <w:szCs w:val="28"/>
        </w:rPr>
        <w:t>安全测评需要的运行环境（如场地、网络环境等）由</w:t>
      </w:r>
      <w:r>
        <w:rPr>
          <w:rFonts w:hint="eastAsia" w:ascii="宋体" w:hAnsi="宋体"/>
          <w:sz w:val="28"/>
          <w:szCs w:val="28"/>
        </w:rPr>
        <w:t>招标方</w:t>
      </w:r>
      <w:r>
        <w:rPr>
          <w:rFonts w:ascii="宋体" w:hAnsi="宋体"/>
          <w:sz w:val="28"/>
          <w:szCs w:val="28"/>
        </w:rPr>
        <w:t>提供，</w:t>
      </w:r>
      <w:r>
        <w:rPr>
          <w:rFonts w:hint="eastAsia" w:ascii="宋体" w:hAnsi="宋体"/>
          <w:sz w:val="28"/>
          <w:szCs w:val="28"/>
        </w:rPr>
        <w:t>项目实施方</w:t>
      </w:r>
      <w:r>
        <w:rPr>
          <w:rFonts w:ascii="宋体" w:hAnsi="宋体"/>
          <w:sz w:val="28"/>
          <w:szCs w:val="28"/>
        </w:rPr>
        <w:t>应详细描述需要的运行环境的具体要求</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工作进度</w:t>
      </w:r>
    </w:p>
    <w:p>
      <w:pPr>
        <w:pStyle w:val="43"/>
        <w:numPr>
          <w:ilvl w:val="3"/>
          <w:numId w:val="2"/>
        </w:numPr>
        <w:snapToGrid w:val="0"/>
        <w:spacing w:line="360" w:lineRule="auto"/>
        <w:ind w:firstLineChars="0"/>
        <w:jc w:val="left"/>
        <w:rPr>
          <w:rFonts w:ascii="宋体" w:hAnsi="宋体"/>
          <w:sz w:val="28"/>
          <w:szCs w:val="28"/>
        </w:rPr>
      </w:pPr>
      <w:r>
        <w:rPr>
          <w:rFonts w:hint="eastAsia" w:ascii="宋体" w:hAnsi="宋体"/>
          <w:sz w:val="28"/>
          <w:szCs w:val="28"/>
        </w:rPr>
        <w:t>筹划准备阶段</w:t>
      </w:r>
    </w:p>
    <w:p>
      <w:pPr>
        <w:snapToGrid w:val="0"/>
        <w:spacing w:line="360" w:lineRule="auto"/>
        <w:jc w:val="left"/>
        <w:rPr>
          <w:rFonts w:ascii="宋体" w:hAnsi="宋体"/>
          <w:sz w:val="28"/>
          <w:szCs w:val="28"/>
        </w:rPr>
      </w:pPr>
      <w:r>
        <w:rPr>
          <w:rFonts w:hint="eastAsia" w:ascii="宋体" w:hAnsi="宋体"/>
          <w:sz w:val="28"/>
          <w:szCs w:val="28"/>
        </w:rPr>
        <w:t>工作周期：1周</w:t>
      </w:r>
    </w:p>
    <w:p>
      <w:pPr>
        <w:snapToGrid w:val="0"/>
        <w:spacing w:line="360" w:lineRule="auto"/>
        <w:jc w:val="left"/>
        <w:rPr>
          <w:rFonts w:ascii="宋体" w:hAnsi="宋体"/>
          <w:sz w:val="28"/>
          <w:szCs w:val="28"/>
        </w:rPr>
      </w:pPr>
      <w:r>
        <w:rPr>
          <w:rFonts w:hint="eastAsia" w:ascii="宋体" w:hAnsi="宋体"/>
          <w:sz w:val="28"/>
          <w:szCs w:val="28"/>
        </w:rPr>
        <w:t>工作内容：对被测评及评估系统防护现状进行详细分析和调研，初步确定测评及评估实施方案、范围，收集材料，签署保密协议，组建测评及评估项目组，并进行进场实施前的安全教育工作，同时完成检测工具、装备配置等各项准备工作。</w:t>
      </w:r>
    </w:p>
    <w:p>
      <w:pPr>
        <w:pStyle w:val="43"/>
        <w:numPr>
          <w:ilvl w:val="3"/>
          <w:numId w:val="2"/>
        </w:numPr>
        <w:snapToGrid w:val="0"/>
        <w:spacing w:line="360" w:lineRule="auto"/>
        <w:ind w:firstLineChars="0"/>
        <w:jc w:val="left"/>
        <w:rPr>
          <w:rFonts w:ascii="宋体" w:hAnsi="宋体"/>
          <w:sz w:val="28"/>
          <w:szCs w:val="28"/>
        </w:rPr>
      </w:pPr>
      <w:r>
        <w:rPr>
          <w:rFonts w:hint="eastAsia" w:ascii="宋体" w:hAnsi="宋体"/>
          <w:sz w:val="28"/>
          <w:szCs w:val="28"/>
        </w:rPr>
        <w:t>启动阶段</w:t>
      </w:r>
    </w:p>
    <w:p>
      <w:pPr>
        <w:snapToGrid w:val="0"/>
        <w:spacing w:line="360" w:lineRule="auto"/>
        <w:jc w:val="left"/>
        <w:rPr>
          <w:rFonts w:ascii="宋体" w:hAnsi="宋体"/>
          <w:sz w:val="28"/>
          <w:szCs w:val="28"/>
        </w:rPr>
      </w:pPr>
      <w:r>
        <w:rPr>
          <w:rFonts w:hint="eastAsia" w:ascii="宋体" w:hAnsi="宋体"/>
          <w:sz w:val="28"/>
          <w:szCs w:val="28"/>
        </w:rPr>
        <w:t>工作周期：1～2个工作日</w:t>
      </w:r>
    </w:p>
    <w:p>
      <w:pPr>
        <w:snapToGrid w:val="0"/>
        <w:spacing w:line="360" w:lineRule="auto"/>
        <w:jc w:val="left"/>
        <w:rPr>
          <w:rFonts w:ascii="宋体" w:hAnsi="宋体"/>
          <w:sz w:val="28"/>
          <w:szCs w:val="28"/>
        </w:rPr>
      </w:pPr>
      <w:r>
        <w:rPr>
          <w:rFonts w:hint="eastAsia" w:ascii="宋体" w:hAnsi="宋体"/>
          <w:sz w:val="28"/>
          <w:szCs w:val="28"/>
        </w:rPr>
        <w:t>工作内容：项目组进驻被测单位，收集分析信息资产资料、网络资料、业务系统资料和信息安全管理制度方针等相关测评所需材料，并召开启动会，就测评及评估工作具体事宜进行落实，包括确定测评及评估计划安排、测评及评估范围、测评及评估内容和配合需求等。</w:t>
      </w:r>
    </w:p>
    <w:p>
      <w:pPr>
        <w:pStyle w:val="43"/>
        <w:numPr>
          <w:ilvl w:val="3"/>
          <w:numId w:val="2"/>
        </w:numPr>
        <w:snapToGrid w:val="0"/>
        <w:spacing w:line="360" w:lineRule="auto"/>
        <w:ind w:firstLineChars="0"/>
        <w:jc w:val="left"/>
        <w:rPr>
          <w:rFonts w:ascii="宋体" w:hAnsi="宋体"/>
          <w:sz w:val="28"/>
          <w:szCs w:val="28"/>
        </w:rPr>
      </w:pPr>
      <w:r>
        <w:rPr>
          <w:rFonts w:hint="eastAsia" w:ascii="宋体" w:hAnsi="宋体"/>
          <w:sz w:val="28"/>
          <w:szCs w:val="28"/>
        </w:rPr>
        <w:t>现场测评</w:t>
      </w:r>
    </w:p>
    <w:p>
      <w:pPr>
        <w:snapToGrid w:val="0"/>
        <w:spacing w:line="360" w:lineRule="auto"/>
        <w:jc w:val="left"/>
        <w:rPr>
          <w:rFonts w:ascii="宋体" w:hAnsi="宋体"/>
          <w:sz w:val="28"/>
          <w:szCs w:val="28"/>
        </w:rPr>
      </w:pPr>
      <w:r>
        <w:rPr>
          <w:rFonts w:hint="eastAsia" w:ascii="宋体" w:hAnsi="宋体"/>
          <w:sz w:val="28"/>
          <w:szCs w:val="28"/>
        </w:rPr>
        <w:t>工作周期：4-5个工作日</w:t>
      </w:r>
    </w:p>
    <w:p>
      <w:pPr>
        <w:snapToGrid w:val="0"/>
        <w:spacing w:line="360" w:lineRule="auto"/>
        <w:jc w:val="left"/>
        <w:rPr>
          <w:rFonts w:ascii="宋体" w:hAnsi="宋体"/>
          <w:sz w:val="28"/>
          <w:szCs w:val="28"/>
        </w:rPr>
      </w:pPr>
      <w:r>
        <w:rPr>
          <w:rFonts w:hint="eastAsia" w:ascii="宋体" w:hAnsi="宋体"/>
          <w:sz w:val="28"/>
          <w:szCs w:val="28"/>
        </w:rPr>
        <w:t>工作内容：项目组从管理和技术两个方面入手，开展被测单位测评及评估工作，包括安全区划分、网络专用，评估管理和制度、基础网络、业务系统、通用服务、主机系统、数据库系统、现有安全措施等。</w:t>
      </w:r>
    </w:p>
    <w:p>
      <w:pPr>
        <w:snapToGrid w:val="0"/>
        <w:spacing w:line="360" w:lineRule="auto"/>
        <w:ind w:firstLine="560" w:firstLineChars="200"/>
        <w:jc w:val="left"/>
        <w:rPr>
          <w:rFonts w:ascii="宋体" w:hAnsi="宋体"/>
          <w:sz w:val="28"/>
          <w:szCs w:val="28"/>
        </w:rPr>
      </w:pPr>
      <w:r>
        <w:rPr>
          <w:rFonts w:hint="eastAsia" w:ascii="宋体" w:hAnsi="宋体"/>
          <w:sz w:val="28"/>
          <w:szCs w:val="28"/>
        </w:rPr>
        <w:t>测评及评估方法有顾问访谈、日志审计、人工查看、漏洞扫描、自动化工具采集、白客渗透等。</w:t>
      </w:r>
    </w:p>
    <w:p>
      <w:pPr>
        <w:snapToGrid w:val="0"/>
        <w:spacing w:line="360" w:lineRule="auto"/>
        <w:ind w:firstLine="560" w:firstLineChars="200"/>
        <w:jc w:val="left"/>
        <w:rPr>
          <w:rFonts w:ascii="宋体" w:hAnsi="宋体"/>
          <w:sz w:val="28"/>
          <w:szCs w:val="28"/>
        </w:rPr>
      </w:pPr>
      <w:r>
        <w:rPr>
          <w:rFonts w:hint="eastAsia" w:ascii="宋体" w:hAnsi="宋体"/>
          <w:sz w:val="28"/>
          <w:szCs w:val="28"/>
        </w:rPr>
        <w:t>现场工作结束后，测评及评估工作小组对现场测评情况进行初步整理汇总，向被测单位领导和系统管理员等汇报现场阶段工作情况。</w:t>
      </w:r>
    </w:p>
    <w:p>
      <w:pPr>
        <w:pStyle w:val="43"/>
        <w:numPr>
          <w:ilvl w:val="3"/>
          <w:numId w:val="2"/>
        </w:numPr>
        <w:snapToGrid w:val="0"/>
        <w:spacing w:line="360" w:lineRule="auto"/>
        <w:ind w:firstLineChars="0"/>
        <w:jc w:val="left"/>
        <w:rPr>
          <w:rFonts w:ascii="宋体" w:hAnsi="宋体"/>
          <w:sz w:val="28"/>
          <w:szCs w:val="28"/>
        </w:rPr>
      </w:pPr>
      <w:r>
        <w:rPr>
          <w:rFonts w:hint="eastAsia" w:ascii="宋体" w:hAnsi="宋体"/>
          <w:sz w:val="28"/>
          <w:szCs w:val="28"/>
        </w:rPr>
        <w:t>结论分析报告编制阶段</w:t>
      </w:r>
    </w:p>
    <w:p>
      <w:pPr>
        <w:snapToGrid w:val="0"/>
        <w:spacing w:line="360" w:lineRule="auto"/>
        <w:jc w:val="left"/>
        <w:rPr>
          <w:rFonts w:ascii="宋体" w:hAnsi="宋体"/>
          <w:sz w:val="28"/>
          <w:szCs w:val="28"/>
        </w:rPr>
      </w:pPr>
      <w:r>
        <w:rPr>
          <w:rFonts w:hint="eastAsia" w:ascii="宋体" w:hAnsi="宋体"/>
          <w:sz w:val="28"/>
          <w:szCs w:val="28"/>
        </w:rPr>
        <w:t>工作周期：1周</w:t>
      </w:r>
    </w:p>
    <w:p>
      <w:pPr>
        <w:snapToGrid w:val="0"/>
        <w:spacing w:line="360" w:lineRule="auto"/>
        <w:jc w:val="left"/>
        <w:rPr>
          <w:rFonts w:ascii="宋体" w:hAnsi="宋体"/>
          <w:sz w:val="28"/>
          <w:szCs w:val="28"/>
        </w:rPr>
      </w:pPr>
      <w:r>
        <w:rPr>
          <w:rFonts w:hint="eastAsia" w:ascii="宋体" w:hAnsi="宋体"/>
          <w:sz w:val="28"/>
          <w:szCs w:val="28"/>
        </w:rPr>
        <w:t>工作内容：项目组对检测情况和采集的数据进行分类统计、风险计算、综合分析与评估，撰写《等级保护测评报告》、《电力监控系统安全防护评估报告》及《系统安全加固服务报告》。</w:t>
      </w:r>
    </w:p>
    <w:p>
      <w:pPr>
        <w:pStyle w:val="43"/>
        <w:numPr>
          <w:ilvl w:val="3"/>
          <w:numId w:val="2"/>
        </w:numPr>
        <w:snapToGrid w:val="0"/>
        <w:spacing w:line="360" w:lineRule="auto"/>
        <w:ind w:firstLineChars="0"/>
        <w:jc w:val="left"/>
        <w:rPr>
          <w:rFonts w:ascii="宋体" w:hAnsi="宋体"/>
          <w:sz w:val="28"/>
          <w:szCs w:val="28"/>
        </w:rPr>
      </w:pPr>
      <w:r>
        <w:rPr>
          <w:rFonts w:hint="eastAsia" w:ascii="宋体" w:hAnsi="宋体"/>
          <w:sz w:val="28"/>
          <w:szCs w:val="28"/>
        </w:rPr>
        <w:t>整改技术支持阶段</w:t>
      </w:r>
    </w:p>
    <w:p>
      <w:pPr>
        <w:snapToGrid w:val="0"/>
        <w:spacing w:line="360" w:lineRule="auto"/>
        <w:jc w:val="left"/>
        <w:rPr>
          <w:rFonts w:ascii="宋体" w:hAnsi="宋体"/>
          <w:sz w:val="28"/>
          <w:szCs w:val="28"/>
        </w:rPr>
      </w:pPr>
      <w:r>
        <w:rPr>
          <w:rFonts w:hint="eastAsia" w:ascii="宋体" w:hAnsi="宋体"/>
          <w:sz w:val="28"/>
          <w:szCs w:val="28"/>
        </w:rPr>
        <w:t>工作周期：根据整改进度而定</w:t>
      </w:r>
    </w:p>
    <w:p>
      <w:pPr>
        <w:snapToGrid w:val="0"/>
        <w:spacing w:line="360" w:lineRule="auto"/>
        <w:jc w:val="left"/>
        <w:rPr>
          <w:rFonts w:ascii="宋体" w:hAnsi="宋体"/>
          <w:sz w:val="28"/>
          <w:szCs w:val="28"/>
        </w:rPr>
      </w:pPr>
      <w:r>
        <w:rPr>
          <w:rFonts w:hint="eastAsia" w:ascii="宋体" w:hAnsi="宋体"/>
          <w:sz w:val="28"/>
          <w:szCs w:val="28"/>
        </w:rPr>
        <w:t>工作内容：项目组针对现场测评及评估发现的问题，出具整改建议后，向被测单位提供整改技术咨询支持。</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bookmarkStart w:id="24" w:name="_Toc236462388"/>
      <w:bookmarkStart w:id="25" w:name="_Toc236816242"/>
      <w:bookmarkStart w:id="26" w:name="_Toc236037502"/>
      <w:r>
        <w:rPr>
          <w:rFonts w:ascii="宋体" w:hAnsi="宋体"/>
          <w:b/>
          <w:bCs/>
          <w:sz w:val="28"/>
          <w:szCs w:val="28"/>
        </w:rPr>
        <w:t>风险控</w:t>
      </w:r>
      <w:r>
        <w:rPr>
          <w:rFonts w:hint="eastAsia" w:ascii="宋体" w:hAnsi="宋体"/>
          <w:b/>
          <w:bCs/>
          <w:sz w:val="28"/>
          <w:szCs w:val="28"/>
        </w:rPr>
        <w:t>制</w:t>
      </w:r>
    </w:p>
    <w:p>
      <w:pPr>
        <w:pStyle w:val="39"/>
        <w:overflowPunct w:val="0"/>
        <w:topLinePunct/>
        <w:spacing w:line="360" w:lineRule="auto"/>
        <w:ind w:firstLine="560" w:firstLineChars="200"/>
        <w:rPr>
          <w:color w:val="auto"/>
          <w:sz w:val="28"/>
          <w:szCs w:val="28"/>
        </w:rPr>
      </w:pPr>
      <w:r>
        <w:rPr>
          <w:rFonts w:hint="eastAsia"/>
          <w:color w:val="auto"/>
          <w:sz w:val="28"/>
          <w:szCs w:val="28"/>
        </w:rPr>
        <w:t>测评及评估工作本身也会引入安全风险，必须加强测评及评估过程中的风险控制。项目实施前，双方应充分讨论并明确测评及评估对系统可能带来的风险和隐患，确定测评及评估对象、测评及评估方法和工具，并</w:t>
      </w:r>
      <w:r>
        <w:rPr>
          <w:color w:val="auto"/>
          <w:sz w:val="28"/>
          <w:szCs w:val="28"/>
        </w:rPr>
        <w:t>制定</w:t>
      </w:r>
      <w:r>
        <w:rPr>
          <w:rFonts w:hint="eastAsia"/>
          <w:color w:val="auto"/>
          <w:sz w:val="28"/>
          <w:szCs w:val="28"/>
        </w:rPr>
        <w:t>应急恢复措施。</w:t>
      </w:r>
    </w:p>
    <w:bookmarkEnd w:id="24"/>
    <w:bookmarkEnd w:id="25"/>
    <w:bookmarkEnd w:id="26"/>
    <w:p>
      <w:pPr>
        <w:spacing w:line="360" w:lineRule="auto"/>
        <w:ind w:firstLine="560" w:firstLineChars="200"/>
        <w:rPr>
          <w:rFonts w:ascii="宋体" w:hAnsi="宋体"/>
          <w:sz w:val="28"/>
          <w:szCs w:val="28"/>
        </w:rPr>
      </w:pPr>
      <w:bookmarkStart w:id="27" w:name="_Toc113357465"/>
      <w:bookmarkStart w:id="28" w:name="_Toc113358272"/>
      <w:r>
        <w:rPr>
          <w:rFonts w:hint="eastAsia" w:ascii="宋体" w:hAnsi="宋体"/>
          <w:sz w:val="28"/>
          <w:szCs w:val="28"/>
        </w:rPr>
        <w:t>（1）</w:t>
      </w:r>
      <w:r>
        <w:rPr>
          <w:rFonts w:ascii="宋体" w:hAnsi="宋体"/>
          <w:sz w:val="28"/>
          <w:szCs w:val="28"/>
        </w:rPr>
        <w:t>操作的申请和监护</w:t>
      </w:r>
      <w:bookmarkEnd w:id="27"/>
      <w:bookmarkEnd w:id="28"/>
    </w:p>
    <w:p>
      <w:pPr>
        <w:spacing w:line="360" w:lineRule="auto"/>
        <w:ind w:firstLine="560" w:firstLineChars="200"/>
        <w:rPr>
          <w:rFonts w:ascii="宋体" w:hAnsi="宋体"/>
          <w:sz w:val="28"/>
          <w:szCs w:val="28"/>
        </w:rPr>
      </w:pPr>
      <w:r>
        <w:rPr>
          <w:rFonts w:hint="eastAsia"/>
          <w:sz w:val="28"/>
          <w:szCs w:val="28"/>
        </w:rPr>
        <w:t>测评及评估</w:t>
      </w:r>
      <w:r>
        <w:rPr>
          <w:rFonts w:ascii="宋体" w:hAnsi="宋体"/>
          <w:sz w:val="28"/>
          <w:szCs w:val="28"/>
        </w:rPr>
        <w:t>操作必须遵守</w:t>
      </w:r>
      <w:r>
        <w:rPr>
          <w:rFonts w:hint="eastAsia" w:ascii="宋体" w:hAnsi="宋体"/>
          <w:sz w:val="28"/>
          <w:szCs w:val="28"/>
        </w:rPr>
        <w:t>现场运行规章制度，确保系统安全稳定运行。如需在线测试，按照相关工作规程，事前申请，并在专责人员的指导和监护下进行。</w:t>
      </w:r>
    </w:p>
    <w:p>
      <w:pPr>
        <w:spacing w:line="360" w:lineRule="auto"/>
        <w:ind w:firstLine="560" w:firstLineChars="200"/>
        <w:rPr>
          <w:rFonts w:ascii="宋体" w:hAnsi="宋体"/>
          <w:sz w:val="28"/>
          <w:szCs w:val="28"/>
        </w:rPr>
      </w:pPr>
      <w:bookmarkStart w:id="29" w:name="_Toc113357466"/>
      <w:bookmarkStart w:id="30" w:name="_Toc113358273"/>
      <w:r>
        <w:rPr>
          <w:rFonts w:hint="eastAsia" w:ascii="宋体" w:hAnsi="宋体"/>
          <w:sz w:val="28"/>
          <w:szCs w:val="28"/>
        </w:rPr>
        <w:t>（2）</w:t>
      </w:r>
      <w:r>
        <w:rPr>
          <w:rFonts w:ascii="宋体" w:hAnsi="宋体"/>
          <w:sz w:val="28"/>
          <w:szCs w:val="28"/>
        </w:rPr>
        <w:t>人员与数据管理</w:t>
      </w:r>
    </w:p>
    <w:p>
      <w:pPr>
        <w:spacing w:line="360" w:lineRule="auto"/>
        <w:ind w:firstLine="560" w:firstLineChars="200"/>
        <w:rPr>
          <w:rFonts w:ascii="宋体" w:hAnsi="宋体"/>
          <w:sz w:val="28"/>
          <w:szCs w:val="28"/>
        </w:rPr>
      </w:pPr>
      <w:r>
        <w:rPr>
          <w:rFonts w:ascii="宋体" w:hAnsi="宋体"/>
          <w:sz w:val="28"/>
          <w:szCs w:val="28"/>
        </w:rPr>
        <w:t>重视保密工作，加强</w:t>
      </w:r>
      <w:r>
        <w:rPr>
          <w:rFonts w:hint="eastAsia"/>
          <w:sz w:val="28"/>
          <w:szCs w:val="28"/>
        </w:rPr>
        <w:t>测评及评估</w:t>
      </w:r>
      <w:r>
        <w:rPr>
          <w:rFonts w:hint="eastAsia" w:ascii="宋体" w:hAnsi="宋体"/>
          <w:sz w:val="28"/>
          <w:szCs w:val="28"/>
        </w:rPr>
        <w:t>过程中的保密管理，</w:t>
      </w:r>
      <w:r>
        <w:rPr>
          <w:rFonts w:ascii="宋体" w:hAnsi="宋体"/>
          <w:sz w:val="28"/>
          <w:szCs w:val="28"/>
        </w:rPr>
        <w:t>确保</w:t>
      </w:r>
      <w:r>
        <w:rPr>
          <w:rFonts w:hint="eastAsia" w:ascii="宋体" w:hAnsi="宋体"/>
          <w:sz w:val="28"/>
          <w:szCs w:val="28"/>
        </w:rPr>
        <w:t>参与</w:t>
      </w:r>
      <w:r>
        <w:rPr>
          <w:rFonts w:ascii="宋体" w:hAnsi="宋体"/>
          <w:sz w:val="28"/>
          <w:szCs w:val="28"/>
        </w:rPr>
        <w:t>测评</w:t>
      </w:r>
      <w:r>
        <w:rPr>
          <w:rFonts w:hint="eastAsia" w:ascii="宋体" w:hAnsi="宋体"/>
          <w:sz w:val="28"/>
          <w:szCs w:val="28"/>
        </w:rPr>
        <w:t>工作</w:t>
      </w:r>
      <w:r>
        <w:rPr>
          <w:rFonts w:ascii="宋体" w:hAnsi="宋体"/>
          <w:sz w:val="28"/>
          <w:szCs w:val="28"/>
        </w:rPr>
        <w:t>人员</w:t>
      </w:r>
      <w:r>
        <w:rPr>
          <w:rFonts w:hint="eastAsia" w:ascii="宋体" w:hAnsi="宋体"/>
          <w:sz w:val="28"/>
          <w:szCs w:val="28"/>
        </w:rPr>
        <w:t>的</w:t>
      </w:r>
      <w:r>
        <w:rPr>
          <w:rFonts w:ascii="宋体" w:hAnsi="宋体"/>
          <w:sz w:val="28"/>
          <w:szCs w:val="28"/>
        </w:rPr>
        <w:t>可靠</w:t>
      </w:r>
      <w:r>
        <w:rPr>
          <w:rFonts w:hint="eastAsia" w:ascii="宋体" w:hAnsi="宋体"/>
          <w:sz w:val="28"/>
          <w:szCs w:val="28"/>
        </w:rPr>
        <w:t>、</w:t>
      </w:r>
      <w:r>
        <w:rPr>
          <w:rFonts w:ascii="宋体" w:hAnsi="宋体"/>
          <w:sz w:val="28"/>
          <w:szCs w:val="28"/>
        </w:rPr>
        <w:t>稳定</w:t>
      </w:r>
      <w:r>
        <w:rPr>
          <w:rFonts w:hint="eastAsia" w:ascii="宋体" w:hAnsi="宋体"/>
          <w:sz w:val="28"/>
          <w:szCs w:val="28"/>
        </w:rPr>
        <w:t>，</w:t>
      </w:r>
      <w:r>
        <w:rPr>
          <w:rFonts w:ascii="宋体" w:hAnsi="宋体"/>
          <w:sz w:val="28"/>
          <w:szCs w:val="28"/>
        </w:rPr>
        <w:t>防止敏感信息泄漏。</w:t>
      </w:r>
    </w:p>
    <w:p>
      <w:pPr>
        <w:spacing w:line="360" w:lineRule="auto"/>
        <w:ind w:firstLine="560" w:firstLineChars="200"/>
        <w:rPr>
          <w:rFonts w:ascii="宋体" w:hAnsi="宋体"/>
          <w:sz w:val="28"/>
          <w:szCs w:val="28"/>
        </w:rPr>
      </w:pPr>
      <w:r>
        <w:rPr>
          <w:rFonts w:hint="eastAsia" w:ascii="宋体" w:hAnsi="宋体"/>
          <w:sz w:val="28"/>
          <w:szCs w:val="28"/>
        </w:rPr>
        <w:t>（3）</w:t>
      </w:r>
      <w:bookmarkEnd w:id="29"/>
      <w:bookmarkEnd w:id="30"/>
      <w:bookmarkStart w:id="31" w:name="_Toc113357469"/>
      <w:bookmarkStart w:id="32" w:name="_Toc113358276"/>
      <w:bookmarkStart w:id="33" w:name="_Toc113358275"/>
      <w:bookmarkStart w:id="34" w:name="_Toc113357468"/>
      <w:r>
        <w:rPr>
          <w:rFonts w:hint="eastAsia" w:ascii="宋体" w:hAnsi="宋体"/>
          <w:sz w:val="28"/>
          <w:szCs w:val="28"/>
        </w:rPr>
        <w:t>测评对象选择</w:t>
      </w:r>
      <w:bookmarkEnd w:id="31"/>
      <w:bookmarkEnd w:id="32"/>
    </w:p>
    <w:p>
      <w:pPr>
        <w:spacing w:line="360" w:lineRule="auto"/>
        <w:ind w:firstLine="560" w:firstLineChars="200"/>
        <w:rPr>
          <w:rFonts w:ascii="宋体" w:hAnsi="宋体"/>
          <w:sz w:val="28"/>
          <w:szCs w:val="28"/>
        </w:rPr>
      </w:pPr>
      <w:r>
        <w:rPr>
          <w:rFonts w:hint="eastAsia" w:ascii="宋体" w:hAnsi="宋体"/>
          <w:sz w:val="28"/>
          <w:szCs w:val="28"/>
        </w:rPr>
        <w:t>优先选择备用设备（系统）或</w:t>
      </w:r>
      <w:r>
        <w:rPr>
          <w:rFonts w:ascii="宋体" w:hAnsi="宋体"/>
          <w:sz w:val="28"/>
          <w:szCs w:val="28"/>
        </w:rPr>
        <w:t>临时搭建的</w:t>
      </w:r>
      <w:r>
        <w:rPr>
          <w:rFonts w:ascii="宋体" w:hAnsi="宋体"/>
          <w:bCs/>
          <w:iCs/>
          <w:sz w:val="28"/>
          <w:szCs w:val="28"/>
        </w:rPr>
        <w:t>模拟</w:t>
      </w:r>
      <w:r>
        <w:rPr>
          <w:rFonts w:ascii="宋体" w:hAnsi="宋体"/>
          <w:sz w:val="28"/>
          <w:szCs w:val="28"/>
        </w:rPr>
        <w:t>环境</w:t>
      </w:r>
      <w:r>
        <w:rPr>
          <w:rFonts w:hint="eastAsia" w:ascii="宋体" w:hAnsi="宋体"/>
          <w:sz w:val="28"/>
          <w:szCs w:val="28"/>
        </w:rPr>
        <w:t>进行</w:t>
      </w:r>
      <w:r>
        <w:rPr>
          <w:rFonts w:hint="eastAsia"/>
          <w:sz w:val="28"/>
          <w:szCs w:val="28"/>
        </w:rPr>
        <w:t>测评及评估</w:t>
      </w:r>
      <w:r>
        <w:rPr>
          <w:rFonts w:hint="eastAsia" w:ascii="宋体" w:hAnsi="宋体"/>
          <w:sz w:val="28"/>
          <w:szCs w:val="28"/>
        </w:rPr>
        <w:t>，避免影响在线系统运行</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（4）</w:t>
      </w:r>
      <w:r>
        <w:rPr>
          <w:rFonts w:ascii="宋体" w:hAnsi="宋体"/>
          <w:sz w:val="28"/>
          <w:szCs w:val="28"/>
        </w:rPr>
        <w:t>制定应急预案</w:t>
      </w:r>
      <w:bookmarkEnd w:id="33"/>
      <w:bookmarkEnd w:id="34"/>
    </w:p>
    <w:p>
      <w:pPr>
        <w:spacing w:line="360" w:lineRule="auto"/>
        <w:ind w:firstLine="560" w:firstLineChars="200"/>
        <w:rPr>
          <w:rFonts w:ascii="宋体" w:hAnsi="宋体"/>
          <w:sz w:val="28"/>
          <w:szCs w:val="28"/>
        </w:rPr>
      </w:pPr>
      <w:r>
        <w:rPr>
          <w:rFonts w:hint="eastAsia" w:ascii="宋体" w:hAnsi="宋体"/>
          <w:sz w:val="28"/>
          <w:szCs w:val="28"/>
        </w:rPr>
        <w:t>根据被测系统情况，在测评及评估实施前</w:t>
      </w:r>
      <w:r>
        <w:rPr>
          <w:rFonts w:ascii="宋体" w:hAnsi="宋体"/>
          <w:sz w:val="28"/>
          <w:szCs w:val="28"/>
        </w:rPr>
        <w:t>制定应急预案</w:t>
      </w:r>
      <w:r>
        <w:rPr>
          <w:rFonts w:hint="eastAsia" w:ascii="宋体" w:hAnsi="宋体"/>
          <w:sz w:val="28"/>
          <w:szCs w:val="28"/>
        </w:rPr>
        <w:t>，加强系统在线应急处置能力。</w:t>
      </w:r>
    </w:p>
    <w:p>
      <w:pPr>
        <w:spacing w:line="360" w:lineRule="auto"/>
        <w:ind w:firstLine="560" w:firstLineChars="200"/>
        <w:rPr>
          <w:rFonts w:ascii="宋体" w:hAnsi="宋体"/>
          <w:sz w:val="28"/>
          <w:szCs w:val="28"/>
        </w:rPr>
      </w:pPr>
      <w:r>
        <w:rPr>
          <w:rFonts w:hint="eastAsia" w:ascii="宋体" w:hAnsi="宋体"/>
          <w:sz w:val="28"/>
          <w:szCs w:val="28"/>
        </w:rPr>
        <w:t>（5）关键业务系统风险控制</w:t>
      </w:r>
    </w:p>
    <w:p>
      <w:pPr>
        <w:spacing w:line="360" w:lineRule="auto"/>
        <w:ind w:firstLine="560" w:firstLineChars="200"/>
        <w:rPr>
          <w:rFonts w:ascii="宋体" w:hAnsi="宋体"/>
          <w:sz w:val="28"/>
          <w:szCs w:val="28"/>
        </w:rPr>
      </w:pPr>
      <w:r>
        <w:rPr>
          <w:rFonts w:hint="eastAsia" w:ascii="宋体" w:hAnsi="宋体"/>
          <w:sz w:val="28"/>
          <w:szCs w:val="28"/>
        </w:rPr>
        <w:t>生产控制大区在线运行系统禁止采用渗透测试工具进行测评。</w:t>
      </w:r>
    </w:p>
    <w:bookmarkEnd w:id="20"/>
    <w:bookmarkEnd w:id="21"/>
    <w:bookmarkEnd w:id="22"/>
    <w:bookmarkEnd w:id="23"/>
    <w:p>
      <w:pPr>
        <w:numPr>
          <w:ilvl w:val="1"/>
          <w:numId w:val="2"/>
        </w:numPr>
        <w:spacing w:line="360" w:lineRule="auto"/>
        <w:outlineLvl w:val="1"/>
        <w:rPr>
          <w:rFonts w:ascii="宋体" w:hAnsi="宋体"/>
          <w:b/>
          <w:sz w:val="28"/>
          <w:szCs w:val="28"/>
        </w:rPr>
      </w:pPr>
      <w:bookmarkStart w:id="35" w:name="_Toc311015404"/>
      <w:bookmarkStart w:id="36" w:name="_Toc288574635"/>
      <w:bookmarkStart w:id="37" w:name="_Toc287704425"/>
      <w:bookmarkStart w:id="38" w:name="_Toc288552020"/>
      <w:bookmarkStart w:id="39" w:name="_Toc288570237"/>
      <w:r>
        <w:rPr>
          <w:rFonts w:hint="eastAsia" w:ascii="宋体" w:hAnsi="宋体"/>
          <w:b/>
          <w:sz w:val="28"/>
          <w:szCs w:val="28"/>
        </w:rPr>
        <w:t>等级保护测评内容</w:t>
      </w:r>
      <w:bookmarkEnd w:id="35"/>
    </w:p>
    <w:p>
      <w:pPr>
        <w:snapToGrid w:val="0"/>
        <w:spacing w:line="360" w:lineRule="auto"/>
        <w:ind w:firstLine="560" w:firstLineChars="200"/>
        <w:rPr>
          <w:rFonts w:ascii="宋体" w:hAnsi="宋体"/>
          <w:sz w:val="28"/>
          <w:szCs w:val="28"/>
        </w:rPr>
      </w:pPr>
      <w:r>
        <w:rPr>
          <w:rFonts w:hint="eastAsia"/>
          <w:sz w:val="28"/>
          <w:szCs w:val="28"/>
        </w:rPr>
        <w:t>根据国家等级保护相关标准，本次项目的</w:t>
      </w:r>
      <w:r>
        <w:rPr>
          <w:sz w:val="28"/>
          <w:szCs w:val="28"/>
        </w:rPr>
        <w:t>安全等级保护测评</w:t>
      </w:r>
      <w:r>
        <w:rPr>
          <w:rFonts w:hint="eastAsia"/>
          <w:sz w:val="28"/>
          <w:szCs w:val="28"/>
        </w:rPr>
        <w:t>应</w:t>
      </w:r>
      <w:r>
        <w:rPr>
          <w:sz w:val="28"/>
          <w:szCs w:val="28"/>
        </w:rPr>
        <w:t>包括以下内容</w:t>
      </w:r>
      <w:r>
        <w:rPr>
          <w:rFonts w:ascii="宋体" w:hAnsi="宋体"/>
          <w:sz w:val="28"/>
          <w:szCs w:val="28"/>
        </w:rPr>
        <w:t>：</w:t>
      </w:r>
    </w:p>
    <w:bookmarkEnd w:id="36"/>
    <w:bookmarkEnd w:id="37"/>
    <w:bookmarkEnd w:id="38"/>
    <w:bookmarkEnd w:id="39"/>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2.3.1</w:t>
      </w:r>
      <w:r>
        <w:rPr>
          <w:rFonts w:ascii="宋体" w:hAnsi="宋体"/>
          <w:b/>
          <w:bCs/>
          <w:sz w:val="28"/>
          <w:szCs w:val="28"/>
        </w:rPr>
        <w:t xml:space="preserve"> </w:t>
      </w:r>
      <w:r>
        <w:rPr>
          <w:rFonts w:hint="eastAsia" w:ascii="宋体" w:hAnsi="宋体"/>
          <w:b/>
          <w:bCs/>
          <w:sz w:val="28"/>
          <w:szCs w:val="28"/>
        </w:rPr>
        <w:t>安全物理环境</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物理安全测评是对信息系统的机房和办公场所的物理位置选择、物理访问控制、防盗窃和防破坏、防雷击、防火、防水和防潮、防静电、温湿度控制、电力供应、电磁防护等方面的安全状况。</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2.3.2</w:t>
      </w:r>
      <w:r>
        <w:rPr>
          <w:rFonts w:hint="eastAsia" w:ascii="宋体" w:hAnsi="宋体"/>
          <w:b/>
          <w:bCs/>
          <w:sz w:val="28"/>
          <w:szCs w:val="28"/>
        </w:rPr>
        <w:tab/>
      </w:r>
      <w:r>
        <w:rPr>
          <w:rFonts w:hint="eastAsia" w:ascii="宋体" w:hAnsi="宋体"/>
          <w:b/>
          <w:bCs/>
          <w:sz w:val="28"/>
          <w:szCs w:val="28"/>
        </w:rPr>
        <w:t>安全通信网络</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网络安全测评是对信息系统的网络系统安全防护情况进行测评，包括网络结构安全、通信传输、可信验证等方面的安全状况。</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2.3.3</w:t>
      </w:r>
      <w:r>
        <w:rPr>
          <w:rFonts w:hint="eastAsia" w:ascii="宋体" w:hAnsi="宋体"/>
          <w:b/>
          <w:bCs/>
          <w:sz w:val="28"/>
          <w:szCs w:val="28"/>
        </w:rPr>
        <w:tab/>
      </w:r>
      <w:r>
        <w:rPr>
          <w:rFonts w:hint="eastAsia" w:ascii="宋体" w:hAnsi="宋体"/>
          <w:b/>
          <w:bCs/>
          <w:sz w:val="28"/>
          <w:szCs w:val="28"/>
        </w:rPr>
        <w:t>安全区域边界</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安全区域边界是对信息系统的边界防护、访问控制、入侵防范、恶意代码和垃圾邮件防范、安全审计、可信验证等方面的安全状况。</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2.3.4</w:t>
      </w:r>
      <w:r>
        <w:rPr>
          <w:rFonts w:hint="eastAsia" w:ascii="宋体" w:hAnsi="宋体"/>
          <w:b/>
          <w:bCs/>
          <w:sz w:val="28"/>
          <w:szCs w:val="28"/>
        </w:rPr>
        <w:tab/>
      </w:r>
      <w:r>
        <w:rPr>
          <w:rFonts w:hint="eastAsia" w:ascii="宋体" w:hAnsi="宋体"/>
          <w:b/>
          <w:bCs/>
          <w:sz w:val="28"/>
          <w:szCs w:val="28"/>
        </w:rPr>
        <w:t>安全计算环境</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安全计算环境是对信息系统的身份鉴别、访问控制、安全审计、入侵防范、恶意代码防范、可信验证、数据完整性、数据保密性、数据备份恢复、剩余信息保护、个人信息保护等方面的安全状况。</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2.3.5</w:t>
      </w:r>
      <w:r>
        <w:rPr>
          <w:rFonts w:hint="eastAsia" w:ascii="宋体" w:hAnsi="宋体"/>
          <w:b/>
          <w:bCs/>
          <w:sz w:val="28"/>
          <w:szCs w:val="28"/>
        </w:rPr>
        <w:tab/>
      </w:r>
      <w:r>
        <w:rPr>
          <w:rFonts w:hint="eastAsia" w:ascii="宋体" w:hAnsi="宋体"/>
          <w:b/>
          <w:bCs/>
          <w:sz w:val="28"/>
          <w:szCs w:val="28"/>
        </w:rPr>
        <w:t>安全管理中心</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安全管理中心是对信息系统的系统管理、审计管理、安全管理、集中管控进行测评。</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2.3.6</w:t>
      </w:r>
      <w:r>
        <w:rPr>
          <w:rFonts w:hint="eastAsia" w:ascii="宋体" w:hAnsi="宋体"/>
          <w:b/>
          <w:bCs/>
          <w:sz w:val="28"/>
          <w:szCs w:val="28"/>
        </w:rPr>
        <w:tab/>
      </w:r>
      <w:r>
        <w:rPr>
          <w:rFonts w:hint="eastAsia" w:ascii="宋体" w:hAnsi="宋体"/>
          <w:b/>
          <w:bCs/>
          <w:sz w:val="28"/>
          <w:szCs w:val="28"/>
        </w:rPr>
        <w:t>安全管理制度</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安全管理制度测评将通过访谈和检查的形式评测安全管理制度的制定、发布、评审和修订等情况。主要涉及安全主管人员、安全管理人员、各类其它人员、各类管理制度、各类操作规程文件等对象。</w:t>
      </w:r>
    </w:p>
    <w:p>
      <w:pPr>
        <w:tabs>
          <w:tab w:val="left" w:pos="1080"/>
          <w:tab w:val="left" w:pos="1680"/>
        </w:tabs>
        <w:snapToGrid w:val="0"/>
        <w:spacing w:line="360" w:lineRule="auto"/>
        <w:ind w:firstLine="562" w:firstLineChars="200"/>
        <w:rPr>
          <w:rFonts w:ascii="宋体" w:hAnsi="宋体"/>
          <w:bCs/>
          <w:sz w:val="28"/>
          <w:szCs w:val="28"/>
        </w:rPr>
      </w:pPr>
      <w:r>
        <w:rPr>
          <w:rFonts w:hint="eastAsia" w:ascii="宋体" w:hAnsi="宋体"/>
          <w:b/>
          <w:bCs/>
          <w:sz w:val="28"/>
          <w:szCs w:val="28"/>
        </w:rPr>
        <w:t>2.3.7</w:t>
      </w:r>
      <w:r>
        <w:rPr>
          <w:rFonts w:hint="eastAsia" w:ascii="宋体" w:hAnsi="宋体"/>
          <w:b/>
          <w:bCs/>
          <w:sz w:val="28"/>
          <w:szCs w:val="28"/>
        </w:rPr>
        <w:tab/>
      </w:r>
      <w:r>
        <w:rPr>
          <w:rFonts w:hint="eastAsia" w:ascii="宋体" w:hAnsi="宋体"/>
          <w:b/>
          <w:bCs/>
          <w:sz w:val="28"/>
          <w:szCs w:val="28"/>
        </w:rPr>
        <w:t>安全管理机构</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安全管理机构测评将通过访谈和检查的形式评测安全管理机构的组成情况和机构工作组织情况。主要涉及安全主管人员、安全管理人员、相关的文件资料和工作记录等对象。</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2.3.8</w:t>
      </w:r>
      <w:r>
        <w:rPr>
          <w:rFonts w:hint="eastAsia" w:ascii="宋体" w:hAnsi="宋体"/>
          <w:b/>
          <w:bCs/>
          <w:sz w:val="28"/>
          <w:szCs w:val="28"/>
        </w:rPr>
        <w:tab/>
      </w:r>
      <w:r>
        <w:rPr>
          <w:rFonts w:hint="eastAsia" w:ascii="宋体" w:hAnsi="宋体"/>
          <w:b/>
          <w:bCs/>
          <w:sz w:val="28"/>
          <w:szCs w:val="28"/>
        </w:rPr>
        <w:t>安全管理人员</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安全管理人员测评将通过访谈和检查的形式评测机构人员安全控制方面的情况。主要涉及安全主管人员、人事管理人员、相关管理制度、相关工作记录等对象。</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2.3.9</w:t>
      </w:r>
      <w:r>
        <w:rPr>
          <w:rFonts w:hint="eastAsia" w:ascii="宋体" w:hAnsi="宋体"/>
          <w:b/>
          <w:bCs/>
          <w:sz w:val="28"/>
          <w:szCs w:val="28"/>
        </w:rPr>
        <w:tab/>
      </w:r>
      <w:r>
        <w:rPr>
          <w:rFonts w:hint="eastAsia" w:ascii="宋体" w:hAnsi="宋体"/>
          <w:b/>
          <w:bCs/>
          <w:sz w:val="28"/>
          <w:szCs w:val="28"/>
        </w:rPr>
        <w:t>系统建设管理</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系统建设管理测评将通过访谈和检查的形式评测系统建设管理过程中的安全控制情况。主要涉及安全主管人员、系统建设负责人、各类管理制度、操作规程文件、执行过程记录等对象。</w:t>
      </w:r>
    </w:p>
    <w:p>
      <w:pPr>
        <w:tabs>
          <w:tab w:val="left" w:pos="1080"/>
          <w:tab w:val="left" w:pos="1680"/>
        </w:tabs>
        <w:snapToGrid w:val="0"/>
        <w:spacing w:line="360" w:lineRule="auto"/>
        <w:ind w:firstLine="562" w:firstLineChars="200"/>
        <w:rPr>
          <w:rFonts w:ascii="宋体" w:hAnsi="宋体"/>
          <w:b/>
          <w:bCs/>
          <w:sz w:val="28"/>
          <w:szCs w:val="28"/>
        </w:rPr>
      </w:pPr>
      <w:r>
        <w:rPr>
          <w:rFonts w:hint="eastAsia" w:ascii="宋体" w:hAnsi="宋体"/>
          <w:b/>
          <w:bCs/>
          <w:sz w:val="28"/>
          <w:szCs w:val="28"/>
        </w:rPr>
        <w:t>2.3.10</w:t>
      </w:r>
      <w:r>
        <w:rPr>
          <w:rFonts w:ascii="宋体" w:hAnsi="宋体"/>
          <w:b/>
          <w:bCs/>
          <w:sz w:val="28"/>
          <w:szCs w:val="28"/>
        </w:rPr>
        <w:t xml:space="preserve"> </w:t>
      </w:r>
      <w:r>
        <w:rPr>
          <w:rFonts w:hint="eastAsia" w:ascii="宋体" w:hAnsi="宋体"/>
          <w:b/>
          <w:bCs/>
          <w:sz w:val="28"/>
          <w:szCs w:val="28"/>
        </w:rPr>
        <w:t>系统运维管理</w:t>
      </w:r>
    </w:p>
    <w:p>
      <w:pPr>
        <w:tabs>
          <w:tab w:val="left" w:pos="1080"/>
          <w:tab w:val="left" w:pos="1680"/>
        </w:tabs>
        <w:snapToGrid w:val="0"/>
        <w:spacing w:line="360" w:lineRule="auto"/>
        <w:ind w:firstLine="560" w:firstLineChars="200"/>
        <w:rPr>
          <w:rFonts w:ascii="宋体" w:hAnsi="宋体"/>
          <w:bCs/>
          <w:sz w:val="28"/>
          <w:szCs w:val="28"/>
        </w:rPr>
      </w:pPr>
      <w:r>
        <w:rPr>
          <w:rFonts w:hint="eastAsia" w:ascii="宋体" w:hAnsi="宋体"/>
          <w:bCs/>
          <w:sz w:val="28"/>
          <w:szCs w:val="28"/>
        </w:rPr>
        <w:t>系统运维管理测评是对信息系统运行维护过程中的环境管理、资产管理、介质管理、设备维护管理、漏洞和风险管理、网络和系统安全管理、恶意代码防范管理、配置管理、密码管理、变更管理、备份与恢复管理、安全事件处置、应急预案管理、外包运维管理等情况进行测评</w:t>
      </w:r>
      <w:r>
        <w:rPr>
          <w:rFonts w:hint="eastAsia" w:ascii="宋体" w:hAnsi="宋体"/>
          <w:sz w:val="28"/>
          <w:szCs w:val="28"/>
        </w:rPr>
        <w:t>。</w:t>
      </w:r>
    </w:p>
    <w:p>
      <w:pPr>
        <w:numPr>
          <w:ilvl w:val="1"/>
          <w:numId w:val="2"/>
        </w:numPr>
        <w:spacing w:line="360" w:lineRule="auto"/>
        <w:outlineLvl w:val="1"/>
        <w:rPr>
          <w:rFonts w:ascii="宋体" w:hAnsi="宋体"/>
          <w:b/>
          <w:sz w:val="28"/>
          <w:szCs w:val="28"/>
        </w:rPr>
      </w:pPr>
      <w:r>
        <w:rPr>
          <w:rFonts w:hint="eastAsia" w:ascii="宋体" w:hAnsi="宋体"/>
          <w:b/>
          <w:sz w:val="28"/>
          <w:szCs w:val="28"/>
        </w:rPr>
        <w:t>安全防护评估内容</w:t>
      </w:r>
    </w:p>
    <w:p>
      <w:pPr>
        <w:tabs>
          <w:tab w:val="left" w:pos="1080"/>
          <w:tab w:val="left" w:pos="1680"/>
        </w:tabs>
        <w:snapToGrid w:val="0"/>
        <w:spacing w:line="360" w:lineRule="auto"/>
        <w:ind w:firstLine="560" w:firstLineChars="200"/>
        <w:rPr>
          <w:sz w:val="28"/>
          <w:szCs w:val="28"/>
        </w:rPr>
      </w:pPr>
      <w:r>
        <w:rPr>
          <w:rFonts w:hint="eastAsia"/>
          <w:sz w:val="28"/>
          <w:szCs w:val="28"/>
        </w:rPr>
        <w:t>根据电力监控系统安全防护评估相关标准，在系统等级保护测评的基础上，增加如下评估项：资产评估、威胁评估、通用应用评估、基础设施安全评估、体系结构安全评估、系统本体安全评估、全面安全管理评估、安全应急能力评估、现有安全措施有效性评估等。</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资产评估</w:t>
      </w:r>
    </w:p>
    <w:p>
      <w:pPr>
        <w:tabs>
          <w:tab w:val="left" w:pos="1080"/>
          <w:tab w:val="left" w:pos="1680"/>
        </w:tabs>
        <w:snapToGrid w:val="0"/>
        <w:spacing w:line="360" w:lineRule="auto"/>
        <w:ind w:firstLine="560" w:firstLineChars="200"/>
        <w:rPr>
          <w:rFonts w:ascii="宋体" w:hAnsi="宋体"/>
          <w:sz w:val="28"/>
          <w:szCs w:val="28"/>
        </w:rPr>
      </w:pPr>
      <w:r>
        <w:rPr>
          <w:rFonts w:hint="eastAsia"/>
          <w:sz w:val="28"/>
          <w:szCs w:val="28"/>
        </w:rPr>
        <w:t>资产评估对象包括：网络、主机、安全防护措施、应用系统等。根据安全防护评估有关技术要求，资产评估主要考虑两个方面的内容：一是信息系统中所存储、处理、传输的主要信息，二是信息系统所提供的主要服务。通过对每一类信息和服务等级的分析，最终确定信息系统的重要性级别。资产评估具体步骤包括：资产数据整理与核实、资产重要程度分析。其中，资产数据整理与核实是根据被评估单位前期提交的资料，进行资产数据的真实性的查证与确认。资产重要程度分析是根据资产承载的数据、提供的服务，判定资产重要程度的过程</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威胁评估</w:t>
      </w:r>
    </w:p>
    <w:p>
      <w:pPr>
        <w:tabs>
          <w:tab w:val="left" w:pos="1080"/>
          <w:tab w:val="left" w:pos="1680"/>
        </w:tabs>
        <w:snapToGrid w:val="0"/>
        <w:spacing w:line="360" w:lineRule="auto"/>
        <w:ind w:firstLine="560" w:firstLineChars="200"/>
        <w:rPr>
          <w:rFonts w:ascii="宋体" w:hAnsi="宋体"/>
          <w:sz w:val="28"/>
          <w:szCs w:val="28"/>
        </w:rPr>
      </w:pPr>
      <w:r>
        <w:rPr>
          <w:rFonts w:hint="eastAsia"/>
          <w:sz w:val="28"/>
          <w:szCs w:val="28"/>
        </w:rPr>
        <w:t>威胁评估是对被评估单位业务系统、网络与信息系统面临的威胁进行分析的过程。威胁评估依据《电力监控系统安全防护评估规范》提供的威胁列表，以运行与管理人员访谈的方式进行。如被评估单位能够提供历史信息安全事件统计，也可作为威胁评估的补充内容。通过威胁评估，要达到明确被评估单位信息系统面临的主要威胁，以及这些威胁的等级的目的</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通用应用评估</w:t>
      </w:r>
    </w:p>
    <w:p>
      <w:pPr>
        <w:tabs>
          <w:tab w:val="left" w:pos="1080"/>
          <w:tab w:val="left" w:pos="1680"/>
        </w:tabs>
        <w:snapToGrid w:val="0"/>
        <w:spacing w:line="360" w:lineRule="auto"/>
        <w:ind w:firstLine="560" w:firstLineChars="200"/>
        <w:rPr>
          <w:rFonts w:ascii="宋体" w:hAnsi="宋体"/>
          <w:sz w:val="28"/>
          <w:szCs w:val="28"/>
        </w:rPr>
      </w:pPr>
      <w:r>
        <w:rPr>
          <w:rFonts w:hint="eastAsia"/>
          <w:sz w:val="28"/>
          <w:szCs w:val="28"/>
        </w:rPr>
        <w:t>通用应用评估是对信息系统中的数据库服务、Web服务等通用应用进行的安全配置检查，达到发现通用应用安全漏洞的目的。通用应用评估也采用人工审计和漏洞扫描两种方式进行</w:t>
      </w:r>
      <w:r>
        <w:rPr>
          <w:rFonts w:hint="eastAsia" w:ascii="宋体" w:hAnsi="宋体"/>
          <w:sz w:val="28"/>
          <w:szCs w:val="28"/>
        </w:rPr>
        <w:t>。</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基础设施安全评估</w:t>
      </w:r>
    </w:p>
    <w:p>
      <w:pPr>
        <w:spacing w:line="360" w:lineRule="auto"/>
        <w:ind w:firstLine="560" w:firstLineChars="200"/>
        <w:rPr>
          <w:sz w:val="28"/>
          <w:szCs w:val="28"/>
        </w:rPr>
      </w:pPr>
      <w:r>
        <w:rPr>
          <w:rFonts w:hint="eastAsia"/>
          <w:sz w:val="28"/>
          <w:szCs w:val="28"/>
        </w:rPr>
        <w:t>基础设施评估是对电力监控系统所处机房的物理安全防护情况，包括防水、防潮、防火、防静电、防雷击、防盗窃、防破坏措施实施情况，电子门禁的使用情况等进行评估。</w:t>
      </w:r>
    </w:p>
    <w:p>
      <w:pPr>
        <w:tabs>
          <w:tab w:val="left" w:pos="1080"/>
          <w:tab w:val="left" w:pos="1680"/>
        </w:tabs>
        <w:snapToGrid w:val="0"/>
        <w:spacing w:line="360" w:lineRule="auto"/>
        <w:ind w:firstLine="560" w:firstLineChars="200"/>
        <w:rPr>
          <w:rFonts w:ascii="宋体" w:hAnsi="宋体"/>
          <w:sz w:val="28"/>
          <w:szCs w:val="28"/>
        </w:rPr>
      </w:pPr>
      <w:r>
        <w:rPr>
          <w:rFonts w:hint="eastAsia" w:ascii="仿宋_GB2312" w:hAnsi="宋体"/>
          <w:sz w:val="28"/>
          <w:szCs w:val="28"/>
        </w:rPr>
        <w:t>电力监控系统设备及线缆的部署情况，包括服务器、网络设备、安全设备的安装情况，通信线缆和电源线的铺设情况，设备电力供应情况等</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体系结构安全评估</w:t>
      </w:r>
    </w:p>
    <w:p>
      <w:pPr>
        <w:tabs>
          <w:tab w:val="left" w:pos="1080"/>
          <w:tab w:val="left" w:pos="1680"/>
        </w:tabs>
        <w:snapToGrid w:val="0"/>
        <w:spacing w:line="360" w:lineRule="auto"/>
        <w:ind w:firstLine="560" w:firstLineChars="200"/>
        <w:rPr>
          <w:rFonts w:ascii="仿宋_GB2312" w:hAnsi="宋体"/>
          <w:sz w:val="28"/>
          <w:szCs w:val="28"/>
        </w:rPr>
      </w:pPr>
      <w:r>
        <w:rPr>
          <w:rFonts w:hint="eastAsia" w:ascii="仿宋_GB2312" w:hAnsi="宋体"/>
          <w:sz w:val="28"/>
          <w:szCs w:val="28"/>
        </w:rPr>
        <w:t>体系结构评估应重点检查16字方针“安全分区、网络专用、横向隔离、纵向认证”的落实情况，重点针对网络边界防护措施、横向隔离、纵向认证等关键防护措施的执行情况，安全接入区的设置情况、无线网络防护等。</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系统本体安全评估</w:t>
      </w:r>
    </w:p>
    <w:p>
      <w:pPr>
        <w:spacing w:line="360" w:lineRule="auto"/>
        <w:ind w:firstLine="560" w:firstLineChars="200"/>
        <w:rPr>
          <w:rFonts w:hAnsi="宋体"/>
          <w:sz w:val="28"/>
          <w:szCs w:val="28"/>
        </w:rPr>
      </w:pPr>
      <w:r>
        <w:rPr>
          <w:rFonts w:hint="eastAsia" w:hAnsi="宋体"/>
          <w:sz w:val="28"/>
          <w:szCs w:val="28"/>
        </w:rPr>
        <w:t>系统本体安全评估是对电力监控系统自身安全防护情况，包括软、硬件使用和策略配置等进行评估：</w:t>
      </w:r>
    </w:p>
    <w:p>
      <w:pPr>
        <w:pStyle w:val="43"/>
        <w:numPr>
          <w:ilvl w:val="0"/>
          <w:numId w:val="4"/>
        </w:numPr>
        <w:spacing w:line="360" w:lineRule="auto"/>
        <w:ind w:firstLineChars="0"/>
        <w:rPr>
          <w:rFonts w:hAnsi="宋体"/>
          <w:sz w:val="28"/>
          <w:szCs w:val="28"/>
        </w:rPr>
      </w:pPr>
      <w:r>
        <w:rPr>
          <w:rFonts w:hint="eastAsia" w:hAnsi="宋体"/>
          <w:sz w:val="28"/>
          <w:szCs w:val="28"/>
        </w:rPr>
        <w:t>移动存储介质使用情况，包括</w:t>
      </w:r>
      <w:r>
        <w:rPr>
          <w:rFonts w:hint="eastAsia"/>
          <w:sz w:val="28"/>
          <w:szCs w:val="28"/>
        </w:rPr>
        <w:t>硬盘、U盘或其它存储设备；</w:t>
      </w:r>
    </w:p>
    <w:p>
      <w:pPr>
        <w:pStyle w:val="43"/>
        <w:numPr>
          <w:ilvl w:val="0"/>
          <w:numId w:val="4"/>
        </w:numPr>
        <w:spacing w:line="360" w:lineRule="auto"/>
        <w:ind w:firstLineChars="0"/>
        <w:rPr>
          <w:rFonts w:hAnsi="宋体"/>
          <w:sz w:val="28"/>
          <w:szCs w:val="28"/>
        </w:rPr>
      </w:pPr>
      <w:r>
        <w:rPr>
          <w:rFonts w:hint="eastAsia" w:hAnsi="宋体"/>
          <w:sz w:val="28"/>
          <w:szCs w:val="28"/>
        </w:rPr>
        <w:t>操作系统、网络设备、应用系统用户口令使用情况；</w:t>
      </w:r>
    </w:p>
    <w:p>
      <w:pPr>
        <w:pStyle w:val="43"/>
        <w:numPr>
          <w:ilvl w:val="0"/>
          <w:numId w:val="4"/>
        </w:numPr>
        <w:spacing w:line="360" w:lineRule="auto"/>
        <w:ind w:firstLineChars="0"/>
        <w:rPr>
          <w:rFonts w:hAnsi="宋体"/>
          <w:sz w:val="28"/>
          <w:szCs w:val="28"/>
        </w:rPr>
      </w:pPr>
      <w:r>
        <w:rPr>
          <w:rFonts w:hint="eastAsia" w:hAnsi="宋体"/>
          <w:sz w:val="28"/>
          <w:szCs w:val="28"/>
        </w:rPr>
        <w:t>操作系统、网络设备、应用系统用户权限分配情况；</w:t>
      </w:r>
    </w:p>
    <w:p>
      <w:pPr>
        <w:pStyle w:val="43"/>
        <w:numPr>
          <w:ilvl w:val="0"/>
          <w:numId w:val="4"/>
        </w:numPr>
        <w:spacing w:line="360" w:lineRule="auto"/>
        <w:ind w:firstLineChars="0"/>
        <w:rPr>
          <w:rFonts w:hAnsi="宋体"/>
          <w:sz w:val="28"/>
          <w:szCs w:val="28"/>
        </w:rPr>
      </w:pPr>
      <w:r>
        <w:rPr>
          <w:rFonts w:hint="eastAsia" w:hAnsi="宋体"/>
          <w:sz w:val="28"/>
          <w:szCs w:val="28"/>
        </w:rPr>
        <w:t>主机、交换机、路由器等设备、应用系统的安全策略配置及加固情况，尤其是Windows系统、非国产网络及安全设备。</w:t>
      </w:r>
    </w:p>
    <w:p>
      <w:pPr>
        <w:pStyle w:val="43"/>
        <w:numPr>
          <w:ilvl w:val="0"/>
          <w:numId w:val="4"/>
        </w:numPr>
        <w:spacing w:line="360" w:lineRule="auto"/>
        <w:ind w:firstLineChars="0"/>
        <w:rPr>
          <w:rFonts w:hAnsi="宋体"/>
          <w:sz w:val="28"/>
          <w:szCs w:val="28"/>
        </w:rPr>
      </w:pPr>
      <w:r>
        <w:rPr>
          <w:rFonts w:hint="eastAsia"/>
          <w:sz w:val="28"/>
          <w:szCs w:val="28"/>
        </w:rPr>
        <w:t>终端检测：主要为抽查被评估单位办公终端和上网终端是否有驻留木马、蠕虫、恶意软件，是否存在自定义共享文件夹，系统补丁是否及时更新安装，关键工作文件存放是否恰当等情况。主要通过人工查看和工具检测两种方式来进行。</w:t>
      </w:r>
    </w:p>
    <w:p>
      <w:pPr>
        <w:pStyle w:val="43"/>
        <w:numPr>
          <w:ilvl w:val="0"/>
          <w:numId w:val="4"/>
        </w:numPr>
        <w:spacing w:line="360" w:lineRule="auto"/>
        <w:ind w:firstLineChars="0"/>
        <w:rPr>
          <w:rFonts w:hAnsi="宋体"/>
          <w:sz w:val="28"/>
          <w:szCs w:val="28"/>
        </w:rPr>
      </w:pPr>
      <w:r>
        <w:rPr>
          <w:rFonts w:hint="eastAsia" w:hAnsi="宋体"/>
          <w:sz w:val="28"/>
          <w:szCs w:val="28"/>
        </w:rPr>
        <w:t>外设检测：</w:t>
      </w:r>
      <w:r>
        <w:rPr>
          <w:rFonts w:hint="eastAsia"/>
          <w:sz w:val="28"/>
          <w:szCs w:val="28"/>
        </w:rPr>
        <w:t>主要检测带有硬盘、内存或其它存储设备和简易操作系统的网络打印机、传真机等智能设备。</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b/>
          <w:bCs/>
          <w:sz w:val="28"/>
          <w:szCs w:val="28"/>
        </w:rPr>
        <w:t>全面安全管理评估</w:t>
      </w:r>
    </w:p>
    <w:p>
      <w:pPr>
        <w:spacing w:line="360" w:lineRule="auto"/>
        <w:ind w:firstLine="560" w:firstLineChars="200"/>
        <w:rPr>
          <w:sz w:val="28"/>
          <w:szCs w:val="28"/>
        </w:rPr>
      </w:pPr>
      <w:r>
        <w:rPr>
          <w:rFonts w:hint="eastAsia"/>
          <w:sz w:val="28"/>
          <w:szCs w:val="28"/>
        </w:rPr>
        <w:t>全面安全管理评估是从管理角度对单位电力监控系统概况进行评估，重点检查安全防护规定落实情况；</w:t>
      </w:r>
    </w:p>
    <w:p>
      <w:pPr>
        <w:spacing w:line="360" w:lineRule="auto"/>
        <w:ind w:firstLine="560" w:firstLineChars="200"/>
        <w:rPr>
          <w:sz w:val="28"/>
          <w:szCs w:val="28"/>
        </w:rPr>
      </w:pPr>
      <w:r>
        <w:rPr>
          <w:rFonts w:hint="eastAsia"/>
          <w:sz w:val="28"/>
          <w:szCs w:val="28"/>
        </w:rPr>
        <w:t>制度建立及主管领导、管理机构和工作人员履职情况，信息安全责任制落实情况；</w:t>
      </w:r>
    </w:p>
    <w:p>
      <w:pPr>
        <w:spacing w:line="360" w:lineRule="auto"/>
        <w:ind w:firstLine="560" w:firstLineChars="200"/>
        <w:rPr>
          <w:sz w:val="28"/>
          <w:szCs w:val="28"/>
        </w:rPr>
      </w:pPr>
      <w:r>
        <w:rPr>
          <w:rFonts w:hint="eastAsia"/>
          <w:sz w:val="28"/>
          <w:szCs w:val="28"/>
        </w:rPr>
        <w:t>运维人员的安全管控情况；</w:t>
      </w:r>
    </w:p>
    <w:p>
      <w:pPr>
        <w:spacing w:line="360" w:lineRule="auto"/>
        <w:ind w:firstLine="560" w:firstLineChars="200"/>
        <w:rPr>
          <w:sz w:val="28"/>
          <w:szCs w:val="28"/>
        </w:rPr>
      </w:pPr>
      <w:r>
        <w:rPr>
          <w:rFonts w:hint="eastAsia"/>
          <w:sz w:val="28"/>
          <w:szCs w:val="28"/>
        </w:rPr>
        <w:t>电力监控系统安全防护评估工作开展情况；</w:t>
      </w:r>
    </w:p>
    <w:p>
      <w:pPr>
        <w:tabs>
          <w:tab w:val="left" w:pos="1080"/>
          <w:tab w:val="left" w:pos="1680"/>
        </w:tabs>
        <w:snapToGrid w:val="0"/>
        <w:spacing w:line="360" w:lineRule="auto"/>
        <w:ind w:firstLine="560" w:firstLineChars="200"/>
        <w:rPr>
          <w:sz w:val="28"/>
          <w:szCs w:val="28"/>
        </w:rPr>
      </w:pPr>
      <w:r>
        <w:rPr>
          <w:rFonts w:hint="eastAsia"/>
          <w:sz w:val="28"/>
          <w:szCs w:val="28"/>
        </w:rPr>
        <w:t>信息安全宣传教育、领导干部及各级人员网络与信息安全基础培训、信息安全人员专业技术培训情况等。</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hAnsi="宋体"/>
          <w:b/>
          <w:bCs/>
          <w:sz w:val="28"/>
          <w:szCs w:val="28"/>
        </w:rPr>
        <w:t>安全应急能力</w:t>
      </w:r>
      <w:r>
        <w:rPr>
          <w:rFonts w:hint="eastAsia" w:ascii="宋体" w:hAnsi="宋体"/>
          <w:b/>
          <w:bCs/>
          <w:sz w:val="28"/>
          <w:szCs w:val="28"/>
        </w:rPr>
        <w:t>评估</w:t>
      </w:r>
    </w:p>
    <w:p>
      <w:pPr>
        <w:spacing w:line="360" w:lineRule="auto"/>
        <w:ind w:firstLine="560" w:firstLineChars="200"/>
        <w:rPr>
          <w:sz w:val="28"/>
          <w:szCs w:val="28"/>
        </w:rPr>
      </w:pPr>
      <w:r>
        <w:rPr>
          <w:rFonts w:hint="eastAsia"/>
          <w:sz w:val="28"/>
          <w:szCs w:val="28"/>
        </w:rPr>
        <w:t>安全应急能力评估是对系统的安全有效性、业务的连续性和备用、灾备能力进行评估。</w:t>
      </w:r>
    </w:p>
    <w:p>
      <w:pPr>
        <w:spacing w:line="360" w:lineRule="auto"/>
        <w:ind w:firstLine="560" w:firstLineChars="200"/>
        <w:rPr>
          <w:sz w:val="28"/>
          <w:szCs w:val="28"/>
        </w:rPr>
      </w:pPr>
      <w:r>
        <w:rPr>
          <w:rFonts w:hint="eastAsia"/>
          <w:sz w:val="28"/>
          <w:szCs w:val="28"/>
        </w:rPr>
        <w:t>备用与容灾能力的建设情况，包括系统的冗余设备部署情况，设备配置的备份情况等；</w:t>
      </w:r>
    </w:p>
    <w:p>
      <w:pPr>
        <w:spacing w:line="360" w:lineRule="auto"/>
        <w:ind w:firstLine="560" w:firstLineChars="200"/>
        <w:rPr>
          <w:sz w:val="28"/>
          <w:szCs w:val="28"/>
        </w:rPr>
      </w:pPr>
      <w:r>
        <w:rPr>
          <w:rFonts w:hint="eastAsia"/>
          <w:sz w:val="28"/>
          <w:szCs w:val="28"/>
        </w:rPr>
        <w:t>网络与信息安全应急预案的制定、修订情况，包括应急预案是否健全，是否具有针对性和可操作性等；</w:t>
      </w:r>
    </w:p>
    <w:p>
      <w:pPr>
        <w:spacing w:line="360" w:lineRule="auto"/>
        <w:ind w:firstLine="560" w:firstLineChars="200"/>
        <w:rPr>
          <w:sz w:val="28"/>
          <w:szCs w:val="28"/>
        </w:rPr>
      </w:pPr>
      <w:r>
        <w:rPr>
          <w:rFonts w:hint="eastAsia"/>
          <w:sz w:val="28"/>
          <w:szCs w:val="28"/>
        </w:rPr>
        <w:t>应急技术支撑队伍建设、应急演练的执行情况；</w:t>
      </w:r>
    </w:p>
    <w:p>
      <w:pPr>
        <w:tabs>
          <w:tab w:val="left" w:pos="1080"/>
          <w:tab w:val="left" w:pos="1680"/>
        </w:tabs>
        <w:snapToGrid w:val="0"/>
        <w:spacing w:line="360" w:lineRule="auto"/>
        <w:ind w:firstLine="560" w:firstLineChars="200"/>
        <w:rPr>
          <w:sz w:val="28"/>
          <w:szCs w:val="28"/>
        </w:rPr>
      </w:pPr>
      <w:r>
        <w:rPr>
          <w:rFonts w:hint="eastAsia"/>
          <w:sz w:val="28"/>
          <w:szCs w:val="28"/>
        </w:rPr>
        <w:t>重大网络安全事件处置情况。</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bookmarkStart w:id="40" w:name="_Toc450580307"/>
      <w:r>
        <w:rPr>
          <w:rFonts w:hint="eastAsia" w:hAnsi="宋体"/>
          <w:b/>
          <w:bCs/>
          <w:sz w:val="28"/>
          <w:szCs w:val="28"/>
        </w:rPr>
        <w:t>现有安全措施有效性评估</w:t>
      </w:r>
      <w:bookmarkEnd w:id="40"/>
    </w:p>
    <w:p>
      <w:pPr>
        <w:tabs>
          <w:tab w:val="left" w:pos="1080"/>
          <w:tab w:val="left" w:pos="1680"/>
        </w:tabs>
        <w:snapToGrid w:val="0"/>
        <w:spacing w:line="360" w:lineRule="auto"/>
        <w:ind w:firstLine="560" w:firstLineChars="200"/>
        <w:rPr>
          <w:rFonts w:hint="eastAsia"/>
          <w:sz w:val="28"/>
          <w:szCs w:val="28"/>
        </w:rPr>
      </w:pPr>
      <w:r>
        <w:rPr>
          <w:rFonts w:hint="eastAsia"/>
          <w:sz w:val="28"/>
          <w:szCs w:val="28"/>
        </w:rPr>
        <w:t>现有安全措施有效性评估是对信息系统中部署的主要安全防护措施进行的审计，达到确定这些安全措施的管理和使用情况是否存在重大漏洞和缺陷，明确现有安全措施的有效性程度的目的。现有安全措施的评估主要采用人工检查和访谈的方式进行。主要包括防火墙、防病毒系统、入侵检测/防御装置、防病毒网关、单向隔离装置、纵向认证装置等现有安全措施。</w:t>
      </w:r>
    </w:p>
    <w:p>
      <w:pPr>
        <w:numPr>
          <w:ilvl w:val="2"/>
          <w:numId w:val="2"/>
        </w:numPr>
        <w:tabs>
          <w:tab w:val="left" w:pos="0"/>
        </w:tabs>
        <w:overflowPunct w:val="0"/>
        <w:topLinePunct/>
        <w:snapToGrid w:val="0"/>
        <w:spacing w:line="360" w:lineRule="auto"/>
        <w:ind w:left="0" w:firstLine="0"/>
        <w:outlineLvl w:val="2"/>
        <w:rPr>
          <w:rFonts w:hAnsi="宋体"/>
          <w:b/>
          <w:bCs/>
          <w:sz w:val="28"/>
          <w:szCs w:val="28"/>
        </w:rPr>
      </w:pPr>
      <w:r>
        <w:rPr>
          <w:rFonts w:hint="eastAsia" w:hAnsi="宋体"/>
          <w:b/>
          <w:bCs/>
          <w:sz w:val="28"/>
          <w:szCs w:val="28"/>
        </w:rPr>
        <w:t>白客渗透检测</w:t>
      </w:r>
    </w:p>
    <w:p>
      <w:pPr>
        <w:pStyle w:val="49"/>
        <w:ind w:firstLine="560"/>
        <w:rPr>
          <w:rFonts w:ascii="Times New Roman"/>
          <w:position w:val="0"/>
          <w:sz w:val="28"/>
          <w:szCs w:val="28"/>
        </w:rPr>
      </w:pPr>
      <w:r>
        <w:rPr>
          <w:rFonts w:hint="eastAsia" w:ascii="Times New Roman"/>
          <w:position w:val="0"/>
          <w:sz w:val="28"/>
          <w:szCs w:val="28"/>
        </w:rPr>
        <w:t>白客渗透检测包括两个方面的内容：外部渗透和内部渗透。</w:t>
      </w:r>
    </w:p>
    <w:p>
      <w:pPr>
        <w:pStyle w:val="49"/>
        <w:ind w:firstLine="560"/>
        <w:rPr>
          <w:rFonts w:ascii="Times New Roman"/>
          <w:position w:val="0"/>
          <w:sz w:val="28"/>
          <w:szCs w:val="28"/>
        </w:rPr>
      </w:pPr>
      <w:r>
        <w:rPr>
          <w:rFonts w:hint="eastAsia" w:ascii="Times New Roman"/>
          <w:position w:val="0"/>
          <w:sz w:val="28"/>
          <w:szCs w:val="28"/>
        </w:rPr>
        <w:t>外部渗透主要是检测被评估单位面对来自互联网恶意入侵者渗透的防御能力。主要范围为被评估单位对互联网发布节点的应用服务器、对外网站服务器及下属网站服务器等，模拟黑客进行渗透性测试。</w:t>
      </w:r>
    </w:p>
    <w:p>
      <w:pPr>
        <w:pStyle w:val="49"/>
        <w:ind w:firstLine="560"/>
        <w:rPr>
          <w:rFonts w:ascii="Times New Roman"/>
          <w:position w:val="0"/>
          <w:sz w:val="28"/>
          <w:szCs w:val="28"/>
        </w:rPr>
      </w:pPr>
      <w:r>
        <w:rPr>
          <w:rFonts w:hint="eastAsia" w:ascii="Times New Roman"/>
          <w:position w:val="0"/>
          <w:sz w:val="28"/>
          <w:szCs w:val="28"/>
        </w:rPr>
        <w:t>内部渗透主要是检测被评估单位面对来自内部恶意破坏者渗透或窃密的防御能力。主要范围为被评估单位内网门户、内部网站等；因电力监控系统影响面广，在对生产区系统进行渗透检测时应签订保密协议；若出现紧急情况；</w:t>
      </w:r>
      <w:r>
        <w:rPr>
          <w:rFonts w:hint="eastAsia" w:ascii="Times New Roman"/>
          <w:position w:val="0"/>
          <w:sz w:val="28"/>
          <w:szCs w:val="28"/>
          <w:highlight w:val="yellow"/>
        </w:rPr>
        <w:t>现场应急处理人员所属单位应是国家互联网应急中心(CNCERT)“省级及以上支撑单位。</w:t>
      </w:r>
    </w:p>
    <w:p>
      <w:pPr>
        <w:numPr>
          <w:ilvl w:val="2"/>
          <w:numId w:val="2"/>
        </w:numPr>
        <w:tabs>
          <w:tab w:val="left" w:pos="0"/>
        </w:tabs>
        <w:overflowPunct w:val="0"/>
        <w:topLinePunct/>
        <w:snapToGrid w:val="0"/>
        <w:spacing w:line="360" w:lineRule="auto"/>
        <w:ind w:left="0" w:firstLine="0"/>
        <w:outlineLvl w:val="2"/>
        <w:rPr>
          <w:rFonts w:hAnsi="宋体"/>
          <w:b/>
          <w:bCs/>
          <w:sz w:val="28"/>
          <w:szCs w:val="28"/>
        </w:rPr>
      </w:pPr>
      <w:r>
        <w:rPr>
          <w:rFonts w:hint="eastAsia" w:ascii="宋体" w:hAnsi="宋体"/>
          <w:b/>
          <w:bCs/>
          <w:sz w:val="24"/>
          <w:szCs w:val="24"/>
        </w:rPr>
        <w:t>终端检测</w:t>
      </w:r>
    </w:p>
    <w:p>
      <w:pPr>
        <w:pStyle w:val="49"/>
        <w:ind w:firstLine="560"/>
        <w:rPr>
          <w:rFonts w:ascii="Times New Roman"/>
          <w:position w:val="0"/>
          <w:sz w:val="28"/>
          <w:szCs w:val="28"/>
        </w:rPr>
      </w:pPr>
      <w:r>
        <w:rPr>
          <w:rFonts w:hint="eastAsia" w:ascii="Times New Roman"/>
          <w:position w:val="0"/>
          <w:sz w:val="28"/>
          <w:szCs w:val="28"/>
        </w:rPr>
        <w:t>终端检测主要为抽查被评估单位办公终端和上网终端是否有驻留木马、蠕虫、恶意软件，是否存在自定义共享文件夹，系统补丁是否及时更新安装，关键工作文件存放是否恰当等情况。主要通过人工查看和工具检测两种方式来进行。</w:t>
      </w:r>
    </w:p>
    <w:p>
      <w:pPr>
        <w:numPr>
          <w:ilvl w:val="2"/>
          <w:numId w:val="2"/>
        </w:numPr>
        <w:tabs>
          <w:tab w:val="left" w:pos="0"/>
        </w:tabs>
        <w:overflowPunct w:val="0"/>
        <w:topLinePunct/>
        <w:snapToGrid w:val="0"/>
        <w:spacing w:line="360" w:lineRule="auto"/>
        <w:ind w:left="0" w:firstLine="0"/>
        <w:outlineLvl w:val="2"/>
        <w:rPr>
          <w:rFonts w:hAnsi="宋体"/>
          <w:b/>
          <w:bCs/>
          <w:sz w:val="28"/>
          <w:szCs w:val="28"/>
        </w:rPr>
      </w:pPr>
      <w:r>
        <w:rPr>
          <w:rFonts w:hint="eastAsia" w:hAnsi="宋体"/>
          <w:b/>
          <w:bCs/>
          <w:sz w:val="28"/>
          <w:szCs w:val="28"/>
        </w:rPr>
        <w:t>外设检测</w:t>
      </w:r>
    </w:p>
    <w:p>
      <w:pPr>
        <w:pStyle w:val="49"/>
        <w:ind w:firstLine="560"/>
        <w:rPr>
          <w:rFonts w:ascii="Times New Roman"/>
          <w:position w:val="0"/>
          <w:sz w:val="28"/>
          <w:szCs w:val="28"/>
        </w:rPr>
      </w:pPr>
      <w:r>
        <w:rPr>
          <w:rFonts w:hint="eastAsia" w:ascii="Times New Roman"/>
          <w:position w:val="0"/>
          <w:sz w:val="28"/>
          <w:szCs w:val="28"/>
        </w:rPr>
        <w:t>外设检测主要面向带有硬盘、内存或其它存储设备和简易操作系统的网络打印机、传真机等智能设备。具体工作为判断外设是否未设置管理员口令；是否默认开放了FTP、TELNET、SNMP、WEB等服务，导致攻击者可以轻易控制该设备或发送大量请求而进行拒绝服务攻击。具体工作通过人工查看配合工具监测两种方式来进行。</w:t>
      </w:r>
    </w:p>
    <w:p>
      <w:pPr>
        <w:pStyle w:val="2"/>
      </w:pPr>
      <w:bookmarkStart w:id="47" w:name="_GoBack"/>
      <w:bookmarkEnd w:id="47"/>
    </w:p>
    <w:p>
      <w:pPr>
        <w:numPr>
          <w:ilvl w:val="1"/>
          <w:numId w:val="2"/>
        </w:numPr>
        <w:spacing w:line="360" w:lineRule="auto"/>
        <w:outlineLvl w:val="1"/>
        <w:rPr>
          <w:rFonts w:ascii="宋体" w:hAnsi="宋体"/>
          <w:b/>
          <w:sz w:val="28"/>
          <w:szCs w:val="28"/>
        </w:rPr>
      </w:pPr>
      <w:bookmarkStart w:id="41" w:name="_Toc311015405"/>
      <w:r>
        <w:rPr>
          <w:rFonts w:hint="eastAsia" w:ascii="宋体" w:hAnsi="宋体"/>
          <w:b/>
          <w:sz w:val="28"/>
          <w:szCs w:val="28"/>
        </w:rPr>
        <w:t>测评及评估流程</w:t>
      </w:r>
    </w:p>
    <w:p>
      <w:pPr>
        <w:pStyle w:val="39"/>
        <w:overflowPunct w:val="0"/>
        <w:topLinePunct/>
        <w:spacing w:line="360" w:lineRule="auto"/>
        <w:ind w:firstLine="560" w:firstLineChars="200"/>
        <w:rPr>
          <w:color w:val="auto"/>
          <w:sz w:val="28"/>
          <w:szCs w:val="28"/>
        </w:rPr>
      </w:pPr>
      <w:r>
        <w:rPr>
          <w:rFonts w:hint="eastAsia"/>
          <w:color w:val="auto"/>
          <w:sz w:val="28"/>
          <w:szCs w:val="28"/>
        </w:rPr>
        <w:t>根据国家等级保护相关标准，电力监控系统安全等级保护测评流程分为四个阶段：测评准备阶段、方案编制阶段、现场测评阶段、分析与报告编制阶段。测评完成后，提供整改建议书，配合招标方根据测评范围进行整改实施。</w:t>
      </w:r>
    </w:p>
    <w:p>
      <w:pPr>
        <w:snapToGrid w:val="0"/>
        <w:spacing w:line="360" w:lineRule="auto"/>
        <w:ind w:firstLine="560" w:firstLineChars="200"/>
        <w:rPr>
          <w:rFonts w:ascii="宋体" w:hAnsi="宋体"/>
          <w:sz w:val="28"/>
          <w:szCs w:val="28"/>
        </w:rPr>
      </w:pPr>
      <w:r>
        <w:rPr>
          <w:rFonts w:hint="eastAsia" w:ascii="宋体" w:hAnsi="宋体"/>
          <w:sz w:val="28"/>
          <w:szCs w:val="28"/>
        </w:rPr>
        <w:t>电力监控</w:t>
      </w:r>
      <w:r>
        <w:rPr>
          <w:rFonts w:ascii="宋体" w:hAnsi="宋体"/>
          <w:sz w:val="28"/>
          <w:szCs w:val="28"/>
        </w:rPr>
        <w:t>系统</w:t>
      </w:r>
      <w:r>
        <w:rPr>
          <w:rFonts w:hint="eastAsia" w:ascii="宋体" w:hAnsi="宋体"/>
          <w:sz w:val="28"/>
          <w:szCs w:val="28"/>
        </w:rPr>
        <w:t>的</w:t>
      </w:r>
      <w:r>
        <w:rPr>
          <w:rFonts w:ascii="宋体" w:hAnsi="宋体"/>
          <w:sz w:val="28"/>
          <w:szCs w:val="28"/>
        </w:rPr>
        <w:t>安全等级保护测评</w:t>
      </w:r>
      <w:r>
        <w:rPr>
          <w:rFonts w:hint="eastAsia" w:ascii="宋体" w:hAnsi="宋体"/>
          <w:sz w:val="28"/>
          <w:szCs w:val="28"/>
        </w:rPr>
        <w:t>流程如下图所示</w:t>
      </w:r>
      <w:r>
        <w:rPr>
          <w:rFonts w:ascii="宋体" w:hAnsi="宋体"/>
          <w:sz w:val="28"/>
          <w:szCs w:val="28"/>
        </w:rPr>
        <w:t>：</w:t>
      </w:r>
    </w:p>
    <w:p>
      <w:pPr>
        <w:tabs>
          <w:tab w:val="left" w:pos="1080"/>
          <w:tab w:val="left" w:pos="1680"/>
        </w:tabs>
        <w:snapToGrid w:val="0"/>
        <w:spacing w:line="360" w:lineRule="auto"/>
        <w:rPr>
          <w:rFonts w:ascii="宋体" w:hAnsi="宋体"/>
          <w:sz w:val="28"/>
          <w:szCs w:val="28"/>
        </w:rPr>
      </w:pPr>
      <w:r>
        <w:rPr>
          <w:sz w:val="28"/>
          <w:szCs w:val="28"/>
        </w:rPr>
        <w:object>
          <v:shape id="_x0000_i1025" o:spt="75" type="#_x0000_t75" style="height:696.75pt;width:390.75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pStyle w:val="39"/>
        <w:overflowPunct w:val="0"/>
        <w:topLinePunct/>
        <w:spacing w:line="360" w:lineRule="auto"/>
        <w:ind w:firstLine="560" w:firstLineChars="200"/>
        <w:rPr>
          <w:color w:val="auto"/>
          <w:sz w:val="28"/>
          <w:szCs w:val="28"/>
        </w:rPr>
      </w:pPr>
      <w:r>
        <w:rPr>
          <w:rFonts w:hint="eastAsia"/>
          <w:color w:val="auto"/>
          <w:sz w:val="28"/>
          <w:szCs w:val="28"/>
        </w:rPr>
        <w:t>电力监控系统安全防护评估工作基本流程将依照《电力监控系统安全防护评估规范》进行，分前期交流和启动准备阶段、现场数据采集和评估阶段、风险计算和分析阶段，以及总结阶段。</w:t>
      </w:r>
    </w:p>
    <w:p>
      <w:pPr>
        <w:pStyle w:val="39"/>
        <w:overflowPunct w:val="0"/>
        <w:topLinePunct/>
        <w:spacing w:line="360" w:lineRule="auto"/>
        <w:ind w:firstLine="560" w:firstLineChars="200"/>
        <w:rPr>
          <w:b/>
          <w:sz w:val="28"/>
          <w:szCs w:val="28"/>
        </w:rPr>
      </w:pPr>
      <w:r>
        <w:rPr>
          <w:sz w:val="28"/>
          <w:szCs w:val="28"/>
        </w:rPr>
        <w:object>
          <v:shape id="_x0000_i1026" o:spt="75" type="#_x0000_t75" style="height:600.75pt;width:372.75pt;" o:ole="t" filled="f" o:preferrelative="t" stroked="f" coordsize="21600,21600">
            <v:path/>
            <v:fill on="f" focussize="0,0"/>
            <v:stroke on="f" joinstyle="miter"/>
            <v:imagedata r:id="rId12" o:title=""/>
            <o:lock v:ext="edit" aspectratio="t"/>
            <w10:wrap type="none"/>
            <w10:anchorlock/>
          </v:shape>
          <o:OLEObject Type="Embed" ProgID="Visio.Drawing.11" ShapeID="_x0000_i1026" DrawAspect="Content" ObjectID="_1468075726" r:id="rId11">
            <o:LockedField>false</o:LockedField>
          </o:OLEObject>
        </w:object>
      </w:r>
    </w:p>
    <w:p>
      <w:pPr>
        <w:numPr>
          <w:ilvl w:val="1"/>
          <w:numId w:val="2"/>
        </w:numPr>
        <w:spacing w:line="360" w:lineRule="auto"/>
        <w:outlineLvl w:val="1"/>
        <w:rPr>
          <w:rFonts w:ascii="宋体" w:hAnsi="宋体"/>
          <w:b/>
          <w:bCs/>
          <w:sz w:val="28"/>
          <w:szCs w:val="28"/>
        </w:rPr>
      </w:pPr>
      <w:r>
        <w:rPr>
          <w:rFonts w:hint="eastAsia" w:ascii="宋体" w:hAnsi="宋体"/>
          <w:b/>
          <w:sz w:val="28"/>
          <w:szCs w:val="28"/>
        </w:rPr>
        <w:t>配合招标方完成</w:t>
      </w:r>
      <w:r>
        <w:rPr>
          <w:rFonts w:ascii="宋体" w:hAnsi="宋体"/>
          <w:b/>
          <w:sz w:val="28"/>
          <w:szCs w:val="28"/>
        </w:rPr>
        <w:t>电厂安全分区和边界防护自查整改。包括但不限于以下几点：</w:t>
      </w:r>
    </w:p>
    <w:p>
      <w:pPr>
        <w:spacing w:line="360" w:lineRule="auto"/>
        <w:ind w:firstLine="548" w:firstLineChars="196"/>
        <w:outlineLvl w:val="1"/>
        <w:rPr>
          <w:rFonts w:ascii="宋体" w:hAnsi="宋体"/>
          <w:sz w:val="28"/>
          <w:szCs w:val="28"/>
        </w:rPr>
      </w:pPr>
      <w:r>
        <w:rPr>
          <w:rFonts w:hint="eastAsia" w:ascii="宋体" w:hAnsi="宋体"/>
          <w:sz w:val="28"/>
          <w:szCs w:val="28"/>
        </w:rPr>
        <w:t>(1)</w:t>
      </w:r>
      <w:r>
        <w:rPr>
          <w:rFonts w:ascii="宋体" w:hAnsi="宋体"/>
          <w:sz w:val="28"/>
          <w:szCs w:val="28"/>
        </w:rPr>
        <w:t>检查整改生产控制大区网络违规外联、远程运维等问题；</w:t>
      </w:r>
    </w:p>
    <w:p>
      <w:pPr>
        <w:spacing w:line="360" w:lineRule="auto"/>
        <w:ind w:firstLine="548" w:firstLineChars="196"/>
        <w:outlineLvl w:val="1"/>
        <w:rPr>
          <w:rFonts w:ascii="宋体" w:hAnsi="宋体"/>
          <w:sz w:val="28"/>
          <w:szCs w:val="28"/>
        </w:rPr>
      </w:pPr>
      <w:r>
        <w:rPr>
          <w:rFonts w:hint="eastAsia" w:ascii="宋体" w:hAnsi="宋体"/>
          <w:sz w:val="28"/>
          <w:szCs w:val="28"/>
        </w:rPr>
        <w:t>(2)</w:t>
      </w:r>
      <w:r>
        <w:rPr>
          <w:rFonts w:ascii="宋体" w:hAnsi="宋体"/>
          <w:sz w:val="28"/>
          <w:szCs w:val="28"/>
        </w:rPr>
        <w:t>检查正反向隔离装置、Ⅰ/Ⅱ区防火墙正确配置安全策略，应符合安全防护原则；</w:t>
      </w:r>
    </w:p>
    <w:p>
      <w:pPr>
        <w:spacing w:line="360" w:lineRule="auto"/>
        <w:ind w:firstLine="548" w:firstLineChars="196"/>
        <w:outlineLvl w:val="1"/>
        <w:rPr>
          <w:rFonts w:ascii="宋体" w:hAnsi="宋体"/>
          <w:sz w:val="28"/>
          <w:szCs w:val="28"/>
        </w:rPr>
      </w:pPr>
      <w:r>
        <w:rPr>
          <w:rFonts w:hint="eastAsia" w:ascii="宋体" w:hAnsi="宋体"/>
          <w:sz w:val="28"/>
          <w:szCs w:val="28"/>
        </w:rPr>
        <w:t>(3)</w:t>
      </w:r>
      <w:r>
        <w:rPr>
          <w:rFonts w:ascii="宋体" w:hAnsi="宋体"/>
          <w:sz w:val="28"/>
          <w:szCs w:val="28"/>
        </w:rPr>
        <w:t>检查服务器、工作站等主机存在安全漏洞以及远程登录风向，禁用不必要的服务和端口，同时进行系统加固工作；</w:t>
      </w:r>
    </w:p>
    <w:p>
      <w:pPr>
        <w:spacing w:line="360" w:lineRule="auto"/>
        <w:ind w:firstLine="548" w:firstLineChars="196"/>
        <w:outlineLvl w:val="1"/>
        <w:rPr>
          <w:rFonts w:ascii="宋体" w:hAnsi="宋体"/>
          <w:sz w:val="28"/>
          <w:szCs w:val="28"/>
        </w:rPr>
      </w:pPr>
      <w:r>
        <w:rPr>
          <w:rFonts w:hint="eastAsia" w:ascii="宋体" w:hAnsi="宋体"/>
          <w:sz w:val="28"/>
          <w:szCs w:val="28"/>
        </w:rPr>
        <w:t>(4)</w:t>
      </w:r>
      <w:r>
        <w:rPr>
          <w:rFonts w:ascii="宋体" w:hAnsi="宋体"/>
          <w:sz w:val="28"/>
          <w:szCs w:val="28"/>
        </w:rPr>
        <w:t>操作员工作站和运维工作站等禁止移动介质和无线公网的使用。</w:t>
      </w:r>
    </w:p>
    <w:p>
      <w:pPr>
        <w:spacing w:line="360" w:lineRule="auto"/>
        <w:ind w:firstLine="548" w:firstLineChars="196"/>
        <w:outlineLvl w:val="1"/>
        <w:rPr>
          <w:rFonts w:ascii="宋体" w:hAnsi="宋体"/>
          <w:sz w:val="28"/>
          <w:szCs w:val="28"/>
        </w:rPr>
      </w:pPr>
      <w:r>
        <w:rPr>
          <w:rFonts w:hint="eastAsia" w:ascii="宋体" w:hAnsi="宋体"/>
          <w:sz w:val="28"/>
          <w:szCs w:val="28"/>
        </w:rPr>
        <w:t>(5)配合招标方</w:t>
      </w:r>
      <w:r>
        <w:rPr>
          <w:rFonts w:ascii="宋体" w:hAnsi="宋体"/>
          <w:sz w:val="28"/>
          <w:szCs w:val="28"/>
        </w:rPr>
        <w:t>建立健全责任体系。</w:t>
      </w:r>
    </w:p>
    <w:p>
      <w:pPr>
        <w:spacing w:line="360" w:lineRule="auto"/>
        <w:ind w:firstLine="548" w:firstLineChars="196"/>
        <w:outlineLvl w:val="1"/>
        <w:rPr>
          <w:rFonts w:ascii="宋体" w:hAnsi="宋体"/>
          <w:sz w:val="28"/>
          <w:szCs w:val="28"/>
        </w:rPr>
      </w:pPr>
      <w:r>
        <w:rPr>
          <w:rFonts w:hint="eastAsia" w:ascii="宋体" w:hAnsi="宋体"/>
          <w:sz w:val="28"/>
          <w:szCs w:val="28"/>
        </w:rPr>
        <w:t>(6)配合招标方</w:t>
      </w:r>
      <w:r>
        <w:rPr>
          <w:rFonts w:ascii="宋体" w:hAnsi="宋体"/>
          <w:sz w:val="28"/>
          <w:szCs w:val="28"/>
        </w:rPr>
        <w:t>提高网络安全应急处置能力。</w:t>
      </w:r>
    </w:p>
    <w:p>
      <w:pPr>
        <w:spacing w:line="360" w:lineRule="auto"/>
        <w:ind w:firstLine="548" w:firstLineChars="196"/>
        <w:outlineLvl w:val="1"/>
        <w:rPr>
          <w:rFonts w:ascii="宋体" w:hAnsi="宋体"/>
          <w:sz w:val="28"/>
          <w:szCs w:val="28"/>
        </w:rPr>
      </w:pPr>
      <w:r>
        <w:rPr>
          <w:rFonts w:hint="eastAsia" w:ascii="宋体" w:hAnsi="宋体"/>
          <w:sz w:val="28"/>
          <w:szCs w:val="28"/>
        </w:rPr>
        <w:t>(7)配合招标方</w:t>
      </w:r>
      <w:r>
        <w:rPr>
          <w:rFonts w:ascii="宋体" w:hAnsi="宋体"/>
          <w:sz w:val="28"/>
          <w:szCs w:val="28"/>
        </w:rPr>
        <w:t>加强人员管理和培训。</w:t>
      </w:r>
    </w:p>
    <w:p>
      <w:pPr>
        <w:spacing w:line="360" w:lineRule="auto"/>
        <w:ind w:firstLine="548" w:firstLineChars="196"/>
        <w:outlineLvl w:val="1"/>
        <w:rPr>
          <w:rFonts w:ascii="宋体" w:hAnsi="宋体"/>
          <w:sz w:val="28"/>
          <w:szCs w:val="28"/>
        </w:rPr>
      </w:pPr>
      <w:r>
        <w:rPr>
          <w:rFonts w:hint="eastAsia" w:ascii="宋体" w:hAnsi="宋体"/>
          <w:sz w:val="28"/>
          <w:szCs w:val="28"/>
        </w:rPr>
        <w:t xml:space="preserve">(8)投标方根据本招标文件的要求，结合国家及行业规范进行深化设计，若认为存在服务内容漏缺，投标方需要补齐所需要的等级保护服务内容并自主报价，并提供全面的安全服务方案。 </w:t>
      </w:r>
    </w:p>
    <w:bookmarkEnd w:id="41"/>
    <w:p>
      <w:pPr>
        <w:numPr>
          <w:ilvl w:val="0"/>
          <w:numId w:val="2"/>
        </w:numPr>
        <w:spacing w:line="360" w:lineRule="auto"/>
        <w:outlineLvl w:val="0"/>
        <w:rPr>
          <w:rFonts w:ascii="宋体" w:hAnsi="宋体"/>
          <w:b/>
          <w:color w:val="FF0000"/>
          <w:sz w:val="28"/>
          <w:szCs w:val="28"/>
          <w:highlight w:val="yellow"/>
        </w:rPr>
      </w:pPr>
      <w:bookmarkStart w:id="42" w:name="_Toc311015406"/>
      <w:r>
        <w:rPr>
          <w:rFonts w:hint="eastAsia"/>
          <w:b/>
          <w:color w:val="FF0000"/>
          <w:sz w:val="28"/>
          <w:szCs w:val="28"/>
          <w:highlight w:val="yellow"/>
        </w:rPr>
        <w:t>项目服务商要求</w:t>
      </w:r>
    </w:p>
    <w:p>
      <w:pPr>
        <w:numPr>
          <w:ilvl w:val="1"/>
          <w:numId w:val="2"/>
        </w:numPr>
        <w:spacing w:line="360" w:lineRule="auto"/>
        <w:outlineLvl w:val="1"/>
        <w:rPr>
          <w:rFonts w:ascii="宋体" w:hAnsi="宋体"/>
          <w:b/>
          <w:color w:val="FF0000"/>
          <w:sz w:val="28"/>
          <w:szCs w:val="28"/>
          <w:highlight w:val="yellow"/>
        </w:rPr>
      </w:pPr>
      <w:r>
        <w:rPr>
          <w:rFonts w:hint="eastAsia" w:ascii="宋体" w:hAnsi="宋体"/>
          <w:b/>
          <w:color w:val="FF0000"/>
          <w:sz w:val="28"/>
          <w:szCs w:val="28"/>
          <w:highlight w:val="yellow"/>
        </w:rPr>
        <w:t>对投标方的要求</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3.1.1投标方要求</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Theme="minorEastAsia" w:hAnsiTheme="minorEastAsia" w:eastAsiaTheme="minorEastAsia"/>
          <w:color w:val="FF0000"/>
          <w:sz w:val="28"/>
          <w:szCs w:val="28"/>
          <w:highlight w:val="yellow"/>
        </w:rPr>
        <w:t>投标方应仔细阅读本技术规范书所列的各项规范，所提供的安全服务应满足本技术规范书提出的要求。投标方也可以推荐满足本技术规范的其他方案，但必须对其在技术规范方面与本技术规范书之间所存在的差异加以详细说明。若无说明，则按对投标方不利的方面理解。</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投标方应为具有法人资格且根据商业法规经营的国内企业实体且应是公安部推荐测评机构名录内；具备承担本次招标的资质条件、能力和信誉。</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投标方单位需符合《中华人民共和国政府采购法》第二章第22条规定；即供应商必须是近五年没有被主管部门被停业整顿且处于停业期、投标资格被取消或者财产被接管、冻结和破产状态；是在境内依法注册的独立法人或组织。</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投标方需具备丰富的等级测评项目经验，参与本项目的测评师不少于4人，必须提供1名参与本项目的高级测评师DJCP的资质证明或ISO27001主任审核员的资质证明。</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投标方近三年具备1个以上500kV电压等级厂站电力测评项目案例；出具的报告需满足江西省等保办及属地公安局的要求，需要加盖等级保护专用章或CNAS检验机构公章。</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3.1.2投标方不得以任何形式分包、转包。</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3.1.3投标方应提出需要甲方配合的工作事项。</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3.1.4 投标方提供协助电力监控系统的备案工作。</w:t>
      </w:r>
    </w:p>
    <w:p>
      <w:pPr>
        <w:pStyle w:val="43"/>
        <w:adjustRightInd w:val="0"/>
        <w:snapToGrid w:val="0"/>
        <w:spacing w:line="360" w:lineRule="auto"/>
        <w:ind w:firstLine="560"/>
        <w:rPr>
          <w:rFonts w:ascii="宋体" w:hAnsi="宋体" w:cs="宋体"/>
          <w:color w:val="FF0000"/>
          <w:sz w:val="28"/>
          <w:szCs w:val="28"/>
          <w:highlight w:val="yellow"/>
        </w:rPr>
      </w:pPr>
      <w:r>
        <w:rPr>
          <w:rFonts w:hint="eastAsia" w:ascii="宋体" w:hAnsi="宋体" w:cs="宋体"/>
          <w:color w:val="FF0000"/>
          <w:sz w:val="28"/>
          <w:szCs w:val="28"/>
          <w:highlight w:val="yellow"/>
        </w:rPr>
        <w:t>3.1.5本项目为总承包工程，投标方负责项目技术服务费、技术资料、设计联络、咨询费、现场评审会议费用，承包商邀请专家人员（人员须为省级以上能源局专家库人员）各种费用、税费等所有完成项目所需的一切相关费用。</w:t>
      </w:r>
    </w:p>
    <w:p>
      <w:pPr>
        <w:numPr>
          <w:ilvl w:val="1"/>
          <w:numId w:val="2"/>
        </w:numPr>
        <w:spacing w:line="360" w:lineRule="auto"/>
        <w:outlineLvl w:val="1"/>
        <w:rPr>
          <w:rFonts w:ascii="宋体" w:hAnsi="宋体"/>
          <w:b/>
          <w:sz w:val="28"/>
          <w:szCs w:val="28"/>
        </w:rPr>
      </w:pPr>
      <w:r>
        <w:rPr>
          <w:rFonts w:hint="eastAsia" w:ascii="宋体" w:hAnsi="宋体"/>
          <w:b/>
          <w:sz w:val="28"/>
          <w:szCs w:val="28"/>
        </w:rPr>
        <w:t>对投标方的技术要求</w:t>
      </w:r>
    </w:p>
    <w:p>
      <w:pPr>
        <w:pStyle w:val="43"/>
        <w:adjustRightInd w:val="0"/>
        <w:snapToGrid w:val="0"/>
        <w:spacing w:line="360" w:lineRule="auto"/>
        <w:ind w:firstLine="560"/>
        <w:rPr>
          <w:rFonts w:ascii="宋体" w:hAnsi="宋体" w:cs="宋体"/>
          <w:sz w:val="28"/>
          <w:szCs w:val="28"/>
        </w:rPr>
      </w:pPr>
      <w:r>
        <w:rPr>
          <w:rFonts w:hint="eastAsia" w:ascii="宋体" w:hAnsi="宋体" w:cs="宋体"/>
          <w:sz w:val="28"/>
          <w:szCs w:val="28"/>
        </w:rPr>
        <w:t xml:space="preserve">投标方除了应具备招标公告中对“合格投标方”要求的资质以外，还应达到如下要求： </w:t>
      </w:r>
    </w:p>
    <w:p>
      <w:pPr>
        <w:pStyle w:val="43"/>
        <w:adjustRightInd w:val="0"/>
        <w:snapToGrid w:val="0"/>
        <w:spacing w:line="360" w:lineRule="auto"/>
        <w:ind w:firstLine="560"/>
        <w:rPr>
          <w:rFonts w:ascii="宋体" w:hAnsi="宋体" w:cs="宋体"/>
          <w:sz w:val="28"/>
          <w:szCs w:val="28"/>
        </w:rPr>
      </w:pPr>
      <w:r>
        <w:rPr>
          <w:rFonts w:hint="eastAsia" w:ascii="宋体" w:hAnsi="宋体" w:cs="宋体"/>
          <w:sz w:val="28"/>
          <w:szCs w:val="28"/>
        </w:rPr>
        <w:t xml:space="preserve">对于已经过验收合格的最近实施的类似项目，应提供项目名称及项目单位名称、项目单位地址、联系人及电话、项目实施时间、项目规模及实施内容、对项目实施过程中所可能产生的各种文档必须做统一描述，包括文档名称、内容、提交用户的时间和方式等。在中标后，应认真组织好技术及管理队伍，做好工作计划并提出长期维护服务和技术支持的措施、计划和承诺。在中标后，应负责在项目完成时将全部有关技术文件和资料、验收报告等文档汇集成册交付业主。 本项目终验完成作为中标人项目全部完成并终止的条件。 </w:t>
      </w:r>
    </w:p>
    <w:p>
      <w:pPr>
        <w:numPr>
          <w:ilvl w:val="1"/>
          <w:numId w:val="2"/>
        </w:numPr>
        <w:spacing w:line="360" w:lineRule="auto"/>
        <w:outlineLvl w:val="1"/>
        <w:rPr>
          <w:rFonts w:ascii="宋体" w:hAnsi="宋体"/>
          <w:b/>
          <w:sz w:val="28"/>
          <w:szCs w:val="28"/>
        </w:rPr>
      </w:pPr>
      <w:r>
        <w:rPr>
          <w:rFonts w:hint="eastAsia" w:ascii="宋体" w:hAnsi="宋体"/>
          <w:b/>
          <w:sz w:val="28"/>
          <w:szCs w:val="28"/>
        </w:rPr>
        <w:t>提交技术方案的基本要求</w:t>
      </w:r>
    </w:p>
    <w:p>
      <w:pPr>
        <w:pStyle w:val="43"/>
        <w:adjustRightInd w:val="0"/>
        <w:snapToGrid w:val="0"/>
        <w:spacing w:line="360" w:lineRule="auto"/>
        <w:ind w:firstLine="560"/>
        <w:rPr>
          <w:rFonts w:ascii="宋体" w:hAnsi="宋体" w:cs="宋体"/>
          <w:sz w:val="28"/>
          <w:szCs w:val="28"/>
        </w:rPr>
      </w:pPr>
      <w:r>
        <w:rPr>
          <w:rFonts w:hint="eastAsia" w:ascii="宋体" w:hAnsi="宋体" w:cs="宋体"/>
          <w:sz w:val="28"/>
          <w:szCs w:val="28"/>
        </w:rPr>
        <w:t>（1）投标方应根据本技术规范书的要求阐述对本项目的理解，并提出相应的技术方案。 投标方针对本项目编写的技术方案至少应包括以下内容：项目理解、技术方案、实施方案、项目管理方案、质量保证方案和风险控制方案等内容。若认为存在服务内容漏缺，投标方需要补齐所需要的等级保护服务内容并自主报价，并提供全面的安全服务方案。</w:t>
      </w:r>
    </w:p>
    <w:p>
      <w:pPr>
        <w:pStyle w:val="43"/>
        <w:adjustRightInd w:val="0"/>
        <w:snapToGrid w:val="0"/>
        <w:spacing w:line="360" w:lineRule="auto"/>
        <w:ind w:firstLine="560"/>
        <w:rPr>
          <w:rFonts w:ascii="宋体" w:hAnsi="宋体" w:cs="宋体"/>
          <w:sz w:val="28"/>
          <w:szCs w:val="28"/>
        </w:rPr>
      </w:pPr>
      <w:r>
        <w:rPr>
          <w:rFonts w:hint="eastAsia" w:ascii="宋体" w:hAnsi="宋体" w:cs="宋体"/>
          <w:sz w:val="28"/>
          <w:szCs w:val="28"/>
        </w:rPr>
        <w:t>（2）投标方提供的投标报价，中标后原则上不再作任何调整。投标方所提供的服务如果达不到招标及现场实际要求，须无条件更换，所产生的费用由投标方承担。</w:t>
      </w:r>
    </w:p>
    <w:p>
      <w:pPr>
        <w:pStyle w:val="43"/>
        <w:adjustRightInd w:val="0"/>
        <w:snapToGrid w:val="0"/>
        <w:spacing w:line="360" w:lineRule="auto"/>
        <w:ind w:firstLine="560"/>
        <w:rPr>
          <w:rFonts w:ascii="宋体" w:hAnsi="宋体" w:cs="宋体"/>
          <w:sz w:val="28"/>
          <w:szCs w:val="28"/>
        </w:rPr>
      </w:pPr>
      <w:r>
        <w:rPr>
          <w:rFonts w:hint="eastAsia" w:ascii="宋体" w:hAnsi="宋体" w:cs="宋体"/>
          <w:sz w:val="28"/>
          <w:szCs w:val="28"/>
        </w:rPr>
        <w:t>（4）协助被测单位开展信息系统的定级与备案工作</w:t>
      </w:r>
    </w:p>
    <w:p>
      <w:pPr>
        <w:pStyle w:val="43"/>
        <w:adjustRightInd w:val="0"/>
        <w:snapToGrid w:val="0"/>
        <w:spacing w:line="360" w:lineRule="auto"/>
        <w:ind w:firstLine="560"/>
        <w:rPr>
          <w:rFonts w:ascii="宋体" w:hAnsi="宋体" w:cs="宋体"/>
          <w:sz w:val="28"/>
          <w:szCs w:val="28"/>
        </w:rPr>
      </w:pPr>
      <w:r>
        <w:rPr>
          <w:rFonts w:hint="eastAsia" w:ascii="宋体" w:hAnsi="宋体" w:cs="宋体"/>
          <w:sz w:val="28"/>
          <w:szCs w:val="28"/>
        </w:rPr>
        <w:t>具体要求：根据国家和电力行业信息安全要求，结合电厂实际需求，严格遵循《信息系统安全等级保护定级指南》（GB/T 22240-2020），并应深入调研掌握信息系统的应用部署实际情况，按照国家有关管理规范和标准要求，细致分析各信息系统安全域及管理边界，合理划分信息系统范围，科学开展信息系统重要性程度分析，准确判定信息系统安全等级，编制《定级报告》和《备案表》，并按照定级备案流程，向主管部门、监管机关就信息系统定级进行审批备案，使顺利获得监管机关颁发的《信息系统安全等级保护备案证明》；若备案不成功，则合同不生效。</w:t>
      </w:r>
    </w:p>
    <w:p>
      <w:pPr>
        <w:numPr>
          <w:ilvl w:val="1"/>
          <w:numId w:val="2"/>
        </w:numPr>
        <w:spacing w:line="360" w:lineRule="auto"/>
        <w:outlineLvl w:val="1"/>
        <w:rPr>
          <w:rFonts w:ascii="宋体" w:hAnsi="宋体"/>
          <w:b/>
          <w:sz w:val="28"/>
          <w:szCs w:val="28"/>
        </w:rPr>
      </w:pPr>
      <w:r>
        <w:rPr>
          <w:rFonts w:hint="eastAsia" w:ascii="宋体" w:hAnsi="宋体"/>
          <w:b/>
          <w:sz w:val="28"/>
          <w:szCs w:val="28"/>
        </w:rPr>
        <w:t>对招标文件技术部分的应答要求</w:t>
      </w:r>
    </w:p>
    <w:p>
      <w:pPr>
        <w:spacing w:line="360" w:lineRule="auto"/>
        <w:ind w:firstLine="560" w:firstLineChars="200"/>
        <w:outlineLvl w:val="1"/>
        <w:rPr>
          <w:rFonts w:ascii="宋体" w:hAnsi="宋体"/>
          <w:sz w:val="28"/>
          <w:szCs w:val="28"/>
        </w:rPr>
      </w:pPr>
      <w:r>
        <w:rPr>
          <w:rFonts w:hint="eastAsia" w:ascii="宋体" w:hAnsi="宋体"/>
          <w:sz w:val="28"/>
          <w:szCs w:val="28"/>
        </w:rPr>
        <w:t>投标方必须对本技术规范书中要求应答部分作点对点实质性响，其响应与招标文件内容采用同样的顺序。</w:t>
      </w:r>
    </w:p>
    <w:p>
      <w:pPr>
        <w:numPr>
          <w:ilvl w:val="1"/>
          <w:numId w:val="2"/>
        </w:numPr>
        <w:spacing w:line="360" w:lineRule="auto"/>
        <w:outlineLvl w:val="1"/>
        <w:rPr>
          <w:rFonts w:ascii="宋体" w:hAnsi="宋体"/>
          <w:b/>
          <w:sz w:val="28"/>
          <w:szCs w:val="28"/>
        </w:rPr>
      </w:pPr>
      <w:r>
        <w:rPr>
          <w:rFonts w:hint="eastAsia" w:ascii="宋体" w:hAnsi="宋体"/>
          <w:b/>
          <w:sz w:val="28"/>
          <w:szCs w:val="28"/>
        </w:rPr>
        <w:t>驻场服务人员要求</w:t>
      </w:r>
    </w:p>
    <w:p>
      <w:pPr>
        <w:spacing w:line="360" w:lineRule="auto"/>
        <w:ind w:firstLine="560" w:firstLineChars="200"/>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投标方应与招标方签订保密协议，对检测和加固过程数据和结果数据严格保密，未经授权不得泄露给任何单位和个人，不得利用此数据侵害招标方的权益，否则招标方有权追究投标方的责任。</w:t>
      </w:r>
    </w:p>
    <w:p>
      <w:pPr>
        <w:spacing w:line="360" w:lineRule="auto"/>
        <w:ind w:firstLine="560" w:firstLineChars="200"/>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投标方工作中的过程和文档，应具有规范性，便于项目跟踪和控制。</w:t>
      </w:r>
    </w:p>
    <w:p>
      <w:pPr>
        <w:numPr>
          <w:ilvl w:val="1"/>
          <w:numId w:val="2"/>
        </w:numPr>
        <w:spacing w:line="360" w:lineRule="auto"/>
        <w:outlineLvl w:val="1"/>
        <w:rPr>
          <w:rFonts w:ascii="宋体" w:hAnsi="宋体"/>
          <w:b/>
          <w:sz w:val="28"/>
          <w:szCs w:val="28"/>
        </w:rPr>
      </w:pPr>
      <w:r>
        <w:rPr>
          <w:rFonts w:hint="eastAsia" w:ascii="宋体" w:hAnsi="宋体"/>
          <w:b/>
          <w:sz w:val="28"/>
          <w:szCs w:val="28"/>
        </w:rPr>
        <w:t>技术支持服务要求</w:t>
      </w:r>
    </w:p>
    <w:p>
      <w:pPr>
        <w:pStyle w:val="39"/>
        <w:overflowPunct w:val="0"/>
        <w:topLinePunct/>
        <w:spacing w:line="360" w:lineRule="auto"/>
        <w:ind w:firstLine="560" w:firstLineChars="200"/>
        <w:rPr>
          <w:color w:val="auto"/>
          <w:sz w:val="28"/>
          <w:szCs w:val="28"/>
        </w:rPr>
      </w:pPr>
      <w:r>
        <w:rPr>
          <w:rFonts w:hint="eastAsia"/>
          <w:color w:val="auto"/>
          <w:sz w:val="28"/>
          <w:szCs w:val="28"/>
        </w:rPr>
        <w:t>测评及评估工作本身也会引入安全风险，必须加强测评及评估过程中的风险控制。项目实施前，双方应充分讨论并明确测评及评估对系统可能带来的风险和隐患，确定测评及评估对象、测评及评估方法和工具，并</w:t>
      </w:r>
      <w:r>
        <w:rPr>
          <w:color w:val="auto"/>
          <w:sz w:val="28"/>
          <w:szCs w:val="28"/>
        </w:rPr>
        <w:t>制定</w:t>
      </w:r>
      <w:r>
        <w:rPr>
          <w:rFonts w:hint="eastAsia"/>
          <w:color w:val="auto"/>
          <w:sz w:val="28"/>
          <w:szCs w:val="28"/>
        </w:rPr>
        <w:t>应急恢复措施。</w:t>
      </w:r>
    </w:p>
    <w:p>
      <w:pPr>
        <w:spacing w:line="360" w:lineRule="auto"/>
        <w:ind w:firstLine="560" w:firstLineChars="200"/>
        <w:rPr>
          <w:rFonts w:ascii="宋体" w:hAnsi="宋体"/>
          <w:sz w:val="28"/>
          <w:szCs w:val="28"/>
        </w:rPr>
      </w:pPr>
      <w:r>
        <w:rPr>
          <w:rFonts w:hint="eastAsia" w:ascii="宋体" w:hAnsi="宋体"/>
          <w:sz w:val="28"/>
          <w:szCs w:val="28"/>
        </w:rPr>
        <w:t>（1）</w:t>
      </w:r>
      <w:r>
        <w:rPr>
          <w:rFonts w:ascii="宋体" w:hAnsi="宋体"/>
          <w:sz w:val="28"/>
          <w:szCs w:val="28"/>
        </w:rPr>
        <w:t>操作的申请和监护</w:t>
      </w:r>
    </w:p>
    <w:p>
      <w:pPr>
        <w:spacing w:line="360" w:lineRule="auto"/>
        <w:ind w:firstLine="560" w:firstLineChars="200"/>
        <w:rPr>
          <w:rFonts w:ascii="宋体" w:hAnsi="宋体"/>
          <w:sz w:val="28"/>
          <w:szCs w:val="28"/>
        </w:rPr>
      </w:pPr>
      <w:r>
        <w:rPr>
          <w:rFonts w:hint="eastAsia"/>
          <w:sz w:val="28"/>
          <w:szCs w:val="28"/>
        </w:rPr>
        <w:t>测评及评估</w:t>
      </w:r>
      <w:r>
        <w:rPr>
          <w:rFonts w:ascii="宋体" w:hAnsi="宋体"/>
          <w:sz w:val="28"/>
          <w:szCs w:val="28"/>
        </w:rPr>
        <w:t>操作必须遵守</w:t>
      </w:r>
      <w:r>
        <w:rPr>
          <w:rFonts w:hint="eastAsia" w:ascii="宋体" w:hAnsi="宋体"/>
          <w:sz w:val="28"/>
          <w:szCs w:val="28"/>
        </w:rPr>
        <w:t>现场运行规章制度，确保系统安全稳定运行。如需在线测试，按照相关工作规程，事前申请，并在专责人员的指导和监护下进行。</w:t>
      </w:r>
    </w:p>
    <w:p>
      <w:pPr>
        <w:spacing w:line="360" w:lineRule="auto"/>
        <w:ind w:firstLine="560" w:firstLineChars="200"/>
        <w:rPr>
          <w:rFonts w:ascii="宋体" w:hAnsi="宋体"/>
          <w:sz w:val="28"/>
          <w:szCs w:val="28"/>
        </w:rPr>
      </w:pPr>
      <w:r>
        <w:rPr>
          <w:rFonts w:hint="eastAsia" w:ascii="宋体" w:hAnsi="宋体"/>
          <w:sz w:val="28"/>
          <w:szCs w:val="28"/>
        </w:rPr>
        <w:t>（2）</w:t>
      </w:r>
      <w:r>
        <w:rPr>
          <w:rFonts w:ascii="宋体" w:hAnsi="宋体"/>
          <w:sz w:val="28"/>
          <w:szCs w:val="28"/>
        </w:rPr>
        <w:t>人员与数据管理</w:t>
      </w:r>
    </w:p>
    <w:p>
      <w:pPr>
        <w:spacing w:line="360" w:lineRule="auto"/>
        <w:ind w:firstLine="560" w:firstLineChars="200"/>
        <w:rPr>
          <w:rFonts w:ascii="宋体" w:hAnsi="宋体"/>
          <w:sz w:val="28"/>
          <w:szCs w:val="28"/>
        </w:rPr>
      </w:pPr>
      <w:r>
        <w:rPr>
          <w:rFonts w:ascii="宋体" w:hAnsi="宋体"/>
          <w:sz w:val="28"/>
          <w:szCs w:val="28"/>
        </w:rPr>
        <w:t>重视保密工作，加强</w:t>
      </w:r>
      <w:r>
        <w:rPr>
          <w:rFonts w:hint="eastAsia"/>
          <w:sz w:val="28"/>
          <w:szCs w:val="28"/>
        </w:rPr>
        <w:t>测评及评估</w:t>
      </w:r>
      <w:r>
        <w:rPr>
          <w:rFonts w:hint="eastAsia" w:ascii="宋体" w:hAnsi="宋体"/>
          <w:sz w:val="28"/>
          <w:szCs w:val="28"/>
        </w:rPr>
        <w:t>过程中的保密管理，</w:t>
      </w:r>
      <w:r>
        <w:rPr>
          <w:rFonts w:ascii="宋体" w:hAnsi="宋体"/>
          <w:sz w:val="28"/>
          <w:szCs w:val="28"/>
        </w:rPr>
        <w:t>确保</w:t>
      </w:r>
      <w:r>
        <w:rPr>
          <w:rFonts w:hint="eastAsia" w:ascii="宋体" w:hAnsi="宋体"/>
          <w:sz w:val="28"/>
          <w:szCs w:val="28"/>
        </w:rPr>
        <w:t>参与</w:t>
      </w:r>
      <w:r>
        <w:rPr>
          <w:rFonts w:ascii="宋体" w:hAnsi="宋体"/>
          <w:sz w:val="28"/>
          <w:szCs w:val="28"/>
        </w:rPr>
        <w:t>测评</w:t>
      </w:r>
      <w:r>
        <w:rPr>
          <w:rFonts w:hint="eastAsia" w:ascii="宋体" w:hAnsi="宋体"/>
          <w:sz w:val="28"/>
          <w:szCs w:val="28"/>
        </w:rPr>
        <w:t>工作</w:t>
      </w:r>
      <w:r>
        <w:rPr>
          <w:rFonts w:ascii="宋体" w:hAnsi="宋体"/>
          <w:sz w:val="28"/>
          <w:szCs w:val="28"/>
        </w:rPr>
        <w:t>人员</w:t>
      </w:r>
      <w:r>
        <w:rPr>
          <w:rFonts w:hint="eastAsia" w:ascii="宋体" w:hAnsi="宋体"/>
          <w:sz w:val="28"/>
          <w:szCs w:val="28"/>
        </w:rPr>
        <w:t>的</w:t>
      </w:r>
      <w:r>
        <w:rPr>
          <w:rFonts w:ascii="宋体" w:hAnsi="宋体"/>
          <w:sz w:val="28"/>
          <w:szCs w:val="28"/>
        </w:rPr>
        <w:t>可靠</w:t>
      </w:r>
      <w:r>
        <w:rPr>
          <w:rFonts w:hint="eastAsia" w:ascii="宋体" w:hAnsi="宋体"/>
          <w:sz w:val="28"/>
          <w:szCs w:val="28"/>
        </w:rPr>
        <w:t>、</w:t>
      </w:r>
      <w:r>
        <w:rPr>
          <w:rFonts w:ascii="宋体" w:hAnsi="宋体"/>
          <w:sz w:val="28"/>
          <w:szCs w:val="28"/>
        </w:rPr>
        <w:t>稳定</w:t>
      </w:r>
      <w:r>
        <w:rPr>
          <w:rFonts w:hint="eastAsia" w:ascii="宋体" w:hAnsi="宋体"/>
          <w:sz w:val="28"/>
          <w:szCs w:val="28"/>
        </w:rPr>
        <w:t>，</w:t>
      </w:r>
      <w:r>
        <w:rPr>
          <w:rFonts w:ascii="宋体" w:hAnsi="宋体"/>
          <w:sz w:val="28"/>
          <w:szCs w:val="28"/>
        </w:rPr>
        <w:t>防止敏感信息泄漏。</w:t>
      </w:r>
    </w:p>
    <w:p>
      <w:pPr>
        <w:spacing w:line="360" w:lineRule="auto"/>
        <w:ind w:firstLine="560" w:firstLineChars="200"/>
        <w:rPr>
          <w:rFonts w:ascii="宋体" w:hAnsi="宋体"/>
          <w:sz w:val="28"/>
          <w:szCs w:val="28"/>
        </w:rPr>
      </w:pPr>
      <w:r>
        <w:rPr>
          <w:rFonts w:hint="eastAsia" w:ascii="宋体" w:hAnsi="宋体"/>
          <w:sz w:val="28"/>
          <w:szCs w:val="28"/>
        </w:rPr>
        <w:t>（3）测评对象选择</w:t>
      </w:r>
    </w:p>
    <w:p>
      <w:pPr>
        <w:spacing w:line="360" w:lineRule="auto"/>
        <w:ind w:firstLine="560" w:firstLineChars="200"/>
        <w:rPr>
          <w:rFonts w:ascii="宋体" w:hAnsi="宋体"/>
          <w:sz w:val="28"/>
          <w:szCs w:val="28"/>
        </w:rPr>
      </w:pPr>
      <w:r>
        <w:rPr>
          <w:rFonts w:hint="eastAsia" w:ascii="宋体" w:hAnsi="宋体"/>
          <w:sz w:val="28"/>
          <w:szCs w:val="28"/>
        </w:rPr>
        <w:t>优先选择备用设备（系统）或</w:t>
      </w:r>
      <w:r>
        <w:rPr>
          <w:rFonts w:ascii="宋体" w:hAnsi="宋体"/>
          <w:sz w:val="28"/>
          <w:szCs w:val="28"/>
        </w:rPr>
        <w:t>临时搭建的</w:t>
      </w:r>
      <w:r>
        <w:rPr>
          <w:rFonts w:ascii="宋体" w:hAnsi="宋体"/>
          <w:bCs/>
          <w:iCs/>
          <w:sz w:val="28"/>
          <w:szCs w:val="28"/>
        </w:rPr>
        <w:t>模拟</w:t>
      </w:r>
      <w:r>
        <w:rPr>
          <w:rFonts w:ascii="宋体" w:hAnsi="宋体"/>
          <w:sz w:val="28"/>
          <w:szCs w:val="28"/>
        </w:rPr>
        <w:t>环境</w:t>
      </w:r>
      <w:r>
        <w:rPr>
          <w:rFonts w:hint="eastAsia" w:ascii="宋体" w:hAnsi="宋体"/>
          <w:sz w:val="28"/>
          <w:szCs w:val="28"/>
        </w:rPr>
        <w:t>进行</w:t>
      </w:r>
      <w:r>
        <w:rPr>
          <w:rFonts w:hint="eastAsia"/>
          <w:sz w:val="28"/>
          <w:szCs w:val="28"/>
        </w:rPr>
        <w:t>测评及评估</w:t>
      </w:r>
      <w:r>
        <w:rPr>
          <w:rFonts w:hint="eastAsia" w:ascii="宋体" w:hAnsi="宋体"/>
          <w:sz w:val="28"/>
          <w:szCs w:val="28"/>
        </w:rPr>
        <w:t>，避免影响在线系统运行</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（4）</w:t>
      </w:r>
      <w:r>
        <w:rPr>
          <w:rFonts w:ascii="宋体" w:hAnsi="宋体"/>
          <w:sz w:val="28"/>
          <w:szCs w:val="28"/>
        </w:rPr>
        <w:t>制定应急预案</w:t>
      </w:r>
    </w:p>
    <w:p>
      <w:pPr>
        <w:spacing w:line="360" w:lineRule="auto"/>
        <w:ind w:firstLine="560" w:firstLineChars="200"/>
        <w:rPr>
          <w:rFonts w:ascii="宋体" w:hAnsi="宋体"/>
          <w:sz w:val="28"/>
          <w:szCs w:val="28"/>
        </w:rPr>
      </w:pPr>
      <w:r>
        <w:rPr>
          <w:rFonts w:hint="eastAsia" w:ascii="宋体" w:hAnsi="宋体"/>
          <w:sz w:val="28"/>
          <w:szCs w:val="28"/>
        </w:rPr>
        <w:t>根据被测系统情况，在测评及评估实施前</w:t>
      </w:r>
      <w:r>
        <w:rPr>
          <w:rFonts w:ascii="宋体" w:hAnsi="宋体"/>
          <w:sz w:val="28"/>
          <w:szCs w:val="28"/>
        </w:rPr>
        <w:t>制定应急预案</w:t>
      </w:r>
      <w:r>
        <w:rPr>
          <w:rFonts w:hint="eastAsia" w:ascii="宋体" w:hAnsi="宋体"/>
          <w:sz w:val="28"/>
          <w:szCs w:val="28"/>
        </w:rPr>
        <w:t>，加强系统在线应急处置能力。</w:t>
      </w:r>
    </w:p>
    <w:p>
      <w:pPr>
        <w:spacing w:line="360" w:lineRule="auto"/>
        <w:ind w:firstLine="560" w:firstLineChars="200"/>
        <w:rPr>
          <w:rFonts w:ascii="宋体" w:hAnsi="宋体"/>
          <w:sz w:val="28"/>
          <w:szCs w:val="28"/>
        </w:rPr>
      </w:pPr>
      <w:r>
        <w:rPr>
          <w:rFonts w:hint="eastAsia" w:ascii="宋体" w:hAnsi="宋体"/>
          <w:sz w:val="28"/>
          <w:szCs w:val="28"/>
        </w:rPr>
        <w:t>（5）关键业务系统风险控制</w:t>
      </w:r>
    </w:p>
    <w:p>
      <w:pPr>
        <w:spacing w:line="360" w:lineRule="auto"/>
        <w:ind w:firstLine="560" w:firstLineChars="200"/>
        <w:rPr>
          <w:rFonts w:asciiTheme="minorEastAsia" w:hAnsiTheme="minorEastAsia" w:eastAsiaTheme="minorEastAsia"/>
          <w:color w:val="000000"/>
          <w:sz w:val="28"/>
          <w:szCs w:val="28"/>
        </w:rPr>
      </w:pPr>
      <w:r>
        <w:rPr>
          <w:rFonts w:hint="eastAsia" w:ascii="宋体" w:hAnsi="宋体"/>
          <w:sz w:val="28"/>
          <w:szCs w:val="28"/>
        </w:rPr>
        <w:t>生产控制大区在线运行系统禁止采用渗透测试工具进行测评。</w:t>
      </w:r>
    </w:p>
    <w:p>
      <w:pPr>
        <w:numPr>
          <w:ilvl w:val="0"/>
          <w:numId w:val="2"/>
        </w:numPr>
        <w:spacing w:line="360" w:lineRule="auto"/>
        <w:outlineLvl w:val="0"/>
        <w:rPr>
          <w:rFonts w:ascii="宋体" w:hAnsi="宋体"/>
          <w:b/>
          <w:sz w:val="28"/>
          <w:szCs w:val="28"/>
        </w:rPr>
      </w:pPr>
      <w:r>
        <w:rPr>
          <w:rFonts w:hint="eastAsia" w:ascii="宋体" w:hAnsi="宋体"/>
          <w:b/>
          <w:sz w:val="28"/>
          <w:szCs w:val="28"/>
        </w:rPr>
        <w:t>工程管理</w:t>
      </w:r>
      <w:bookmarkEnd w:id="42"/>
    </w:p>
    <w:p>
      <w:pPr>
        <w:numPr>
          <w:ilvl w:val="1"/>
          <w:numId w:val="2"/>
        </w:numPr>
        <w:spacing w:line="360" w:lineRule="auto"/>
        <w:outlineLvl w:val="1"/>
        <w:rPr>
          <w:rFonts w:ascii="宋体" w:hAnsi="宋体"/>
          <w:b/>
          <w:sz w:val="28"/>
          <w:szCs w:val="28"/>
        </w:rPr>
      </w:pPr>
      <w:bookmarkStart w:id="43" w:name="_Toc311015408"/>
      <w:r>
        <w:rPr>
          <w:rFonts w:hint="eastAsia" w:ascii="宋体" w:hAnsi="宋体"/>
          <w:b/>
          <w:sz w:val="28"/>
          <w:szCs w:val="28"/>
        </w:rPr>
        <w:t>工程和服务需求</w:t>
      </w:r>
    </w:p>
    <w:p>
      <w:pPr>
        <w:spacing w:line="360" w:lineRule="auto"/>
        <w:ind w:firstLine="560" w:firstLineChars="200"/>
        <w:rPr>
          <w:rFonts w:ascii="宋体" w:hAnsi="宋体"/>
          <w:sz w:val="28"/>
          <w:szCs w:val="28"/>
        </w:rPr>
      </w:pPr>
      <w:r>
        <w:rPr>
          <w:rFonts w:hint="eastAsia" w:ascii="宋体" w:hAnsi="宋体"/>
          <w:sz w:val="28"/>
          <w:szCs w:val="28"/>
        </w:rPr>
        <w:t xml:space="preserve">（1）投标方应提供工程施工与系统实施服务的详细方案，方案中应分别描述施工与系统实施的具体工作内容、投入人员、人员简介、工作日程表等内容。日程表应涵盖方案设计、现场测评、报告分析和编制、项目验收技术培训等方面。 </w:t>
      </w:r>
    </w:p>
    <w:p>
      <w:pPr>
        <w:spacing w:line="360" w:lineRule="auto"/>
        <w:ind w:firstLine="560" w:firstLineChars="200"/>
        <w:rPr>
          <w:rFonts w:ascii="宋体" w:hAnsi="宋体"/>
          <w:sz w:val="28"/>
          <w:szCs w:val="28"/>
        </w:rPr>
      </w:pPr>
      <w:r>
        <w:rPr>
          <w:rFonts w:hint="eastAsia" w:ascii="宋体" w:hAnsi="宋体"/>
          <w:sz w:val="28"/>
          <w:szCs w:val="28"/>
        </w:rPr>
        <w:t xml:space="preserve">（2）中标方应向用户单位提供产品和服务，承担方案中的所有设备及软件的集成责任，无论该设备或软件是由中标方采购还是招标方提供的设备。承诺与本项目的相关单位进行积极主动的合作。 </w:t>
      </w:r>
    </w:p>
    <w:p>
      <w:pPr>
        <w:spacing w:line="360" w:lineRule="auto"/>
        <w:ind w:firstLine="560" w:firstLineChars="200"/>
        <w:rPr>
          <w:rFonts w:ascii="宋体" w:hAnsi="宋体"/>
          <w:sz w:val="28"/>
          <w:szCs w:val="28"/>
        </w:rPr>
      </w:pPr>
      <w:r>
        <w:rPr>
          <w:rFonts w:hint="eastAsia" w:ascii="宋体" w:hAnsi="宋体"/>
          <w:sz w:val="28"/>
          <w:szCs w:val="28"/>
        </w:rPr>
        <w:t xml:space="preserve">（3）投标方应充分重视项目实施过程中的安全管理（包括人员安全、设备安全、信息安全等） ，提出明确的安全管理措施。 </w:t>
      </w:r>
    </w:p>
    <w:p>
      <w:pPr>
        <w:spacing w:line="360" w:lineRule="auto"/>
        <w:ind w:firstLine="560" w:firstLineChars="200"/>
        <w:rPr>
          <w:rFonts w:ascii="宋体" w:hAnsi="宋体"/>
          <w:sz w:val="28"/>
          <w:szCs w:val="28"/>
        </w:rPr>
      </w:pPr>
      <w:r>
        <w:rPr>
          <w:rFonts w:hint="eastAsia" w:ascii="宋体" w:hAnsi="宋体"/>
          <w:sz w:val="28"/>
          <w:szCs w:val="28"/>
        </w:rPr>
        <w:t xml:space="preserve">（4）投标方应针对本项目建立完整的项目组织体系并保证其有效运行。投标方的项目组织机构中应包含实施本项目所必须的各类专业技术和管理人员，其中包括但不限于项目总负责人、现场项目经理以及系统设计、集成、调试、文档管理等方面的专业人员，并且项目现场经理和项目组主要成员在参加本项目实施时不应再兼职其它工作。 </w:t>
      </w:r>
    </w:p>
    <w:p>
      <w:pPr>
        <w:spacing w:line="360" w:lineRule="auto"/>
        <w:ind w:firstLine="560" w:firstLineChars="200"/>
        <w:rPr>
          <w:rFonts w:ascii="宋体" w:hAnsi="宋体"/>
          <w:sz w:val="28"/>
          <w:szCs w:val="28"/>
        </w:rPr>
      </w:pPr>
      <w:r>
        <w:rPr>
          <w:rFonts w:hint="eastAsia" w:ascii="宋体" w:hAnsi="宋体"/>
          <w:sz w:val="28"/>
          <w:szCs w:val="28"/>
        </w:rPr>
        <w:t xml:space="preserve">（5）投标方应在中标后负责在项目规定的时间内完成项目实施工作内容。 </w:t>
      </w:r>
    </w:p>
    <w:p>
      <w:pPr>
        <w:numPr>
          <w:ilvl w:val="1"/>
          <w:numId w:val="2"/>
        </w:numPr>
        <w:spacing w:line="360" w:lineRule="auto"/>
        <w:outlineLvl w:val="1"/>
        <w:rPr>
          <w:rFonts w:ascii="宋体" w:hAnsi="宋体"/>
          <w:b/>
          <w:sz w:val="28"/>
          <w:szCs w:val="28"/>
        </w:rPr>
      </w:pPr>
      <w:r>
        <w:rPr>
          <w:rFonts w:hint="eastAsia" w:ascii="宋体" w:hAnsi="宋体"/>
          <w:b/>
          <w:sz w:val="28"/>
          <w:szCs w:val="28"/>
        </w:rPr>
        <w:t>技术支持和售后服务</w:t>
      </w:r>
    </w:p>
    <w:p>
      <w:pPr>
        <w:spacing w:line="360" w:lineRule="auto"/>
        <w:ind w:firstLine="560" w:firstLineChars="200"/>
        <w:rPr>
          <w:rFonts w:ascii="宋体" w:hAnsi="宋体"/>
          <w:sz w:val="28"/>
          <w:szCs w:val="28"/>
        </w:rPr>
      </w:pPr>
      <w:r>
        <w:rPr>
          <w:rFonts w:hint="eastAsia" w:ascii="宋体" w:hAnsi="宋体"/>
          <w:sz w:val="28"/>
          <w:szCs w:val="28"/>
        </w:rPr>
        <w:t xml:space="preserve">（1）投标方在中标后，应根据招标方的要求提供现场技术支持与售后服务。投标方必须承诺至少提供以下的技术支持与售后服务，并在应答时应详细阐述技术支持与售后服务的内容和范围。 </w:t>
      </w:r>
    </w:p>
    <w:p>
      <w:pPr>
        <w:spacing w:line="360" w:lineRule="auto"/>
        <w:ind w:firstLine="560" w:firstLineChars="200"/>
        <w:rPr>
          <w:rFonts w:ascii="宋体" w:hAnsi="宋体"/>
          <w:sz w:val="28"/>
          <w:szCs w:val="28"/>
        </w:rPr>
      </w:pPr>
      <w:r>
        <w:rPr>
          <w:rFonts w:hint="eastAsia" w:ascii="宋体" w:hAnsi="宋体"/>
          <w:sz w:val="28"/>
          <w:szCs w:val="28"/>
        </w:rPr>
        <w:t xml:space="preserve">（2）投标方应提供针对本项目的技术支持与售后服务方案，该方案中还应包括完整的系统运行维护方案，以保证系统的安全稳定运行。 </w:t>
      </w:r>
    </w:p>
    <w:p>
      <w:pPr>
        <w:spacing w:line="360" w:lineRule="auto"/>
        <w:ind w:firstLine="560" w:firstLineChars="200"/>
        <w:rPr>
          <w:rFonts w:ascii="宋体" w:hAnsi="宋体"/>
          <w:sz w:val="28"/>
          <w:szCs w:val="28"/>
        </w:rPr>
      </w:pPr>
      <w:r>
        <w:rPr>
          <w:rFonts w:hint="eastAsia" w:ascii="宋体" w:hAnsi="宋体"/>
          <w:sz w:val="28"/>
          <w:szCs w:val="28"/>
        </w:rPr>
        <w:t xml:space="preserve">（3）投标方必须对业主方所提出的系统维护要求做出实质性响应，提供各种突发事件的应急策略（包括具体响应时间）。投标方应详细列出服务方案和系统应急方案，一经应答将作为合同的一部分。 </w:t>
      </w:r>
    </w:p>
    <w:p>
      <w:pPr>
        <w:spacing w:line="360" w:lineRule="auto"/>
        <w:ind w:firstLine="560" w:firstLineChars="200"/>
        <w:rPr>
          <w:rFonts w:ascii="宋体" w:hAnsi="宋体"/>
          <w:sz w:val="28"/>
          <w:szCs w:val="28"/>
        </w:rPr>
      </w:pPr>
      <w:r>
        <w:rPr>
          <w:rFonts w:hint="eastAsia" w:ascii="宋体" w:hAnsi="宋体"/>
          <w:sz w:val="28"/>
          <w:szCs w:val="28"/>
        </w:rPr>
        <w:t xml:space="preserve">（4）本招标项目售后服务期为1年，售后服务内容：负责对交付成果中的文档进行免费修正、优化、补充和完善，并负责对测评范围内的安全整改和项目实施提供免费技术支持和人工服务。提供 7X12 小时售后服务电话技术支持。 </w:t>
      </w:r>
    </w:p>
    <w:p>
      <w:pPr>
        <w:numPr>
          <w:ilvl w:val="1"/>
          <w:numId w:val="2"/>
        </w:numPr>
        <w:spacing w:line="360" w:lineRule="auto"/>
        <w:outlineLvl w:val="1"/>
        <w:rPr>
          <w:rFonts w:ascii="宋体" w:hAnsi="宋体"/>
          <w:b/>
          <w:sz w:val="28"/>
          <w:szCs w:val="28"/>
        </w:rPr>
      </w:pPr>
      <w:r>
        <w:rPr>
          <w:rFonts w:hint="eastAsia" w:ascii="宋体" w:hAnsi="宋体"/>
          <w:b/>
          <w:sz w:val="28"/>
          <w:szCs w:val="28"/>
        </w:rPr>
        <w:t>项目验收</w:t>
      </w:r>
      <w:bookmarkEnd w:id="43"/>
      <w:r>
        <w:rPr>
          <w:rFonts w:hint="eastAsia" w:ascii="宋体" w:hAnsi="宋体"/>
          <w:b/>
          <w:sz w:val="28"/>
          <w:szCs w:val="28"/>
        </w:rPr>
        <w:t>及考核</w:t>
      </w:r>
    </w:p>
    <w:p>
      <w:pPr>
        <w:overflowPunct w:val="0"/>
        <w:topLinePunct/>
        <w:snapToGrid w:val="0"/>
        <w:spacing w:line="360" w:lineRule="auto"/>
        <w:ind w:firstLine="560" w:firstLineChars="200"/>
        <w:rPr>
          <w:rFonts w:ascii="宋体" w:hAnsi="宋体"/>
          <w:sz w:val="28"/>
          <w:szCs w:val="28"/>
        </w:rPr>
      </w:pPr>
      <w:r>
        <w:rPr>
          <w:rFonts w:hint="eastAsia" w:ascii="宋体" w:hAnsi="宋体"/>
          <w:sz w:val="28"/>
          <w:szCs w:val="28"/>
        </w:rPr>
        <w:t>验收应按照招标方确认的验收测试大纲进行，全过程必须由招标方在场见证。</w:t>
      </w:r>
    </w:p>
    <w:p>
      <w:pPr>
        <w:numPr>
          <w:ilvl w:val="0"/>
          <w:numId w:val="3"/>
        </w:numPr>
        <w:spacing w:line="360" w:lineRule="auto"/>
        <w:ind w:firstLine="147"/>
        <w:rPr>
          <w:rFonts w:ascii="宋体" w:hAnsi="宋体" w:cs="宋体"/>
          <w:sz w:val="28"/>
          <w:szCs w:val="28"/>
        </w:rPr>
      </w:pPr>
      <w:r>
        <w:rPr>
          <w:rFonts w:ascii="宋体" w:hAnsi="宋体" w:cs="宋体"/>
          <w:sz w:val="28"/>
          <w:szCs w:val="28"/>
        </w:rPr>
        <w:t>等级保护测评</w:t>
      </w:r>
      <w:r>
        <w:rPr>
          <w:rFonts w:hint="eastAsia" w:ascii="宋体" w:hAnsi="宋体" w:cs="宋体"/>
          <w:sz w:val="28"/>
          <w:szCs w:val="28"/>
        </w:rPr>
        <w:t>及安全防护评估</w:t>
      </w:r>
      <w:r>
        <w:rPr>
          <w:rFonts w:ascii="宋体" w:hAnsi="宋体" w:cs="宋体"/>
          <w:sz w:val="28"/>
          <w:szCs w:val="28"/>
        </w:rPr>
        <w:t>项目目标是输出等级保护</w:t>
      </w:r>
      <w:r>
        <w:rPr>
          <w:rFonts w:hint="eastAsia" w:ascii="宋体" w:hAnsi="宋体" w:cs="宋体"/>
          <w:sz w:val="28"/>
          <w:szCs w:val="28"/>
        </w:rPr>
        <w:t>测评及安全防护评估</w:t>
      </w:r>
      <w:r>
        <w:rPr>
          <w:rFonts w:ascii="宋体" w:hAnsi="宋体" w:cs="宋体"/>
          <w:sz w:val="28"/>
          <w:szCs w:val="28"/>
        </w:rPr>
        <w:t>报告，该项目将产生一定数量的文档。</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投标</w:t>
      </w:r>
      <w:r>
        <w:rPr>
          <w:rFonts w:ascii="宋体" w:hAnsi="宋体" w:cs="宋体"/>
          <w:sz w:val="28"/>
          <w:szCs w:val="28"/>
        </w:rPr>
        <w:t>方应对所有正式交付件的综合质量审查负责，指定各交付件的相关责任人，明确相关职责。</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投标方</w:t>
      </w:r>
      <w:r>
        <w:rPr>
          <w:rFonts w:ascii="宋体" w:hAnsi="宋体" w:cs="宋体"/>
          <w:sz w:val="28"/>
          <w:szCs w:val="28"/>
        </w:rPr>
        <w:t>应提交验收流程、验收方法和验收依据。</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投标方</w:t>
      </w:r>
      <w:r>
        <w:rPr>
          <w:rFonts w:ascii="宋体" w:hAnsi="宋体" w:cs="宋体"/>
          <w:sz w:val="28"/>
          <w:szCs w:val="28"/>
        </w:rPr>
        <w:t>应提供交付件归档办法和方式。</w:t>
      </w:r>
    </w:p>
    <w:p>
      <w:pPr>
        <w:numPr>
          <w:ilvl w:val="0"/>
          <w:numId w:val="3"/>
        </w:numPr>
        <w:spacing w:line="360" w:lineRule="auto"/>
        <w:ind w:firstLine="147"/>
        <w:rPr>
          <w:rFonts w:ascii="宋体" w:hAnsi="宋体" w:cs="宋体"/>
          <w:sz w:val="28"/>
          <w:szCs w:val="28"/>
        </w:rPr>
      </w:pPr>
      <w:r>
        <w:rPr>
          <w:rFonts w:hint="eastAsia" w:ascii="宋体" w:hAnsi="宋体" w:cs="宋体"/>
          <w:sz w:val="28"/>
          <w:szCs w:val="28"/>
        </w:rPr>
        <w:t>投标方应提供详细的验收测试大纲或计划，大纲中应明确规定验收项目和必须满足的要求。大纲必须经招标方确认后方可生效。</w:t>
      </w:r>
    </w:p>
    <w:p>
      <w:pPr>
        <w:numPr>
          <w:ilvl w:val="0"/>
          <w:numId w:val="3"/>
        </w:numPr>
        <w:spacing w:line="360" w:lineRule="auto"/>
        <w:ind w:firstLine="147"/>
        <w:rPr>
          <w:rFonts w:ascii="宋体" w:hAnsi="宋体"/>
          <w:sz w:val="28"/>
          <w:szCs w:val="28"/>
        </w:rPr>
      </w:pPr>
      <w:r>
        <w:rPr>
          <w:rFonts w:hint="eastAsia" w:ascii="宋体" w:hAnsi="宋体" w:cs="宋体"/>
          <w:sz w:val="28"/>
          <w:szCs w:val="28"/>
        </w:rPr>
        <w:t>验收报告需双方代表签字认可。</w:t>
      </w:r>
    </w:p>
    <w:p>
      <w:pPr>
        <w:numPr>
          <w:ilvl w:val="0"/>
          <w:numId w:val="3"/>
        </w:numPr>
        <w:spacing w:line="360" w:lineRule="auto"/>
        <w:ind w:firstLine="147"/>
        <w:rPr>
          <w:rFonts w:ascii="宋体" w:hAnsi="宋体"/>
          <w:sz w:val="28"/>
          <w:szCs w:val="28"/>
        </w:rPr>
      </w:pPr>
      <w:r>
        <w:rPr>
          <w:rFonts w:hint="eastAsia" w:ascii="宋体" w:hAnsi="宋体"/>
          <w:sz w:val="28"/>
          <w:szCs w:val="28"/>
        </w:rPr>
        <w:t>电力监控系统安全防护评估报告如未在2021年4月30日前完成，每延期一个工作日，按5000元/天考核。（甲方整改原因除外）</w:t>
      </w:r>
    </w:p>
    <w:p>
      <w:pPr>
        <w:numPr>
          <w:ilvl w:val="0"/>
          <w:numId w:val="3"/>
        </w:numPr>
        <w:spacing w:line="360" w:lineRule="auto"/>
        <w:ind w:firstLine="147"/>
        <w:rPr>
          <w:rFonts w:ascii="宋体" w:hAnsi="宋体" w:cs="宋体"/>
          <w:sz w:val="28"/>
          <w:szCs w:val="28"/>
        </w:rPr>
      </w:pPr>
      <w:r>
        <w:rPr>
          <w:rFonts w:hint="eastAsia" w:ascii="宋体" w:hAnsi="宋体"/>
          <w:sz w:val="28"/>
          <w:szCs w:val="28"/>
        </w:rPr>
        <w:t>等级保护测评及安全防护评估工作无法满足技术要求，按500元/项考核。（仅限于现有技术标准情况下）</w:t>
      </w:r>
    </w:p>
    <w:p>
      <w:pPr>
        <w:numPr>
          <w:ilvl w:val="1"/>
          <w:numId w:val="2"/>
        </w:numPr>
        <w:spacing w:line="360" w:lineRule="auto"/>
        <w:outlineLvl w:val="1"/>
        <w:rPr>
          <w:rFonts w:ascii="宋体" w:hAnsi="宋体"/>
          <w:b/>
          <w:sz w:val="28"/>
          <w:szCs w:val="28"/>
        </w:rPr>
      </w:pPr>
      <w:bookmarkStart w:id="44" w:name="_Toc311015409"/>
      <w:r>
        <w:rPr>
          <w:rFonts w:hint="eastAsia" w:ascii="宋体" w:hAnsi="宋体"/>
          <w:b/>
          <w:sz w:val="28"/>
          <w:szCs w:val="28"/>
        </w:rPr>
        <w:t>项目文档</w:t>
      </w:r>
      <w:bookmarkEnd w:id="44"/>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sz w:val="28"/>
          <w:szCs w:val="28"/>
        </w:rPr>
        <w:t>投标方提供的资料应使用国际单位制（</w:t>
      </w:r>
      <w:r>
        <w:rPr>
          <w:rFonts w:ascii="宋体" w:hAnsi="宋体"/>
          <w:sz w:val="28"/>
          <w:szCs w:val="28"/>
        </w:rPr>
        <w:t>SI</w:t>
      </w:r>
      <w:r>
        <w:rPr>
          <w:rFonts w:hint="eastAsia" w:ascii="宋体" w:hAnsi="宋体"/>
          <w:sz w:val="28"/>
          <w:szCs w:val="28"/>
        </w:rPr>
        <w:t>），语言为中文。</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sz w:val="28"/>
          <w:szCs w:val="28"/>
        </w:rPr>
        <w:t>资料的组织结构清晰、逻辑性强。资料内容要正确、准确、一致、清晰完整。如所供资料不能达到要求时，投标方应免费给予补充。</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sz w:val="28"/>
          <w:szCs w:val="28"/>
        </w:rPr>
        <w:t>投标方资料的提交应及时充分，满足项目进度要求。</w:t>
      </w:r>
    </w:p>
    <w:p>
      <w:pPr>
        <w:numPr>
          <w:ilvl w:val="2"/>
          <w:numId w:val="2"/>
        </w:numPr>
        <w:tabs>
          <w:tab w:val="left" w:pos="0"/>
        </w:tabs>
        <w:overflowPunct w:val="0"/>
        <w:topLinePunct/>
        <w:snapToGrid w:val="0"/>
        <w:spacing w:line="360" w:lineRule="auto"/>
        <w:ind w:left="0" w:firstLine="0"/>
        <w:outlineLvl w:val="2"/>
        <w:rPr>
          <w:rFonts w:ascii="宋体" w:hAnsi="宋体"/>
          <w:b/>
          <w:bCs/>
          <w:sz w:val="28"/>
          <w:szCs w:val="28"/>
        </w:rPr>
      </w:pPr>
      <w:r>
        <w:rPr>
          <w:rFonts w:hint="eastAsia" w:ascii="宋体" w:hAnsi="宋体"/>
          <w:sz w:val="28"/>
          <w:szCs w:val="28"/>
        </w:rPr>
        <w:t>投标方完成项目后应提供至少6份纸质版（加盖服务机构公章）及电子版文档，具体文档（不仅限于）如下：</w:t>
      </w:r>
    </w:p>
    <w:p>
      <w:pPr>
        <w:overflowPunct w:val="0"/>
        <w:topLinePunct/>
        <w:snapToGrid w:val="0"/>
        <w:spacing w:line="360" w:lineRule="auto"/>
        <w:ind w:firstLine="420"/>
        <w:jc w:val="center"/>
        <w:rPr>
          <w:rFonts w:ascii="宋体" w:hAnsi="宋体"/>
          <w:sz w:val="28"/>
          <w:szCs w:val="28"/>
        </w:rPr>
      </w:pPr>
      <w:r>
        <w:rPr>
          <w:rFonts w:hint="eastAsia" w:ascii="宋体" w:hAnsi="宋体"/>
          <w:sz w:val="28"/>
          <w:szCs w:val="28"/>
        </w:rPr>
        <w:t>表3-1 投标方完成项目提供文档列表</w:t>
      </w:r>
    </w:p>
    <w:tbl>
      <w:tblPr>
        <w:tblStyle w:val="17"/>
        <w:tblW w:w="832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3919"/>
        <w:gridCol w:w="2441"/>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780" w:type="dxa"/>
            <w:vAlign w:val="center"/>
          </w:tcPr>
          <w:p>
            <w:pPr>
              <w:spacing w:line="360" w:lineRule="auto"/>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序号</w:t>
            </w:r>
          </w:p>
        </w:tc>
        <w:tc>
          <w:tcPr>
            <w:tcW w:w="3919" w:type="dxa"/>
            <w:vAlign w:val="center"/>
          </w:tcPr>
          <w:p>
            <w:pPr>
              <w:spacing w:line="360" w:lineRule="auto"/>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文档名称</w:t>
            </w:r>
          </w:p>
        </w:tc>
        <w:tc>
          <w:tcPr>
            <w:tcW w:w="2441" w:type="dxa"/>
            <w:vAlign w:val="center"/>
          </w:tcPr>
          <w:p>
            <w:pPr>
              <w:spacing w:line="360" w:lineRule="auto"/>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提交时间</w:t>
            </w:r>
          </w:p>
        </w:tc>
        <w:tc>
          <w:tcPr>
            <w:tcW w:w="1185" w:type="dxa"/>
            <w:vAlign w:val="center"/>
          </w:tcPr>
          <w:p>
            <w:pPr>
              <w:spacing w:line="360" w:lineRule="auto"/>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1</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sz w:val="28"/>
                <w:szCs w:val="28"/>
              </w:rPr>
            </w:pPr>
            <w:r>
              <w:rPr>
                <w:rFonts w:hint="eastAsia" w:asciiTheme="minorEastAsia" w:hAnsiTheme="minorEastAsia" w:eastAsiaTheme="minorEastAsia"/>
                <w:kern w:val="0"/>
                <w:sz w:val="28"/>
                <w:szCs w:val="28"/>
              </w:rPr>
              <w:t>《测评方案》</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签署合同后1周</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电子版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sz w:val="28"/>
                <w:szCs w:val="28"/>
              </w:rPr>
            </w:pPr>
            <w:r>
              <w:rPr>
                <w:rFonts w:hint="eastAsia" w:asciiTheme="minorEastAsia" w:hAnsiTheme="minorEastAsia" w:eastAsiaTheme="minorEastAsia"/>
                <w:kern w:val="0"/>
                <w:sz w:val="28"/>
                <w:szCs w:val="28"/>
              </w:rPr>
              <w:t>《系统自查指南》</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签署合同后1周</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电子版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3</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sz w:val="28"/>
                <w:szCs w:val="28"/>
              </w:rPr>
            </w:pPr>
            <w:r>
              <w:rPr>
                <w:rFonts w:hint="eastAsia" w:asciiTheme="minorEastAsia" w:hAnsiTheme="minorEastAsia" w:eastAsiaTheme="minorEastAsia"/>
                <w:kern w:val="0"/>
                <w:sz w:val="28"/>
                <w:szCs w:val="28"/>
              </w:rPr>
              <w:t>《</w:t>
            </w:r>
            <w:r>
              <w:rPr>
                <w:rFonts w:hint="eastAsia" w:asciiTheme="minorEastAsia" w:hAnsiTheme="minorEastAsia" w:eastAsiaTheme="minorEastAsia"/>
                <w:kern w:val="0"/>
                <w:sz w:val="28"/>
                <w:szCs w:val="28"/>
                <w:lang w:eastAsia="zh-CN"/>
              </w:rPr>
              <w:t>XXX</w:t>
            </w:r>
            <w:r>
              <w:rPr>
                <w:rFonts w:hint="eastAsia" w:asciiTheme="minorEastAsia" w:hAnsiTheme="minorEastAsia" w:eastAsiaTheme="minorEastAsia"/>
                <w:kern w:val="0"/>
                <w:sz w:val="28"/>
                <w:szCs w:val="28"/>
              </w:rPr>
              <w:t>系统安全等级保护测评报告》</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现场测评后3周</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4</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sz w:val="28"/>
                <w:szCs w:val="28"/>
              </w:rPr>
            </w:pPr>
            <w:r>
              <w:rPr>
                <w:rFonts w:hint="eastAsia" w:asciiTheme="minorEastAsia" w:hAnsiTheme="minorEastAsia" w:eastAsiaTheme="minorEastAsia"/>
                <w:kern w:val="0"/>
                <w:sz w:val="28"/>
                <w:szCs w:val="28"/>
              </w:rPr>
              <w:t>《</w:t>
            </w:r>
            <w:r>
              <w:rPr>
                <w:rFonts w:hint="eastAsia" w:asciiTheme="minorEastAsia" w:hAnsiTheme="minorEastAsia" w:eastAsiaTheme="minorEastAsia"/>
                <w:kern w:val="0"/>
                <w:sz w:val="28"/>
                <w:szCs w:val="28"/>
                <w:lang w:eastAsia="zh-CN"/>
              </w:rPr>
              <w:t>XXX</w:t>
            </w:r>
            <w:r>
              <w:rPr>
                <w:rFonts w:hint="eastAsia" w:asciiTheme="minorEastAsia" w:hAnsiTheme="minorEastAsia" w:eastAsiaTheme="minorEastAsia"/>
                <w:kern w:val="0"/>
                <w:sz w:val="28"/>
                <w:szCs w:val="28"/>
              </w:rPr>
              <w:t>系统安全等级保护测评报告》</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现场测评后3周</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5</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kern w:val="0"/>
                <w:sz w:val="28"/>
                <w:szCs w:val="28"/>
              </w:rPr>
            </w:pPr>
            <w:r>
              <w:rPr>
                <w:rFonts w:hint="eastAsia" w:asciiTheme="minorEastAsia" w:hAnsiTheme="minorEastAsia" w:eastAsiaTheme="minorEastAsia"/>
                <w:kern w:val="0"/>
                <w:sz w:val="28"/>
                <w:szCs w:val="28"/>
              </w:rPr>
              <w:t>《</w:t>
            </w:r>
            <w:r>
              <w:rPr>
                <w:rFonts w:hint="eastAsia" w:asciiTheme="minorEastAsia" w:hAnsiTheme="minorEastAsia" w:eastAsiaTheme="minorEastAsia"/>
                <w:kern w:val="0"/>
                <w:sz w:val="28"/>
                <w:szCs w:val="28"/>
                <w:lang w:eastAsia="zh-CN"/>
              </w:rPr>
              <w:t>XXX</w:t>
            </w:r>
            <w:r>
              <w:rPr>
                <w:rFonts w:hint="eastAsia" w:asciiTheme="minorEastAsia" w:hAnsiTheme="minorEastAsia" w:eastAsiaTheme="minorEastAsia"/>
                <w:kern w:val="0"/>
                <w:sz w:val="28"/>
                <w:szCs w:val="28"/>
              </w:rPr>
              <w:t>系统安全等级保护测评报告》</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现场测评后3周（加盖DJCP及CNAS公章）</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6</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sz w:val="28"/>
                <w:szCs w:val="28"/>
              </w:rPr>
            </w:pPr>
            <w:r>
              <w:rPr>
                <w:rFonts w:hint="eastAsia" w:asciiTheme="minorEastAsia" w:hAnsiTheme="minorEastAsia" w:eastAsiaTheme="minorEastAsia"/>
                <w:kern w:val="0"/>
                <w:sz w:val="28"/>
                <w:szCs w:val="28"/>
              </w:rPr>
              <w:t>《电力监控系统安全防护评估报告》</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现场测评后1周（加盖DJCP及CNAS公章）</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7</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kern w:val="0"/>
                <w:sz w:val="28"/>
                <w:szCs w:val="28"/>
              </w:rPr>
            </w:pPr>
            <w:r>
              <w:rPr>
                <w:rFonts w:hint="eastAsia" w:ascii="宋体" w:hAnsi="宋体"/>
                <w:sz w:val="28"/>
                <w:szCs w:val="28"/>
              </w:rPr>
              <w:t>《系统安全加固服务报告》</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现场测评后3周（加盖CNAS公章）</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780"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8</w:t>
            </w:r>
          </w:p>
        </w:tc>
        <w:tc>
          <w:tcPr>
            <w:tcW w:w="3919" w:type="dxa"/>
            <w:vAlign w:val="center"/>
          </w:tcPr>
          <w:p>
            <w:pPr>
              <w:suppressAutoHyphens/>
              <w:spacing w:before="156" w:beforeLines="50" w:after="156" w:afterLines="50" w:line="360" w:lineRule="auto"/>
              <w:ind w:leftChars="-8" w:hanging="16" w:hangingChars="6"/>
              <w:rPr>
                <w:rFonts w:asciiTheme="minorEastAsia" w:hAnsiTheme="minorEastAsia" w:eastAsiaTheme="minorEastAsia"/>
                <w:sz w:val="28"/>
                <w:szCs w:val="28"/>
              </w:rPr>
            </w:pPr>
            <w:r>
              <w:rPr>
                <w:rFonts w:hint="eastAsia" w:asciiTheme="minorEastAsia" w:hAnsiTheme="minorEastAsia" w:eastAsiaTheme="minorEastAsia"/>
                <w:kern w:val="0"/>
                <w:sz w:val="28"/>
                <w:szCs w:val="28"/>
              </w:rPr>
              <w:t>《整改建议书》</w:t>
            </w:r>
          </w:p>
        </w:tc>
        <w:tc>
          <w:tcPr>
            <w:tcW w:w="2441" w:type="dxa"/>
            <w:vAlign w:val="center"/>
          </w:tcPr>
          <w:p>
            <w:pPr>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现场测评后3周（加盖CNAS公章）</w:t>
            </w:r>
          </w:p>
        </w:tc>
        <w:tc>
          <w:tcPr>
            <w:tcW w:w="1185" w:type="dxa"/>
            <w:vAlign w:val="center"/>
          </w:tcPr>
          <w:p>
            <w:pPr>
              <w:spacing w:line="36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正式版</w:t>
            </w:r>
          </w:p>
        </w:tc>
      </w:tr>
    </w:tbl>
    <w:p>
      <w:pPr>
        <w:numPr>
          <w:ilvl w:val="1"/>
          <w:numId w:val="2"/>
        </w:numPr>
        <w:spacing w:line="360" w:lineRule="auto"/>
        <w:outlineLvl w:val="1"/>
        <w:rPr>
          <w:rFonts w:ascii="宋体" w:hAnsi="宋体"/>
          <w:b/>
          <w:sz w:val="28"/>
          <w:szCs w:val="28"/>
        </w:rPr>
      </w:pPr>
      <w:bookmarkStart w:id="45" w:name="_Toc311015410"/>
      <w:r>
        <w:rPr>
          <w:rFonts w:hint="eastAsia" w:ascii="宋体" w:hAnsi="宋体"/>
          <w:b/>
          <w:sz w:val="28"/>
          <w:szCs w:val="28"/>
        </w:rPr>
        <w:t>质量保证</w:t>
      </w:r>
      <w:bookmarkEnd w:id="45"/>
    </w:p>
    <w:p>
      <w:pPr>
        <w:overflowPunct w:val="0"/>
        <w:topLinePunct/>
        <w:snapToGrid w:val="0"/>
        <w:spacing w:line="360" w:lineRule="auto"/>
        <w:ind w:firstLine="420"/>
        <w:rPr>
          <w:rFonts w:ascii="宋体" w:hAnsi="宋体"/>
          <w:sz w:val="28"/>
          <w:szCs w:val="28"/>
        </w:rPr>
      </w:pPr>
      <w:r>
        <w:rPr>
          <w:rFonts w:hint="eastAsia" w:ascii="宋体" w:hAnsi="宋体"/>
          <w:sz w:val="28"/>
          <w:szCs w:val="28"/>
        </w:rPr>
        <w:t>投标</w:t>
      </w:r>
      <w:r>
        <w:rPr>
          <w:rFonts w:ascii="宋体" w:hAnsi="宋体"/>
          <w:sz w:val="28"/>
          <w:szCs w:val="28"/>
        </w:rPr>
        <w:t>方在</w:t>
      </w:r>
      <w:r>
        <w:rPr>
          <w:rFonts w:hint="eastAsia" w:ascii="宋体" w:hAnsi="宋体"/>
          <w:sz w:val="28"/>
          <w:szCs w:val="28"/>
        </w:rPr>
        <w:t>项目方案</w:t>
      </w:r>
      <w:r>
        <w:rPr>
          <w:rFonts w:ascii="宋体" w:hAnsi="宋体"/>
          <w:sz w:val="28"/>
          <w:szCs w:val="28"/>
        </w:rPr>
        <w:t>设计、</w:t>
      </w:r>
      <w:r>
        <w:rPr>
          <w:rFonts w:hint="eastAsia" w:ascii="宋体" w:hAnsi="宋体"/>
          <w:sz w:val="28"/>
          <w:szCs w:val="28"/>
        </w:rPr>
        <w:t>实施</w:t>
      </w:r>
      <w:r>
        <w:rPr>
          <w:rFonts w:ascii="宋体" w:hAnsi="宋体"/>
          <w:sz w:val="28"/>
          <w:szCs w:val="28"/>
        </w:rPr>
        <w:t>、</w:t>
      </w:r>
      <w:r>
        <w:rPr>
          <w:rFonts w:hint="eastAsia" w:ascii="宋体" w:hAnsi="宋体"/>
          <w:sz w:val="28"/>
          <w:szCs w:val="28"/>
        </w:rPr>
        <w:t>验收</w:t>
      </w:r>
      <w:r>
        <w:rPr>
          <w:rFonts w:ascii="宋体" w:hAnsi="宋体"/>
          <w:sz w:val="28"/>
          <w:szCs w:val="28"/>
        </w:rPr>
        <w:t>的各个阶段，均</w:t>
      </w:r>
      <w:r>
        <w:rPr>
          <w:rFonts w:hint="eastAsia" w:ascii="宋体" w:hAnsi="宋体"/>
          <w:sz w:val="28"/>
          <w:szCs w:val="28"/>
        </w:rPr>
        <w:t>应</w:t>
      </w:r>
      <w:r>
        <w:rPr>
          <w:rFonts w:ascii="宋体" w:hAnsi="宋体"/>
          <w:sz w:val="28"/>
          <w:szCs w:val="28"/>
        </w:rPr>
        <w:t>满足</w:t>
      </w:r>
      <w:r>
        <w:rPr>
          <w:rFonts w:hint="eastAsia" w:ascii="宋体" w:hAnsi="宋体"/>
          <w:sz w:val="28"/>
          <w:szCs w:val="28"/>
        </w:rPr>
        <w:t>电力监控系统正常稳定运行的</w:t>
      </w:r>
      <w:r>
        <w:rPr>
          <w:rFonts w:ascii="宋体" w:hAnsi="宋体"/>
          <w:sz w:val="28"/>
          <w:szCs w:val="28"/>
        </w:rPr>
        <w:t>要求。</w:t>
      </w:r>
    </w:p>
    <w:p>
      <w:pPr>
        <w:overflowPunct w:val="0"/>
        <w:topLinePunct/>
        <w:snapToGrid w:val="0"/>
        <w:spacing w:line="360" w:lineRule="auto"/>
        <w:ind w:firstLine="420"/>
        <w:rPr>
          <w:rFonts w:ascii="宋体" w:hAnsi="宋体"/>
          <w:sz w:val="28"/>
          <w:szCs w:val="28"/>
        </w:rPr>
      </w:pPr>
      <w:r>
        <w:rPr>
          <w:rFonts w:hint="eastAsia" w:ascii="宋体" w:hAnsi="宋体"/>
          <w:sz w:val="28"/>
          <w:szCs w:val="28"/>
        </w:rPr>
        <w:t>投标方出具的相关报告应得到行业主管单位认定。</w:t>
      </w:r>
    </w:p>
    <w:p>
      <w:pPr>
        <w:numPr>
          <w:ilvl w:val="1"/>
          <w:numId w:val="2"/>
        </w:numPr>
        <w:spacing w:line="360" w:lineRule="auto"/>
        <w:outlineLvl w:val="1"/>
        <w:rPr>
          <w:rFonts w:ascii="宋体" w:hAnsi="宋体"/>
          <w:b/>
          <w:sz w:val="28"/>
          <w:szCs w:val="28"/>
        </w:rPr>
      </w:pPr>
      <w:bookmarkStart w:id="46" w:name="_Toc311015411"/>
      <w:r>
        <w:rPr>
          <w:rFonts w:hint="eastAsia" w:ascii="宋体" w:hAnsi="宋体"/>
          <w:b/>
          <w:sz w:val="28"/>
          <w:szCs w:val="28"/>
        </w:rPr>
        <w:t>保密要求</w:t>
      </w:r>
      <w:bookmarkEnd w:id="46"/>
    </w:p>
    <w:p>
      <w:pPr>
        <w:overflowPunct w:val="0"/>
        <w:topLinePunct/>
        <w:snapToGrid w:val="0"/>
        <w:spacing w:line="360" w:lineRule="auto"/>
        <w:ind w:firstLine="420"/>
        <w:rPr>
          <w:rFonts w:ascii="宋体" w:hAnsi="宋体"/>
          <w:sz w:val="28"/>
          <w:szCs w:val="28"/>
        </w:rPr>
      </w:pPr>
      <w:r>
        <w:rPr>
          <w:rFonts w:hint="eastAsia" w:ascii="宋体" w:hAnsi="宋体"/>
          <w:sz w:val="28"/>
          <w:szCs w:val="28"/>
        </w:rPr>
        <w:t>投标方</w:t>
      </w:r>
      <w:r>
        <w:rPr>
          <w:rFonts w:ascii="宋体" w:hAnsi="宋体"/>
          <w:sz w:val="28"/>
          <w:szCs w:val="28"/>
        </w:rPr>
        <w:t>承担被</w:t>
      </w:r>
      <w:r>
        <w:rPr>
          <w:rFonts w:hint="eastAsia" w:ascii="宋体" w:hAnsi="宋体"/>
          <w:sz w:val="28"/>
          <w:szCs w:val="28"/>
        </w:rPr>
        <w:t>测评及评估</w:t>
      </w:r>
      <w:r>
        <w:rPr>
          <w:rFonts w:ascii="宋体" w:hAnsi="宋体"/>
          <w:sz w:val="28"/>
          <w:szCs w:val="28"/>
        </w:rPr>
        <w:t>单位敏感信息的保密责任，在项目实施过程中，双方需要复制对方提供的相关资料时，应提交书面申请，在得到对方书面同意后方可复制，并将数据内容记录成表，签字确认。</w:t>
      </w:r>
    </w:p>
    <w:p>
      <w:pPr>
        <w:overflowPunct w:val="0"/>
        <w:topLinePunct/>
        <w:snapToGrid w:val="0"/>
        <w:spacing w:line="360" w:lineRule="auto"/>
        <w:ind w:firstLine="420"/>
        <w:rPr>
          <w:rFonts w:ascii="宋体" w:hAnsi="宋体"/>
          <w:sz w:val="28"/>
          <w:szCs w:val="28"/>
        </w:rPr>
      </w:pPr>
      <w:r>
        <w:rPr>
          <w:rFonts w:ascii="宋体" w:hAnsi="宋体"/>
          <w:sz w:val="28"/>
          <w:szCs w:val="28"/>
        </w:rPr>
        <w:t>未经双方书面同意，不得向第三方透露项目</w:t>
      </w:r>
      <w:r>
        <w:rPr>
          <w:rFonts w:hint="eastAsia" w:ascii="宋体" w:hAnsi="宋体"/>
          <w:sz w:val="28"/>
          <w:szCs w:val="28"/>
        </w:rPr>
        <w:t>和涉及</w:t>
      </w:r>
      <w:r>
        <w:rPr>
          <w:rFonts w:ascii="宋体" w:hAnsi="宋体"/>
          <w:sz w:val="28"/>
          <w:szCs w:val="28"/>
        </w:rPr>
        <w:t>双方企业信息安全</w:t>
      </w:r>
      <w:r>
        <w:rPr>
          <w:rFonts w:hint="eastAsia" w:ascii="宋体" w:hAnsi="宋体"/>
          <w:sz w:val="28"/>
          <w:szCs w:val="28"/>
        </w:rPr>
        <w:t>、</w:t>
      </w:r>
      <w:r>
        <w:rPr>
          <w:rFonts w:ascii="宋体" w:hAnsi="宋体"/>
          <w:sz w:val="28"/>
          <w:szCs w:val="28"/>
        </w:rPr>
        <w:t>技术成果的任何内容。</w:t>
      </w:r>
    </w:p>
    <w:p>
      <w:pPr>
        <w:overflowPunct w:val="0"/>
        <w:topLinePunct/>
        <w:snapToGrid w:val="0"/>
        <w:spacing w:line="360" w:lineRule="auto"/>
        <w:ind w:firstLine="420"/>
        <w:rPr>
          <w:rFonts w:ascii="宋体" w:hAnsi="宋体"/>
          <w:sz w:val="28"/>
          <w:szCs w:val="28"/>
        </w:rPr>
      </w:pPr>
      <w:r>
        <w:rPr>
          <w:rFonts w:ascii="宋体" w:hAnsi="宋体"/>
          <w:sz w:val="28"/>
          <w:szCs w:val="28"/>
        </w:rPr>
        <w:t>项目结束后，双方必须互相确认</w:t>
      </w:r>
      <w:r>
        <w:rPr>
          <w:rFonts w:hint="eastAsia" w:ascii="宋体" w:hAnsi="宋体"/>
          <w:sz w:val="28"/>
          <w:szCs w:val="28"/>
        </w:rPr>
        <w:t>测评</w:t>
      </w:r>
      <w:r>
        <w:rPr>
          <w:rFonts w:ascii="宋体" w:hAnsi="宋体"/>
          <w:sz w:val="28"/>
          <w:szCs w:val="28"/>
        </w:rPr>
        <w:t>过程中提供的相关资料，相互承担保密责任。</w:t>
      </w:r>
    </w:p>
    <w:p>
      <w:pPr>
        <w:overflowPunct w:val="0"/>
        <w:topLinePunct/>
        <w:snapToGrid w:val="0"/>
        <w:spacing w:line="360" w:lineRule="auto"/>
        <w:rPr>
          <w:rFonts w:ascii="宋体" w:hAnsi="宋体"/>
          <w:sz w:val="24"/>
          <w:szCs w:val="24"/>
        </w:rPr>
      </w:pPr>
    </w:p>
    <w:sectPr>
      <w:pgSz w:w="11906" w:h="16838"/>
      <w:pgMar w:top="1440" w:right="1274"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24</w:t>
    </w:r>
    <w:r>
      <w:rPr>
        <w:rStyle w:val="20"/>
      </w:rPr>
      <w:fldChar w:fldCharType="end"/>
    </w:r>
  </w:p>
  <w:p>
    <w:pPr>
      <w:pStyle w:val="12"/>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sz w:val="18"/>
        <w:szCs w:val="18"/>
      </w:rPr>
    </w:pPr>
    <w:r>
      <w:rPr>
        <w:rFonts w:hint="eastAsia" w:ascii="宋体" w:hAnsi="宋体"/>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bCs/>
      </w:rPr>
      <w:tab/>
    </w:r>
    <w:r>
      <w:rPr>
        <w:rFonts w:hint="eastAsia"/>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76DBE"/>
    <w:multiLevelType w:val="multilevel"/>
    <w:tmpl w:val="01C76DBE"/>
    <w:lvl w:ilvl="0" w:tentative="0">
      <w:start w:val="1"/>
      <w:numFmt w:val="decimal"/>
      <w:lvlText w:val="%1"/>
      <w:lvlJc w:val="left"/>
      <w:pPr>
        <w:tabs>
          <w:tab w:val="left" w:pos="425"/>
        </w:tabs>
        <w:ind w:left="0" w:firstLine="0"/>
      </w:pPr>
      <w:rPr>
        <w:rFonts w:hint="eastAsia"/>
        <w:sz w:val="24"/>
        <w:szCs w:val="24"/>
      </w:rPr>
    </w:lvl>
    <w:lvl w:ilvl="1" w:tentative="0">
      <w:start w:val="1"/>
      <w:numFmt w:val="decimal"/>
      <w:lvlText w:val="%1.%2"/>
      <w:lvlJc w:val="left"/>
      <w:pPr>
        <w:tabs>
          <w:tab w:val="left" w:pos="567"/>
        </w:tabs>
        <w:ind w:left="567" w:hanging="567"/>
      </w:pPr>
      <w:rPr>
        <w:rFonts w:hint="eastAsia"/>
        <w:sz w:val="24"/>
      </w:rPr>
    </w:lvl>
    <w:lvl w:ilvl="2" w:tentative="0">
      <w:start w:val="1"/>
      <w:numFmt w:val="decimal"/>
      <w:lvlText w:val="%1.%2.%3"/>
      <w:lvlJc w:val="left"/>
      <w:pPr>
        <w:tabs>
          <w:tab w:val="left" w:pos="993"/>
        </w:tabs>
        <w:ind w:left="993" w:hanging="709"/>
      </w:pPr>
      <w:rPr>
        <w:rFonts w:hint="eastAsia"/>
        <w:b w:val="0"/>
        <w:sz w:val="24"/>
        <w:szCs w:val="24"/>
      </w:rPr>
    </w:lvl>
    <w:lvl w:ilvl="3" w:tentative="0">
      <w:start w:val="1"/>
      <w:numFmt w:val="decimal"/>
      <w:lvlText w:val="%1.%2.%3.%4"/>
      <w:lvlJc w:val="left"/>
      <w:pPr>
        <w:tabs>
          <w:tab w:val="left" w:pos="851"/>
        </w:tabs>
        <w:ind w:left="851" w:hanging="851"/>
      </w:pPr>
      <w:rPr>
        <w:rFonts w:hint="default" w:asciiTheme="minorEastAsia" w:hAnsiTheme="minorEastAsia" w:eastAsiaTheme="minorEastAsia"/>
        <w:b w:val="0"/>
        <w:i w:val="0"/>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2C8E742B"/>
    <w:multiLevelType w:val="multilevel"/>
    <w:tmpl w:val="2C8E742B"/>
    <w:lvl w:ilvl="0" w:tentative="0">
      <w:start w:val="1"/>
      <w:numFmt w:val="bullet"/>
      <w:lvlText w:val=""/>
      <w:lvlJc w:val="left"/>
      <w:pPr>
        <w:tabs>
          <w:tab w:val="left" w:pos="544"/>
        </w:tabs>
        <w:ind w:left="420" w:hanging="420"/>
      </w:pPr>
      <w:rPr>
        <w:rFonts w:hint="default" w:ascii="Wingdings" w:hAnsi="Wingdings"/>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6DD96184"/>
    <w:multiLevelType w:val="multilevel"/>
    <w:tmpl w:val="6DD96184"/>
    <w:lvl w:ilvl="0" w:tentative="0">
      <w:start w:val="1"/>
      <w:numFmt w:val="decimal"/>
      <w:pStyle w:val="31"/>
      <w:lvlText w:val="%1."/>
      <w:lvlJc w:val="left"/>
      <w:pPr>
        <w:ind w:left="425" w:hanging="425"/>
      </w:pPr>
      <w:rPr>
        <w:rFonts w:hint="eastAsia"/>
      </w:rPr>
    </w:lvl>
    <w:lvl w:ilvl="1" w:tentative="0">
      <w:start w:val="1"/>
      <w:numFmt w:val="decimal"/>
      <w:pStyle w:val="32"/>
      <w:lvlText w:val="%1.%2"/>
      <w:lvlJc w:val="left"/>
      <w:pPr>
        <w:ind w:left="454" w:hanging="454"/>
      </w:pPr>
      <w:rPr>
        <w:rFonts w:hint="eastAsia"/>
        <w:lang w:val="en-US"/>
      </w:rPr>
    </w:lvl>
    <w:lvl w:ilvl="2" w:tentative="0">
      <w:start w:val="1"/>
      <w:numFmt w:val="decimal"/>
      <w:pStyle w:val="33"/>
      <w:lvlText w:val="%1.%2.%3"/>
      <w:lvlJc w:val="left"/>
      <w:pPr>
        <w:ind w:left="425" w:firstLine="29"/>
      </w:pPr>
      <w:rPr>
        <w:rFonts w:hint="eastAsia"/>
        <w:lang w:val="en-US"/>
      </w:rPr>
    </w:lvl>
    <w:lvl w:ilvl="3" w:tentative="0">
      <w:start w:val="1"/>
      <w:numFmt w:val="decimal"/>
      <w:lvlText w:val="%1.%2.%3.%4"/>
      <w:lvlJc w:val="left"/>
      <w:pPr>
        <w:tabs>
          <w:tab w:val="left" w:pos="709"/>
        </w:tabs>
        <w:ind w:left="851" w:hanging="142"/>
      </w:pPr>
      <w:rPr>
        <w:rFonts w:hint="eastAsia"/>
      </w:rPr>
    </w:lvl>
    <w:lvl w:ilvl="4" w:tentative="0">
      <w:start w:val="1"/>
      <w:numFmt w:val="decimal"/>
      <w:lvlText w:val="%1.%2.%3.%4.%5"/>
      <w:lvlJc w:val="left"/>
      <w:pPr>
        <w:ind w:left="90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3">
    <w:nsid w:val="7BFD7F0E"/>
    <w:multiLevelType w:val="multilevel"/>
    <w:tmpl w:val="7BFD7F0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819"/>
    <w:rsid w:val="000013EB"/>
    <w:rsid w:val="00003475"/>
    <w:rsid w:val="0000460D"/>
    <w:rsid w:val="00007746"/>
    <w:rsid w:val="00010075"/>
    <w:rsid w:val="000110D0"/>
    <w:rsid w:val="00011154"/>
    <w:rsid w:val="00011437"/>
    <w:rsid w:val="00012A7E"/>
    <w:rsid w:val="00013D8B"/>
    <w:rsid w:val="000156CD"/>
    <w:rsid w:val="00015879"/>
    <w:rsid w:val="0001606D"/>
    <w:rsid w:val="00016461"/>
    <w:rsid w:val="0002113A"/>
    <w:rsid w:val="000240D5"/>
    <w:rsid w:val="00024725"/>
    <w:rsid w:val="00024A38"/>
    <w:rsid w:val="00025361"/>
    <w:rsid w:val="00030A75"/>
    <w:rsid w:val="00030C91"/>
    <w:rsid w:val="00031C9E"/>
    <w:rsid w:val="0003272F"/>
    <w:rsid w:val="00033291"/>
    <w:rsid w:val="000337A4"/>
    <w:rsid w:val="00034FDD"/>
    <w:rsid w:val="000356D4"/>
    <w:rsid w:val="000403BD"/>
    <w:rsid w:val="00040E9A"/>
    <w:rsid w:val="0004168C"/>
    <w:rsid w:val="00041A4E"/>
    <w:rsid w:val="00041F7E"/>
    <w:rsid w:val="00042996"/>
    <w:rsid w:val="000429FF"/>
    <w:rsid w:val="000434F5"/>
    <w:rsid w:val="00044638"/>
    <w:rsid w:val="00045513"/>
    <w:rsid w:val="00045B6F"/>
    <w:rsid w:val="00045C9E"/>
    <w:rsid w:val="0004667C"/>
    <w:rsid w:val="00050A38"/>
    <w:rsid w:val="00051A0E"/>
    <w:rsid w:val="000524CB"/>
    <w:rsid w:val="000528A4"/>
    <w:rsid w:val="00052BFC"/>
    <w:rsid w:val="00053C6A"/>
    <w:rsid w:val="00054174"/>
    <w:rsid w:val="00055CD9"/>
    <w:rsid w:val="00056BC5"/>
    <w:rsid w:val="00057D8D"/>
    <w:rsid w:val="00060FB6"/>
    <w:rsid w:val="0006238F"/>
    <w:rsid w:val="00062CEC"/>
    <w:rsid w:val="00063FA5"/>
    <w:rsid w:val="0006555B"/>
    <w:rsid w:val="00066EFA"/>
    <w:rsid w:val="000706AC"/>
    <w:rsid w:val="0007133B"/>
    <w:rsid w:val="0007311D"/>
    <w:rsid w:val="000739E9"/>
    <w:rsid w:val="00074A9D"/>
    <w:rsid w:val="000751DF"/>
    <w:rsid w:val="00075CB6"/>
    <w:rsid w:val="000768AA"/>
    <w:rsid w:val="000851B8"/>
    <w:rsid w:val="000855D3"/>
    <w:rsid w:val="00091918"/>
    <w:rsid w:val="00091AE2"/>
    <w:rsid w:val="00091E33"/>
    <w:rsid w:val="00092233"/>
    <w:rsid w:val="0009272E"/>
    <w:rsid w:val="000930CE"/>
    <w:rsid w:val="00093848"/>
    <w:rsid w:val="00093891"/>
    <w:rsid w:val="00094E2B"/>
    <w:rsid w:val="000A269E"/>
    <w:rsid w:val="000A27BA"/>
    <w:rsid w:val="000A4515"/>
    <w:rsid w:val="000A51DD"/>
    <w:rsid w:val="000A58E4"/>
    <w:rsid w:val="000A6F6D"/>
    <w:rsid w:val="000B0BAD"/>
    <w:rsid w:val="000B3A39"/>
    <w:rsid w:val="000B4632"/>
    <w:rsid w:val="000B54EE"/>
    <w:rsid w:val="000B5533"/>
    <w:rsid w:val="000B73EA"/>
    <w:rsid w:val="000C0ECA"/>
    <w:rsid w:val="000C113B"/>
    <w:rsid w:val="000C255C"/>
    <w:rsid w:val="000C4174"/>
    <w:rsid w:val="000C4B0B"/>
    <w:rsid w:val="000C61E2"/>
    <w:rsid w:val="000C6BB3"/>
    <w:rsid w:val="000C7E67"/>
    <w:rsid w:val="000D0C5B"/>
    <w:rsid w:val="000D34AA"/>
    <w:rsid w:val="000D3541"/>
    <w:rsid w:val="000D3A1C"/>
    <w:rsid w:val="000D3D21"/>
    <w:rsid w:val="000D585C"/>
    <w:rsid w:val="000D59AD"/>
    <w:rsid w:val="000D6E8B"/>
    <w:rsid w:val="000D772A"/>
    <w:rsid w:val="000D7AE0"/>
    <w:rsid w:val="000E01C5"/>
    <w:rsid w:val="000E0625"/>
    <w:rsid w:val="000E07CC"/>
    <w:rsid w:val="000E44D0"/>
    <w:rsid w:val="000E568C"/>
    <w:rsid w:val="000E6526"/>
    <w:rsid w:val="000E65E7"/>
    <w:rsid w:val="000E6E02"/>
    <w:rsid w:val="000E6FDB"/>
    <w:rsid w:val="00100B3C"/>
    <w:rsid w:val="00100DA8"/>
    <w:rsid w:val="0010238A"/>
    <w:rsid w:val="00102BA6"/>
    <w:rsid w:val="00106EA6"/>
    <w:rsid w:val="00110617"/>
    <w:rsid w:val="001107B0"/>
    <w:rsid w:val="0011285E"/>
    <w:rsid w:val="00112EBD"/>
    <w:rsid w:val="00116AC2"/>
    <w:rsid w:val="001170D8"/>
    <w:rsid w:val="001217A7"/>
    <w:rsid w:val="00121AE3"/>
    <w:rsid w:val="001262D8"/>
    <w:rsid w:val="0013031A"/>
    <w:rsid w:val="00130425"/>
    <w:rsid w:val="0013347B"/>
    <w:rsid w:val="00133E11"/>
    <w:rsid w:val="00134E64"/>
    <w:rsid w:val="00135144"/>
    <w:rsid w:val="001354D4"/>
    <w:rsid w:val="00135FE8"/>
    <w:rsid w:val="001365D7"/>
    <w:rsid w:val="00137BCC"/>
    <w:rsid w:val="0014062A"/>
    <w:rsid w:val="00140B67"/>
    <w:rsid w:val="00141553"/>
    <w:rsid w:val="0014214C"/>
    <w:rsid w:val="00142248"/>
    <w:rsid w:val="001430CA"/>
    <w:rsid w:val="00143FE9"/>
    <w:rsid w:val="00144244"/>
    <w:rsid w:val="001447A1"/>
    <w:rsid w:val="00146DA9"/>
    <w:rsid w:val="001478EA"/>
    <w:rsid w:val="00150B95"/>
    <w:rsid w:val="00151D43"/>
    <w:rsid w:val="00152A90"/>
    <w:rsid w:val="0015425B"/>
    <w:rsid w:val="00154ADD"/>
    <w:rsid w:val="00154EE3"/>
    <w:rsid w:val="001554EF"/>
    <w:rsid w:val="001555E1"/>
    <w:rsid w:val="0015618D"/>
    <w:rsid w:val="001575EE"/>
    <w:rsid w:val="00163366"/>
    <w:rsid w:val="001656A1"/>
    <w:rsid w:val="00165783"/>
    <w:rsid w:val="00165D7A"/>
    <w:rsid w:val="00170328"/>
    <w:rsid w:val="0017063E"/>
    <w:rsid w:val="0017130E"/>
    <w:rsid w:val="0017441D"/>
    <w:rsid w:val="00175B02"/>
    <w:rsid w:val="00176661"/>
    <w:rsid w:val="00176A14"/>
    <w:rsid w:val="00177B23"/>
    <w:rsid w:val="00180790"/>
    <w:rsid w:val="001807BB"/>
    <w:rsid w:val="00180D39"/>
    <w:rsid w:val="001824C3"/>
    <w:rsid w:val="00182CEF"/>
    <w:rsid w:val="001836E4"/>
    <w:rsid w:val="00184D70"/>
    <w:rsid w:val="00185B3E"/>
    <w:rsid w:val="001862E7"/>
    <w:rsid w:val="001878B6"/>
    <w:rsid w:val="00190FB8"/>
    <w:rsid w:val="001911C9"/>
    <w:rsid w:val="001911D1"/>
    <w:rsid w:val="0019197C"/>
    <w:rsid w:val="00192633"/>
    <w:rsid w:val="0019349A"/>
    <w:rsid w:val="00195CE6"/>
    <w:rsid w:val="00196C9A"/>
    <w:rsid w:val="00197CE8"/>
    <w:rsid w:val="001A0CE3"/>
    <w:rsid w:val="001A1FE3"/>
    <w:rsid w:val="001A213F"/>
    <w:rsid w:val="001A2D82"/>
    <w:rsid w:val="001A2E47"/>
    <w:rsid w:val="001A3B0D"/>
    <w:rsid w:val="001A4666"/>
    <w:rsid w:val="001A6E16"/>
    <w:rsid w:val="001A77A2"/>
    <w:rsid w:val="001B0882"/>
    <w:rsid w:val="001B0F4E"/>
    <w:rsid w:val="001B1669"/>
    <w:rsid w:val="001B1679"/>
    <w:rsid w:val="001B2151"/>
    <w:rsid w:val="001B27EC"/>
    <w:rsid w:val="001B4448"/>
    <w:rsid w:val="001B5FDB"/>
    <w:rsid w:val="001B6A0D"/>
    <w:rsid w:val="001C0536"/>
    <w:rsid w:val="001C1214"/>
    <w:rsid w:val="001C2D2E"/>
    <w:rsid w:val="001C33BB"/>
    <w:rsid w:val="001C3492"/>
    <w:rsid w:val="001C35AE"/>
    <w:rsid w:val="001C5BC9"/>
    <w:rsid w:val="001C6212"/>
    <w:rsid w:val="001C7496"/>
    <w:rsid w:val="001C7FFC"/>
    <w:rsid w:val="001D1593"/>
    <w:rsid w:val="001D1A04"/>
    <w:rsid w:val="001D2F7B"/>
    <w:rsid w:val="001D49A1"/>
    <w:rsid w:val="001D5FF0"/>
    <w:rsid w:val="001D6F35"/>
    <w:rsid w:val="001E049F"/>
    <w:rsid w:val="001E09B0"/>
    <w:rsid w:val="001E177E"/>
    <w:rsid w:val="001E2018"/>
    <w:rsid w:val="001E2C36"/>
    <w:rsid w:val="001E2DCB"/>
    <w:rsid w:val="001E7AC0"/>
    <w:rsid w:val="001F0F8E"/>
    <w:rsid w:val="001F148D"/>
    <w:rsid w:val="001F1B56"/>
    <w:rsid w:val="001F384F"/>
    <w:rsid w:val="001F4913"/>
    <w:rsid w:val="001F535A"/>
    <w:rsid w:val="001F6F39"/>
    <w:rsid w:val="001F7861"/>
    <w:rsid w:val="001F7B5B"/>
    <w:rsid w:val="00202517"/>
    <w:rsid w:val="00203088"/>
    <w:rsid w:val="0020537D"/>
    <w:rsid w:val="00206A13"/>
    <w:rsid w:val="00210279"/>
    <w:rsid w:val="002116E8"/>
    <w:rsid w:val="00212014"/>
    <w:rsid w:val="00212801"/>
    <w:rsid w:val="0021327A"/>
    <w:rsid w:val="0021359F"/>
    <w:rsid w:val="002151AF"/>
    <w:rsid w:val="00216C6B"/>
    <w:rsid w:val="00217238"/>
    <w:rsid w:val="00221709"/>
    <w:rsid w:val="002229E5"/>
    <w:rsid w:val="0022343D"/>
    <w:rsid w:val="00223747"/>
    <w:rsid w:val="00224C5C"/>
    <w:rsid w:val="00224D99"/>
    <w:rsid w:val="00225EEB"/>
    <w:rsid w:val="002260E4"/>
    <w:rsid w:val="00226D75"/>
    <w:rsid w:val="002274C6"/>
    <w:rsid w:val="00227992"/>
    <w:rsid w:val="00227A6E"/>
    <w:rsid w:val="00227A7F"/>
    <w:rsid w:val="00230504"/>
    <w:rsid w:val="0023138F"/>
    <w:rsid w:val="00231BA1"/>
    <w:rsid w:val="00232866"/>
    <w:rsid w:val="002328B6"/>
    <w:rsid w:val="0023360C"/>
    <w:rsid w:val="0023672F"/>
    <w:rsid w:val="00242236"/>
    <w:rsid w:val="002427A6"/>
    <w:rsid w:val="00242DA0"/>
    <w:rsid w:val="002461B7"/>
    <w:rsid w:val="00247FB0"/>
    <w:rsid w:val="002530AA"/>
    <w:rsid w:val="0025485D"/>
    <w:rsid w:val="00254DC3"/>
    <w:rsid w:val="00255809"/>
    <w:rsid w:val="00256243"/>
    <w:rsid w:val="00256844"/>
    <w:rsid w:val="00257099"/>
    <w:rsid w:val="00257A7A"/>
    <w:rsid w:val="00257CEE"/>
    <w:rsid w:val="0026037E"/>
    <w:rsid w:val="002610A2"/>
    <w:rsid w:val="002629E2"/>
    <w:rsid w:val="00264705"/>
    <w:rsid w:val="00264A97"/>
    <w:rsid w:val="002654B9"/>
    <w:rsid w:val="00265A4B"/>
    <w:rsid w:val="00265B06"/>
    <w:rsid w:val="00270091"/>
    <w:rsid w:val="0027136D"/>
    <w:rsid w:val="00271379"/>
    <w:rsid w:val="00274277"/>
    <w:rsid w:val="00276681"/>
    <w:rsid w:val="00276C7A"/>
    <w:rsid w:val="00276F6D"/>
    <w:rsid w:val="0028022A"/>
    <w:rsid w:val="00280FAA"/>
    <w:rsid w:val="00281510"/>
    <w:rsid w:val="00281DD3"/>
    <w:rsid w:val="00281FE6"/>
    <w:rsid w:val="0028298C"/>
    <w:rsid w:val="00284793"/>
    <w:rsid w:val="00284993"/>
    <w:rsid w:val="00284A02"/>
    <w:rsid w:val="0028742F"/>
    <w:rsid w:val="00291567"/>
    <w:rsid w:val="00291B8E"/>
    <w:rsid w:val="00291D24"/>
    <w:rsid w:val="00291EC1"/>
    <w:rsid w:val="00293189"/>
    <w:rsid w:val="00293D7A"/>
    <w:rsid w:val="0029489E"/>
    <w:rsid w:val="00295650"/>
    <w:rsid w:val="002964FD"/>
    <w:rsid w:val="00296A80"/>
    <w:rsid w:val="002A25F2"/>
    <w:rsid w:val="002A2721"/>
    <w:rsid w:val="002A32EB"/>
    <w:rsid w:val="002A35CD"/>
    <w:rsid w:val="002A44BC"/>
    <w:rsid w:val="002A484B"/>
    <w:rsid w:val="002A501B"/>
    <w:rsid w:val="002A5426"/>
    <w:rsid w:val="002B0A68"/>
    <w:rsid w:val="002B18C8"/>
    <w:rsid w:val="002B1D00"/>
    <w:rsid w:val="002B4308"/>
    <w:rsid w:val="002B504C"/>
    <w:rsid w:val="002B799E"/>
    <w:rsid w:val="002B7F24"/>
    <w:rsid w:val="002C0370"/>
    <w:rsid w:val="002C0483"/>
    <w:rsid w:val="002C30A2"/>
    <w:rsid w:val="002C3D7B"/>
    <w:rsid w:val="002C3DFC"/>
    <w:rsid w:val="002C5F2C"/>
    <w:rsid w:val="002D1DAC"/>
    <w:rsid w:val="002D1E06"/>
    <w:rsid w:val="002D2F2C"/>
    <w:rsid w:val="002D49E0"/>
    <w:rsid w:val="002D4FFF"/>
    <w:rsid w:val="002D58B2"/>
    <w:rsid w:val="002D62E2"/>
    <w:rsid w:val="002D7A7B"/>
    <w:rsid w:val="002D7ACE"/>
    <w:rsid w:val="002E0857"/>
    <w:rsid w:val="002E2461"/>
    <w:rsid w:val="002E3965"/>
    <w:rsid w:val="002E3DCF"/>
    <w:rsid w:val="002E42C0"/>
    <w:rsid w:val="002E458D"/>
    <w:rsid w:val="002E5E12"/>
    <w:rsid w:val="002E60D1"/>
    <w:rsid w:val="002E6F87"/>
    <w:rsid w:val="002E79E1"/>
    <w:rsid w:val="002F0565"/>
    <w:rsid w:val="002F1275"/>
    <w:rsid w:val="002F229E"/>
    <w:rsid w:val="002F3142"/>
    <w:rsid w:val="002F41C8"/>
    <w:rsid w:val="002F5495"/>
    <w:rsid w:val="002F5A65"/>
    <w:rsid w:val="002F62C7"/>
    <w:rsid w:val="002F65ED"/>
    <w:rsid w:val="002F6DFB"/>
    <w:rsid w:val="002F7B23"/>
    <w:rsid w:val="003000C2"/>
    <w:rsid w:val="0030095B"/>
    <w:rsid w:val="00303AA3"/>
    <w:rsid w:val="00304753"/>
    <w:rsid w:val="0030504F"/>
    <w:rsid w:val="00305BD9"/>
    <w:rsid w:val="00306E09"/>
    <w:rsid w:val="0030739F"/>
    <w:rsid w:val="0031231C"/>
    <w:rsid w:val="00312A47"/>
    <w:rsid w:val="003134A1"/>
    <w:rsid w:val="0031405A"/>
    <w:rsid w:val="003144EC"/>
    <w:rsid w:val="003157CF"/>
    <w:rsid w:val="003200D2"/>
    <w:rsid w:val="00320C47"/>
    <w:rsid w:val="00321342"/>
    <w:rsid w:val="003218B1"/>
    <w:rsid w:val="00322114"/>
    <w:rsid w:val="00322153"/>
    <w:rsid w:val="003224C0"/>
    <w:rsid w:val="003232B5"/>
    <w:rsid w:val="003238AD"/>
    <w:rsid w:val="00324A95"/>
    <w:rsid w:val="00325637"/>
    <w:rsid w:val="0032654B"/>
    <w:rsid w:val="00326CE5"/>
    <w:rsid w:val="003311D4"/>
    <w:rsid w:val="003324CC"/>
    <w:rsid w:val="00332D42"/>
    <w:rsid w:val="003333B5"/>
    <w:rsid w:val="00336BCF"/>
    <w:rsid w:val="00342732"/>
    <w:rsid w:val="00342F66"/>
    <w:rsid w:val="0034358D"/>
    <w:rsid w:val="003437C4"/>
    <w:rsid w:val="00346306"/>
    <w:rsid w:val="00347383"/>
    <w:rsid w:val="00347B63"/>
    <w:rsid w:val="00347FEC"/>
    <w:rsid w:val="00350BCC"/>
    <w:rsid w:val="00350DBE"/>
    <w:rsid w:val="003546F8"/>
    <w:rsid w:val="00356EF5"/>
    <w:rsid w:val="00362D7A"/>
    <w:rsid w:val="0036309F"/>
    <w:rsid w:val="003666DE"/>
    <w:rsid w:val="00371A96"/>
    <w:rsid w:val="00371B55"/>
    <w:rsid w:val="00371C23"/>
    <w:rsid w:val="0037277F"/>
    <w:rsid w:val="003730D4"/>
    <w:rsid w:val="00373A04"/>
    <w:rsid w:val="0037766E"/>
    <w:rsid w:val="00380CB9"/>
    <w:rsid w:val="003817BA"/>
    <w:rsid w:val="003819C3"/>
    <w:rsid w:val="00381D34"/>
    <w:rsid w:val="003848C5"/>
    <w:rsid w:val="00387EDD"/>
    <w:rsid w:val="003904C4"/>
    <w:rsid w:val="003905F8"/>
    <w:rsid w:val="00390AB4"/>
    <w:rsid w:val="00390BBA"/>
    <w:rsid w:val="003914FA"/>
    <w:rsid w:val="0039219C"/>
    <w:rsid w:val="003929F0"/>
    <w:rsid w:val="00394039"/>
    <w:rsid w:val="0039500A"/>
    <w:rsid w:val="0039599C"/>
    <w:rsid w:val="00396163"/>
    <w:rsid w:val="00397895"/>
    <w:rsid w:val="003A28E0"/>
    <w:rsid w:val="003A5454"/>
    <w:rsid w:val="003A657C"/>
    <w:rsid w:val="003B1455"/>
    <w:rsid w:val="003B19DA"/>
    <w:rsid w:val="003B24A8"/>
    <w:rsid w:val="003B3ACB"/>
    <w:rsid w:val="003B3F6F"/>
    <w:rsid w:val="003B4BC2"/>
    <w:rsid w:val="003B5C7E"/>
    <w:rsid w:val="003B6EAC"/>
    <w:rsid w:val="003C0500"/>
    <w:rsid w:val="003C2AC6"/>
    <w:rsid w:val="003C31A5"/>
    <w:rsid w:val="003C39BD"/>
    <w:rsid w:val="003C673C"/>
    <w:rsid w:val="003C733A"/>
    <w:rsid w:val="003C7888"/>
    <w:rsid w:val="003D1A35"/>
    <w:rsid w:val="003D2BDC"/>
    <w:rsid w:val="003D4BD9"/>
    <w:rsid w:val="003D620A"/>
    <w:rsid w:val="003D7F41"/>
    <w:rsid w:val="003E0920"/>
    <w:rsid w:val="003E4531"/>
    <w:rsid w:val="003E4780"/>
    <w:rsid w:val="003E5BAA"/>
    <w:rsid w:val="003E722D"/>
    <w:rsid w:val="003F02C5"/>
    <w:rsid w:val="003F06E2"/>
    <w:rsid w:val="003F27BD"/>
    <w:rsid w:val="003F32C1"/>
    <w:rsid w:val="003F3CAF"/>
    <w:rsid w:val="003F3CC2"/>
    <w:rsid w:val="003F41E2"/>
    <w:rsid w:val="003F4E08"/>
    <w:rsid w:val="003F645E"/>
    <w:rsid w:val="003F7F04"/>
    <w:rsid w:val="00401D9A"/>
    <w:rsid w:val="0040204C"/>
    <w:rsid w:val="00402272"/>
    <w:rsid w:val="00403502"/>
    <w:rsid w:val="00403EE0"/>
    <w:rsid w:val="00404AAD"/>
    <w:rsid w:val="00404DA7"/>
    <w:rsid w:val="00406DC7"/>
    <w:rsid w:val="004077E2"/>
    <w:rsid w:val="00410E67"/>
    <w:rsid w:val="00410F5A"/>
    <w:rsid w:val="00411DF1"/>
    <w:rsid w:val="00413BCF"/>
    <w:rsid w:val="00416A01"/>
    <w:rsid w:val="004235ED"/>
    <w:rsid w:val="004241E2"/>
    <w:rsid w:val="00424A9A"/>
    <w:rsid w:val="00424AA4"/>
    <w:rsid w:val="004252E1"/>
    <w:rsid w:val="00425A08"/>
    <w:rsid w:val="00426015"/>
    <w:rsid w:val="00426BEB"/>
    <w:rsid w:val="00426C3A"/>
    <w:rsid w:val="0043028A"/>
    <w:rsid w:val="004304AC"/>
    <w:rsid w:val="00430C47"/>
    <w:rsid w:val="00430F7D"/>
    <w:rsid w:val="00431AFB"/>
    <w:rsid w:val="00431CE8"/>
    <w:rsid w:val="00432BC4"/>
    <w:rsid w:val="00433A6B"/>
    <w:rsid w:val="00433F93"/>
    <w:rsid w:val="00434440"/>
    <w:rsid w:val="00434BD2"/>
    <w:rsid w:val="00436F80"/>
    <w:rsid w:val="00437E98"/>
    <w:rsid w:val="00437F65"/>
    <w:rsid w:val="004401ED"/>
    <w:rsid w:val="004418C2"/>
    <w:rsid w:val="0044267E"/>
    <w:rsid w:val="00444E51"/>
    <w:rsid w:val="00450C1F"/>
    <w:rsid w:val="0045142A"/>
    <w:rsid w:val="00451594"/>
    <w:rsid w:val="0045340E"/>
    <w:rsid w:val="00453641"/>
    <w:rsid w:val="004566D9"/>
    <w:rsid w:val="004604CD"/>
    <w:rsid w:val="00460631"/>
    <w:rsid w:val="00460B91"/>
    <w:rsid w:val="004614E8"/>
    <w:rsid w:val="0046568E"/>
    <w:rsid w:val="0046642D"/>
    <w:rsid w:val="004669CA"/>
    <w:rsid w:val="00466C41"/>
    <w:rsid w:val="00470155"/>
    <w:rsid w:val="00470198"/>
    <w:rsid w:val="004719B9"/>
    <w:rsid w:val="00475E6A"/>
    <w:rsid w:val="00477442"/>
    <w:rsid w:val="00477CAC"/>
    <w:rsid w:val="00481ACD"/>
    <w:rsid w:val="00483839"/>
    <w:rsid w:val="004861AB"/>
    <w:rsid w:val="00486797"/>
    <w:rsid w:val="00486EA2"/>
    <w:rsid w:val="00487D68"/>
    <w:rsid w:val="004917DD"/>
    <w:rsid w:val="004923C7"/>
    <w:rsid w:val="00492B66"/>
    <w:rsid w:val="00493E3E"/>
    <w:rsid w:val="004948A8"/>
    <w:rsid w:val="004973DB"/>
    <w:rsid w:val="004979A5"/>
    <w:rsid w:val="00497F67"/>
    <w:rsid w:val="004A0C01"/>
    <w:rsid w:val="004A1F5E"/>
    <w:rsid w:val="004A2F4B"/>
    <w:rsid w:val="004A4668"/>
    <w:rsid w:val="004A4BED"/>
    <w:rsid w:val="004A5529"/>
    <w:rsid w:val="004B049D"/>
    <w:rsid w:val="004B2A0C"/>
    <w:rsid w:val="004B32B2"/>
    <w:rsid w:val="004B435F"/>
    <w:rsid w:val="004B62CF"/>
    <w:rsid w:val="004B6BEC"/>
    <w:rsid w:val="004B720B"/>
    <w:rsid w:val="004B757D"/>
    <w:rsid w:val="004B7726"/>
    <w:rsid w:val="004B7DD3"/>
    <w:rsid w:val="004C0A02"/>
    <w:rsid w:val="004C131E"/>
    <w:rsid w:val="004C230C"/>
    <w:rsid w:val="004C3318"/>
    <w:rsid w:val="004C5437"/>
    <w:rsid w:val="004C7EA6"/>
    <w:rsid w:val="004D13A1"/>
    <w:rsid w:val="004D1661"/>
    <w:rsid w:val="004D311E"/>
    <w:rsid w:val="004D4A8A"/>
    <w:rsid w:val="004D5275"/>
    <w:rsid w:val="004D56B5"/>
    <w:rsid w:val="004D7B3D"/>
    <w:rsid w:val="004D7D39"/>
    <w:rsid w:val="004E1C86"/>
    <w:rsid w:val="004E1DBD"/>
    <w:rsid w:val="004E2A07"/>
    <w:rsid w:val="004E2EB4"/>
    <w:rsid w:val="004E4ED6"/>
    <w:rsid w:val="004E6512"/>
    <w:rsid w:val="004E6E74"/>
    <w:rsid w:val="004E6FF9"/>
    <w:rsid w:val="004E73A7"/>
    <w:rsid w:val="004F00AB"/>
    <w:rsid w:val="004F0EEE"/>
    <w:rsid w:val="004F1CED"/>
    <w:rsid w:val="004F209F"/>
    <w:rsid w:val="004F28A4"/>
    <w:rsid w:val="004F2912"/>
    <w:rsid w:val="004F32FE"/>
    <w:rsid w:val="004F3949"/>
    <w:rsid w:val="004F4C4B"/>
    <w:rsid w:val="004F4DC5"/>
    <w:rsid w:val="004F4ED4"/>
    <w:rsid w:val="004F51DB"/>
    <w:rsid w:val="00500BE0"/>
    <w:rsid w:val="00500EA0"/>
    <w:rsid w:val="00501093"/>
    <w:rsid w:val="00502071"/>
    <w:rsid w:val="00502233"/>
    <w:rsid w:val="00502FB2"/>
    <w:rsid w:val="00504548"/>
    <w:rsid w:val="005057E2"/>
    <w:rsid w:val="00505F69"/>
    <w:rsid w:val="00507B94"/>
    <w:rsid w:val="00511393"/>
    <w:rsid w:val="00511889"/>
    <w:rsid w:val="005119CE"/>
    <w:rsid w:val="005119DF"/>
    <w:rsid w:val="00511C5D"/>
    <w:rsid w:val="005122BA"/>
    <w:rsid w:val="0051245B"/>
    <w:rsid w:val="00512A56"/>
    <w:rsid w:val="00513D2F"/>
    <w:rsid w:val="00514D15"/>
    <w:rsid w:val="005153AD"/>
    <w:rsid w:val="00515F10"/>
    <w:rsid w:val="00516D52"/>
    <w:rsid w:val="005179AA"/>
    <w:rsid w:val="00517E08"/>
    <w:rsid w:val="00522147"/>
    <w:rsid w:val="005221C0"/>
    <w:rsid w:val="00522DAB"/>
    <w:rsid w:val="0052497B"/>
    <w:rsid w:val="00525932"/>
    <w:rsid w:val="00525B6F"/>
    <w:rsid w:val="005263BC"/>
    <w:rsid w:val="00526B56"/>
    <w:rsid w:val="00526B86"/>
    <w:rsid w:val="00527F3D"/>
    <w:rsid w:val="0053034A"/>
    <w:rsid w:val="00530CA5"/>
    <w:rsid w:val="0053116D"/>
    <w:rsid w:val="00532310"/>
    <w:rsid w:val="0053253F"/>
    <w:rsid w:val="005325C1"/>
    <w:rsid w:val="00534170"/>
    <w:rsid w:val="00535975"/>
    <w:rsid w:val="005373E5"/>
    <w:rsid w:val="00540A54"/>
    <w:rsid w:val="00540F95"/>
    <w:rsid w:val="0054134C"/>
    <w:rsid w:val="00541A81"/>
    <w:rsid w:val="00542531"/>
    <w:rsid w:val="00544A3E"/>
    <w:rsid w:val="00544C5C"/>
    <w:rsid w:val="005450A1"/>
    <w:rsid w:val="00547D9F"/>
    <w:rsid w:val="00547EFA"/>
    <w:rsid w:val="0055116C"/>
    <w:rsid w:val="0055129D"/>
    <w:rsid w:val="00551748"/>
    <w:rsid w:val="00551C38"/>
    <w:rsid w:val="005535E1"/>
    <w:rsid w:val="00555495"/>
    <w:rsid w:val="00556E4B"/>
    <w:rsid w:val="005624D4"/>
    <w:rsid w:val="00563CAE"/>
    <w:rsid w:val="00564155"/>
    <w:rsid w:val="005661AC"/>
    <w:rsid w:val="005669C0"/>
    <w:rsid w:val="005671FE"/>
    <w:rsid w:val="00567BD0"/>
    <w:rsid w:val="00571D3F"/>
    <w:rsid w:val="005721B6"/>
    <w:rsid w:val="00572307"/>
    <w:rsid w:val="00572B0A"/>
    <w:rsid w:val="00572EAA"/>
    <w:rsid w:val="00573163"/>
    <w:rsid w:val="00573A00"/>
    <w:rsid w:val="00573E9F"/>
    <w:rsid w:val="00575F20"/>
    <w:rsid w:val="005767AB"/>
    <w:rsid w:val="00576AE3"/>
    <w:rsid w:val="00580252"/>
    <w:rsid w:val="00581608"/>
    <w:rsid w:val="00582C41"/>
    <w:rsid w:val="00582E1B"/>
    <w:rsid w:val="00583C22"/>
    <w:rsid w:val="0058689B"/>
    <w:rsid w:val="005868FB"/>
    <w:rsid w:val="00587B16"/>
    <w:rsid w:val="005917D5"/>
    <w:rsid w:val="005922E5"/>
    <w:rsid w:val="00593237"/>
    <w:rsid w:val="005937D8"/>
    <w:rsid w:val="00594254"/>
    <w:rsid w:val="00595B51"/>
    <w:rsid w:val="00596309"/>
    <w:rsid w:val="005964B9"/>
    <w:rsid w:val="005A010A"/>
    <w:rsid w:val="005A01B4"/>
    <w:rsid w:val="005A03BE"/>
    <w:rsid w:val="005A0789"/>
    <w:rsid w:val="005A1600"/>
    <w:rsid w:val="005A17F6"/>
    <w:rsid w:val="005A2132"/>
    <w:rsid w:val="005A2FE8"/>
    <w:rsid w:val="005A37CF"/>
    <w:rsid w:val="005A3BBB"/>
    <w:rsid w:val="005A4179"/>
    <w:rsid w:val="005A47CE"/>
    <w:rsid w:val="005A5C68"/>
    <w:rsid w:val="005A6EA0"/>
    <w:rsid w:val="005B0183"/>
    <w:rsid w:val="005B0934"/>
    <w:rsid w:val="005B0CD1"/>
    <w:rsid w:val="005B1612"/>
    <w:rsid w:val="005B1CED"/>
    <w:rsid w:val="005B1CF1"/>
    <w:rsid w:val="005B28AD"/>
    <w:rsid w:val="005B4430"/>
    <w:rsid w:val="005B6665"/>
    <w:rsid w:val="005C05A3"/>
    <w:rsid w:val="005C1B49"/>
    <w:rsid w:val="005C1F01"/>
    <w:rsid w:val="005C2C8A"/>
    <w:rsid w:val="005C3E8F"/>
    <w:rsid w:val="005C5376"/>
    <w:rsid w:val="005C67F9"/>
    <w:rsid w:val="005D1A7D"/>
    <w:rsid w:val="005D4332"/>
    <w:rsid w:val="005D46C8"/>
    <w:rsid w:val="005D592A"/>
    <w:rsid w:val="005D632F"/>
    <w:rsid w:val="005D74A4"/>
    <w:rsid w:val="005D7D8D"/>
    <w:rsid w:val="005E10F5"/>
    <w:rsid w:val="005E1FE2"/>
    <w:rsid w:val="005E1FF9"/>
    <w:rsid w:val="005E2773"/>
    <w:rsid w:val="005E2CE7"/>
    <w:rsid w:val="005E3742"/>
    <w:rsid w:val="005E5A74"/>
    <w:rsid w:val="005E7A93"/>
    <w:rsid w:val="005F074D"/>
    <w:rsid w:val="005F0A06"/>
    <w:rsid w:val="005F1ABB"/>
    <w:rsid w:val="005F29CD"/>
    <w:rsid w:val="005F36CC"/>
    <w:rsid w:val="005F7290"/>
    <w:rsid w:val="005F7871"/>
    <w:rsid w:val="006018B8"/>
    <w:rsid w:val="006037AC"/>
    <w:rsid w:val="00603895"/>
    <w:rsid w:val="00605539"/>
    <w:rsid w:val="00612108"/>
    <w:rsid w:val="006146B4"/>
    <w:rsid w:val="00615337"/>
    <w:rsid w:val="00616417"/>
    <w:rsid w:val="00620CF8"/>
    <w:rsid w:val="00621A60"/>
    <w:rsid w:val="00622B98"/>
    <w:rsid w:val="006268EB"/>
    <w:rsid w:val="006303BE"/>
    <w:rsid w:val="00630691"/>
    <w:rsid w:val="00630C6F"/>
    <w:rsid w:val="00634123"/>
    <w:rsid w:val="006346B4"/>
    <w:rsid w:val="00634E0C"/>
    <w:rsid w:val="00634FA7"/>
    <w:rsid w:val="00635F80"/>
    <w:rsid w:val="00636497"/>
    <w:rsid w:val="00636860"/>
    <w:rsid w:val="006369BD"/>
    <w:rsid w:val="00636CE5"/>
    <w:rsid w:val="006372E2"/>
    <w:rsid w:val="006377BA"/>
    <w:rsid w:val="00637B17"/>
    <w:rsid w:val="006415C2"/>
    <w:rsid w:val="00641852"/>
    <w:rsid w:val="006424D8"/>
    <w:rsid w:val="006426D7"/>
    <w:rsid w:val="00643505"/>
    <w:rsid w:val="00643943"/>
    <w:rsid w:val="006455A3"/>
    <w:rsid w:val="00650DE2"/>
    <w:rsid w:val="006516C7"/>
    <w:rsid w:val="0065192B"/>
    <w:rsid w:val="00651D8F"/>
    <w:rsid w:val="006520F3"/>
    <w:rsid w:val="0065269C"/>
    <w:rsid w:val="00652E32"/>
    <w:rsid w:val="00653858"/>
    <w:rsid w:val="00653B6B"/>
    <w:rsid w:val="006546AE"/>
    <w:rsid w:val="006549D0"/>
    <w:rsid w:val="00657660"/>
    <w:rsid w:val="0066190F"/>
    <w:rsid w:val="00663F55"/>
    <w:rsid w:val="00666040"/>
    <w:rsid w:val="0066638D"/>
    <w:rsid w:val="00666D94"/>
    <w:rsid w:val="00666F4C"/>
    <w:rsid w:val="006670BC"/>
    <w:rsid w:val="0067020D"/>
    <w:rsid w:val="006704B2"/>
    <w:rsid w:val="00670AA4"/>
    <w:rsid w:val="006710DD"/>
    <w:rsid w:val="0067244C"/>
    <w:rsid w:val="00672E06"/>
    <w:rsid w:val="00672F9E"/>
    <w:rsid w:val="00673473"/>
    <w:rsid w:val="00673A05"/>
    <w:rsid w:val="00674494"/>
    <w:rsid w:val="00676EB1"/>
    <w:rsid w:val="00680CF3"/>
    <w:rsid w:val="00681F03"/>
    <w:rsid w:val="00682C9B"/>
    <w:rsid w:val="00684CF0"/>
    <w:rsid w:val="006859A4"/>
    <w:rsid w:val="00687F84"/>
    <w:rsid w:val="006902F5"/>
    <w:rsid w:val="00690E2F"/>
    <w:rsid w:val="006914B9"/>
    <w:rsid w:val="00692D06"/>
    <w:rsid w:val="00694125"/>
    <w:rsid w:val="0069467C"/>
    <w:rsid w:val="00695093"/>
    <w:rsid w:val="006A0BB7"/>
    <w:rsid w:val="006A186B"/>
    <w:rsid w:val="006A31EB"/>
    <w:rsid w:val="006A3CDC"/>
    <w:rsid w:val="006A4784"/>
    <w:rsid w:val="006A4D86"/>
    <w:rsid w:val="006A537B"/>
    <w:rsid w:val="006A5458"/>
    <w:rsid w:val="006A7578"/>
    <w:rsid w:val="006A7D0B"/>
    <w:rsid w:val="006B003A"/>
    <w:rsid w:val="006B211F"/>
    <w:rsid w:val="006B23E0"/>
    <w:rsid w:val="006B50E2"/>
    <w:rsid w:val="006C0FF5"/>
    <w:rsid w:val="006C2D97"/>
    <w:rsid w:val="006C2E05"/>
    <w:rsid w:val="006C4C0F"/>
    <w:rsid w:val="006C5979"/>
    <w:rsid w:val="006C709A"/>
    <w:rsid w:val="006C75E3"/>
    <w:rsid w:val="006C7FAC"/>
    <w:rsid w:val="006D1117"/>
    <w:rsid w:val="006D208E"/>
    <w:rsid w:val="006D2764"/>
    <w:rsid w:val="006D27BC"/>
    <w:rsid w:val="006D2C54"/>
    <w:rsid w:val="006D4765"/>
    <w:rsid w:val="006D650D"/>
    <w:rsid w:val="006D7439"/>
    <w:rsid w:val="006D7CA5"/>
    <w:rsid w:val="006E05FC"/>
    <w:rsid w:val="006E0F3F"/>
    <w:rsid w:val="006E0F99"/>
    <w:rsid w:val="006E178D"/>
    <w:rsid w:val="006E178F"/>
    <w:rsid w:val="006E3143"/>
    <w:rsid w:val="006E3237"/>
    <w:rsid w:val="006E41E2"/>
    <w:rsid w:val="006E5020"/>
    <w:rsid w:val="006E5270"/>
    <w:rsid w:val="006E67B1"/>
    <w:rsid w:val="006E6EC5"/>
    <w:rsid w:val="006F2D4A"/>
    <w:rsid w:val="006F3745"/>
    <w:rsid w:val="006F6DFB"/>
    <w:rsid w:val="006F6EB5"/>
    <w:rsid w:val="006F7865"/>
    <w:rsid w:val="00700865"/>
    <w:rsid w:val="0070131F"/>
    <w:rsid w:val="00701A36"/>
    <w:rsid w:val="00701D70"/>
    <w:rsid w:val="00702871"/>
    <w:rsid w:val="00703130"/>
    <w:rsid w:val="00704968"/>
    <w:rsid w:val="0070662F"/>
    <w:rsid w:val="00707EAC"/>
    <w:rsid w:val="007101D3"/>
    <w:rsid w:val="00710EEB"/>
    <w:rsid w:val="0071251F"/>
    <w:rsid w:val="007134F7"/>
    <w:rsid w:val="00713C31"/>
    <w:rsid w:val="0071463F"/>
    <w:rsid w:val="007156AF"/>
    <w:rsid w:val="007170F8"/>
    <w:rsid w:val="00721AB7"/>
    <w:rsid w:val="007227B8"/>
    <w:rsid w:val="0072370A"/>
    <w:rsid w:val="00723865"/>
    <w:rsid w:val="00723FA9"/>
    <w:rsid w:val="00724C33"/>
    <w:rsid w:val="00725125"/>
    <w:rsid w:val="00725345"/>
    <w:rsid w:val="007254EF"/>
    <w:rsid w:val="007272CE"/>
    <w:rsid w:val="00730F91"/>
    <w:rsid w:val="007315A0"/>
    <w:rsid w:val="00732642"/>
    <w:rsid w:val="007345A8"/>
    <w:rsid w:val="00736A52"/>
    <w:rsid w:val="00736DE2"/>
    <w:rsid w:val="00736E81"/>
    <w:rsid w:val="00737F8C"/>
    <w:rsid w:val="00740359"/>
    <w:rsid w:val="007419B0"/>
    <w:rsid w:val="007427A9"/>
    <w:rsid w:val="00744D24"/>
    <w:rsid w:val="00745816"/>
    <w:rsid w:val="00746AF4"/>
    <w:rsid w:val="00750D94"/>
    <w:rsid w:val="00751611"/>
    <w:rsid w:val="00751616"/>
    <w:rsid w:val="007517BF"/>
    <w:rsid w:val="00751BAB"/>
    <w:rsid w:val="00751DCF"/>
    <w:rsid w:val="00752CE2"/>
    <w:rsid w:val="007539CB"/>
    <w:rsid w:val="00753CAE"/>
    <w:rsid w:val="00754142"/>
    <w:rsid w:val="00754EEE"/>
    <w:rsid w:val="00754F7D"/>
    <w:rsid w:val="0075776C"/>
    <w:rsid w:val="007600FD"/>
    <w:rsid w:val="00761B49"/>
    <w:rsid w:val="00762F9F"/>
    <w:rsid w:val="00763A23"/>
    <w:rsid w:val="00763B2C"/>
    <w:rsid w:val="0076473B"/>
    <w:rsid w:val="007655E4"/>
    <w:rsid w:val="007656D3"/>
    <w:rsid w:val="0077129A"/>
    <w:rsid w:val="007717D5"/>
    <w:rsid w:val="00771D5F"/>
    <w:rsid w:val="00772E7D"/>
    <w:rsid w:val="00773297"/>
    <w:rsid w:val="0077374E"/>
    <w:rsid w:val="007738F9"/>
    <w:rsid w:val="00774C15"/>
    <w:rsid w:val="00775C7C"/>
    <w:rsid w:val="00776B03"/>
    <w:rsid w:val="00777EAE"/>
    <w:rsid w:val="007807DE"/>
    <w:rsid w:val="0078114B"/>
    <w:rsid w:val="00781439"/>
    <w:rsid w:val="00782A8C"/>
    <w:rsid w:val="00782BA0"/>
    <w:rsid w:val="00783B8B"/>
    <w:rsid w:val="00783BB2"/>
    <w:rsid w:val="007841FE"/>
    <w:rsid w:val="007856A3"/>
    <w:rsid w:val="00787F1D"/>
    <w:rsid w:val="00793BF8"/>
    <w:rsid w:val="00793F85"/>
    <w:rsid w:val="007944EB"/>
    <w:rsid w:val="0079465A"/>
    <w:rsid w:val="007958CE"/>
    <w:rsid w:val="00796C98"/>
    <w:rsid w:val="00796CCD"/>
    <w:rsid w:val="007A1875"/>
    <w:rsid w:val="007A2070"/>
    <w:rsid w:val="007A430B"/>
    <w:rsid w:val="007A5159"/>
    <w:rsid w:val="007A5582"/>
    <w:rsid w:val="007A58D3"/>
    <w:rsid w:val="007A67B3"/>
    <w:rsid w:val="007A735C"/>
    <w:rsid w:val="007B0489"/>
    <w:rsid w:val="007B07B7"/>
    <w:rsid w:val="007B356B"/>
    <w:rsid w:val="007B358A"/>
    <w:rsid w:val="007B391A"/>
    <w:rsid w:val="007B44DF"/>
    <w:rsid w:val="007B5E63"/>
    <w:rsid w:val="007B6416"/>
    <w:rsid w:val="007B6F86"/>
    <w:rsid w:val="007C0531"/>
    <w:rsid w:val="007C1DFC"/>
    <w:rsid w:val="007C4842"/>
    <w:rsid w:val="007C4DF1"/>
    <w:rsid w:val="007C7521"/>
    <w:rsid w:val="007C7876"/>
    <w:rsid w:val="007D0CED"/>
    <w:rsid w:val="007D18CE"/>
    <w:rsid w:val="007D40B9"/>
    <w:rsid w:val="007D660F"/>
    <w:rsid w:val="007D7A69"/>
    <w:rsid w:val="007D7F0E"/>
    <w:rsid w:val="007E1001"/>
    <w:rsid w:val="007E21BD"/>
    <w:rsid w:val="007E23E6"/>
    <w:rsid w:val="007E2986"/>
    <w:rsid w:val="007E2E22"/>
    <w:rsid w:val="007E33DD"/>
    <w:rsid w:val="007E3897"/>
    <w:rsid w:val="007E400F"/>
    <w:rsid w:val="007E4E62"/>
    <w:rsid w:val="007E5AB3"/>
    <w:rsid w:val="007F042F"/>
    <w:rsid w:val="007F0F1D"/>
    <w:rsid w:val="007F1569"/>
    <w:rsid w:val="007F35D9"/>
    <w:rsid w:val="007F3689"/>
    <w:rsid w:val="007F4F0E"/>
    <w:rsid w:val="007F518A"/>
    <w:rsid w:val="007F697C"/>
    <w:rsid w:val="007F6C0E"/>
    <w:rsid w:val="007F73B1"/>
    <w:rsid w:val="0080091E"/>
    <w:rsid w:val="00801279"/>
    <w:rsid w:val="008014E3"/>
    <w:rsid w:val="008020D7"/>
    <w:rsid w:val="00802244"/>
    <w:rsid w:val="0080228A"/>
    <w:rsid w:val="0080370F"/>
    <w:rsid w:val="0080451F"/>
    <w:rsid w:val="0080540C"/>
    <w:rsid w:val="008061D4"/>
    <w:rsid w:val="00806A6B"/>
    <w:rsid w:val="00811372"/>
    <w:rsid w:val="00811A3B"/>
    <w:rsid w:val="00811EA6"/>
    <w:rsid w:val="00811F02"/>
    <w:rsid w:val="00813CE5"/>
    <w:rsid w:val="00813D5A"/>
    <w:rsid w:val="00816172"/>
    <w:rsid w:val="00816253"/>
    <w:rsid w:val="008165B6"/>
    <w:rsid w:val="008168D4"/>
    <w:rsid w:val="00820321"/>
    <w:rsid w:val="00821BF6"/>
    <w:rsid w:val="00822477"/>
    <w:rsid w:val="00822690"/>
    <w:rsid w:val="008236F7"/>
    <w:rsid w:val="00823D59"/>
    <w:rsid w:val="00823F52"/>
    <w:rsid w:val="00824A9B"/>
    <w:rsid w:val="0082594B"/>
    <w:rsid w:val="008266F3"/>
    <w:rsid w:val="00826E1E"/>
    <w:rsid w:val="008304E6"/>
    <w:rsid w:val="00830819"/>
    <w:rsid w:val="0083274E"/>
    <w:rsid w:val="00833886"/>
    <w:rsid w:val="00833DCE"/>
    <w:rsid w:val="008369F5"/>
    <w:rsid w:val="00837279"/>
    <w:rsid w:val="008374B7"/>
    <w:rsid w:val="008423CA"/>
    <w:rsid w:val="008426BC"/>
    <w:rsid w:val="00842E62"/>
    <w:rsid w:val="0084445B"/>
    <w:rsid w:val="00845351"/>
    <w:rsid w:val="00847DF9"/>
    <w:rsid w:val="00851BB0"/>
    <w:rsid w:val="008565F7"/>
    <w:rsid w:val="008568B2"/>
    <w:rsid w:val="008610E5"/>
    <w:rsid w:val="00862CCB"/>
    <w:rsid w:val="0086304A"/>
    <w:rsid w:val="00866881"/>
    <w:rsid w:val="00867682"/>
    <w:rsid w:val="00870EDF"/>
    <w:rsid w:val="008732E2"/>
    <w:rsid w:val="00874187"/>
    <w:rsid w:val="00877121"/>
    <w:rsid w:val="00880922"/>
    <w:rsid w:val="0088097D"/>
    <w:rsid w:val="00880ADA"/>
    <w:rsid w:val="00883F18"/>
    <w:rsid w:val="00885BD4"/>
    <w:rsid w:val="008873B5"/>
    <w:rsid w:val="00890B47"/>
    <w:rsid w:val="0089224B"/>
    <w:rsid w:val="00892450"/>
    <w:rsid w:val="00893923"/>
    <w:rsid w:val="00895505"/>
    <w:rsid w:val="008A070A"/>
    <w:rsid w:val="008A0774"/>
    <w:rsid w:val="008A15E7"/>
    <w:rsid w:val="008A3759"/>
    <w:rsid w:val="008A46FB"/>
    <w:rsid w:val="008A49E5"/>
    <w:rsid w:val="008A4F2C"/>
    <w:rsid w:val="008A64B5"/>
    <w:rsid w:val="008A7FBF"/>
    <w:rsid w:val="008B0089"/>
    <w:rsid w:val="008B037A"/>
    <w:rsid w:val="008B0644"/>
    <w:rsid w:val="008B1AD3"/>
    <w:rsid w:val="008B264A"/>
    <w:rsid w:val="008B2823"/>
    <w:rsid w:val="008B2DDB"/>
    <w:rsid w:val="008B6CD0"/>
    <w:rsid w:val="008B76FA"/>
    <w:rsid w:val="008C10ED"/>
    <w:rsid w:val="008C260D"/>
    <w:rsid w:val="008C2B85"/>
    <w:rsid w:val="008C6E38"/>
    <w:rsid w:val="008C73EB"/>
    <w:rsid w:val="008D1E71"/>
    <w:rsid w:val="008D223C"/>
    <w:rsid w:val="008D2589"/>
    <w:rsid w:val="008D263D"/>
    <w:rsid w:val="008D34E1"/>
    <w:rsid w:val="008D4B56"/>
    <w:rsid w:val="008D4E47"/>
    <w:rsid w:val="008D4F6C"/>
    <w:rsid w:val="008D62E0"/>
    <w:rsid w:val="008D70AD"/>
    <w:rsid w:val="008D76CC"/>
    <w:rsid w:val="008E066F"/>
    <w:rsid w:val="008E3C3C"/>
    <w:rsid w:val="008E4AEA"/>
    <w:rsid w:val="008E51D8"/>
    <w:rsid w:val="008E5CBA"/>
    <w:rsid w:val="008E5DA3"/>
    <w:rsid w:val="008E7A21"/>
    <w:rsid w:val="008F06EE"/>
    <w:rsid w:val="008F0818"/>
    <w:rsid w:val="008F1282"/>
    <w:rsid w:val="008F171B"/>
    <w:rsid w:val="008F1904"/>
    <w:rsid w:val="008F1AD4"/>
    <w:rsid w:val="008F6410"/>
    <w:rsid w:val="008F65D1"/>
    <w:rsid w:val="008F6F60"/>
    <w:rsid w:val="0090073A"/>
    <w:rsid w:val="00900C34"/>
    <w:rsid w:val="00901C7C"/>
    <w:rsid w:val="009025AD"/>
    <w:rsid w:val="009029AD"/>
    <w:rsid w:val="009041E3"/>
    <w:rsid w:val="00904212"/>
    <w:rsid w:val="00905017"/>
    <w:rsid w:val="009050BB"/>
    <w:rsid w:val="00905B17"/>
    <w:rsid w:val="00906DFB"/>
    <w:rsid w:val="00911656"/>
    <w:rsid w:val="0091244F"/>
    <w:rsid w:val="00913465"/>
    <w:rsid w:val="00913885"/>
    <w:rsid w:val="009138D9"/>
    <w:rsid w:val="009143D9"/>
    <w:rsid w:val="009146C1"/>
    <w:rsid w:val="00915076"/>
    <w:rsid w:val="0091528C"/>
    <w:rsid w:val="009152EC"/>
    <w:rsid w:val="00915EF0"/>
    <w:rsid w:val="009172C0"/>
    <w:rsid w:val="00917F0D"/>
    <w:rsid w:val="00920665"/>
    <w:rsid w:val="009207F7"/>
    <w:rsid w:val="009219F7"/>
    <w:rsid w:val="00922EF1"/>
    <w:rsid w:val="009247DE"/>
    <w:rsid w:val="00924850"/>
    <w:rsid w:val="0092550F"/>
    <w:rsid w:val="00926567"/>
    <w:rsid w:val="0092669D"/>
    <w:rsid w:val="00927219"/>
    <w:rsid w:val="009307B6"/>
    <w:rsid w:val="009308EC"/>
    <w:rsid w:val="00931124"/>
    <w:rsid w:val="00932F87"/>
    <w:rsid w:val="0093495C"/>
    <w:rsid w:val="0093559E"/>
    <w:rsid w:val="00936FEE"/>
    <w:rsid w:val="009404A8"/>
    <w:rsid w:val="00940F47"/>
    <w:rsid w:val="0094195D"/>
    <w:rsid w:val="00941C08"/>
    <w:rsid w:val="009437D1"/>
    <w:rsid w:val="00943EB4"/>
    <w:rsid w:val="0094400D"/>
    <w:rsid w:val="009447E1"/>
    <w:rsid w:val="00944C06"/>
    <w:rsid w:val="0094561A"/>
    <w:rsid w:val="00947D6B"/>
    <w:rsid w:val="00947FC9"/>
    <w:rsid w:val="009502E7"/>
    <w:rsid w:val="00950FF8"/>
    <w:rsid w:val="0095456A"/>
    <w:rsid w:val="00955222"/>
    <w:rsid w:val="00955BF9"/>
    <w:rsid w:val="009602DA"/>
    <w:rsid w:val="00962A67"/>
    <w:rsid w:val="0096421C"/>
    <w:rsid w:val="00965A8F"/>
    <w:rsid w:val="009662E2"/>
    <w:rsid w:val="009671E5"/>
    <w:rsid w:val="00967C53"/>
    <w:rsid w:val="00972C57"/>
    <w:rsid w:val="00972E8F"/>
    <w:rsid w:val="0097409C"/>
    <w:rsid w:val="009746AB"/>
    <w:rsid w:val="009754B7"/>
    <w:rsid w:val="00977E6A"/>
    <w:rsid w:val="0098003E"/>
    <w:rsid w:val="00980E21"/>
    <w:rsid w:val="00983CA5"/>
    <w:rsid w:val="00985462"/>
    <w:rsid w:val="00986C9A"/>
    <w:rsid w:val="00986EAF"/>
    <w:rsid w:val="00990D1B"/>
    <w:rsid w:val="00991BBD"/>
    <w:rsid w:val="009920B1"/>
    <w:rsid w:val="00992653"/>
    <w:rsid w:val="00992C34"/>
    <w:rsid w:val="00993992"/>
    <w:rsid w:val="00993E78"/>
    <w:rsid w:val="00994214"/>
    <w:rsid w:val="00995CE9"/>
    <w:rsid w:val="00995DDC"/>
    <w:rsid w:val="0099723F"/>
    <w:rsid w:val="00997EC0"/>
    <w:rsid w:val="009A029E"/>
    <w:rsid w:val="009A0A72"/>
    <w:rsid w:val="009A2294"/>
    <w:rsid w:val="009A3305"/>
    <w:rsid w:val="009A3E2B"/>
    <w:rsid w:val="009B0E4C"/>
    <w:rsid w:val="009B0F49"/>
    <w:rsid w:val="009B0FB4"/>
    <w:rsid w:val="009B3447"/>
    <w:rsid w:val="009B34C1"/>
    <w:rsid w:val="009B403B"/>
    <w:rsid w:val="009B414E"/>
    <w:rsid w:val="009B54DD"/>
    <w:rsid w:val="009B6F4B"/>
    <w:rsid w:val="009B7400"/>
    <w:rsid w:val="009C0E85"/>
    <w:rsid w:val="009C1613"/>
    <w:rsid w:val="009C393C"/>
    <w:rsid w:val="009C450A"/>
    <w:rsid w:val="009C6300"/>
    <w:rsid w:val="009D74E1"/>
    <w:rsid w:val="009D797C"/>
    <w:rsid w:val="009E09A6"/>
    <w:rsid w:val="009E2064"/>
    <w:rsid w:val="009E2406"/>
    <w:rsid w:val="009E2AEB"/>
    <w:rsid w:val="009E38EA"/>
    <w:rsid w:val="009E3AE1"/>
    <w:rsid w:val="009E4684"/>
    <w:rsid w:val="009E58DF"/>
    <w:rsid w:val="009E6F74"/>
    <w:rsid w:val="009E7350"/>
    <w:rsid w:val="009F1064"/>
    <w:rsid w:val="009F18FF"/>
    <w:rsid w:val="009F1BCF"/>
    <w:rsid w:val="009F2750"/>
    <w:rsid w:val="009F2756"/>
    <w:rsid w:val="009F3C60"/>
    <w:rsid w:val="009F43F5"/>
    <w:rsid w:val="009F4606"/>
    <w:rsid w:val="009F4854"/>
    <w:rsid w:val="009F528C"/>
    <w:rsid w:val="009F651F"/>
    <w:rsid w:val="009F7A74"/>
    <w:rsid w:val="009F7CFF"/>
    <w:rsid w:val="00A04DAB"/>
    <w:rsid w:val="00A0500B"/>
    <w:rsid w:val="00A05CAC"/>
    <w:rsid w:val="00A06AA3"/>
    <w:rsid w:val="00A11E6F"/>
    <w:rsid w:val="00A133C8"/>
    <w:rsid w:val="00A1384A"/>
    <w:rsid w:val="00A138AB"/>
    <w:rsid w:val="00A20BD9"/>
    <w:rsid w:val="00A2256F"/>
    <w:rsid w:val="00A23343"/>
    <w:rsid w:val="00A26994"/>
    <w:rsid w:val="00A31CA7"/>
    <w:rsid w:val="00A32301"/>
    <w:rsid w:val="00A33564"/>
    <w:rsid w:val="00A33B52"/>
    <w:rsid w:val="00A34182"/>
    <w:rsid w:val="00A34278"/>
    <w:rsid w:val="00A346CF"/>
    <w:rsid w:val="00A34A52"/>
    <w:rsid w:val="00A34B62"/>
    <w:rsid w:val="00A3538D"/>
    <w:rsid w:val="00A35988"/>
    <w:rsid w:val="00A35CE5"/>
    <w:rsid w:val="00A36531"/>
    <w:rsid w:val="00A401D1"/>
    <w:rsid w:val="00A4021B"/>
    <w:rsid w:val="00A40A3D"/>
    <w:rsid w:val="00A4140C"/>
    <w:rsid w:val="00A4163F"/>
    <w:rsid w:val="00A4253C"/>
    <w:rsid w:val="00A43056"/>
    <w:rsid w:val="00A44C39"/>
    <w:rsid w:val="00A469ED"/>
    <w:rsid w:val="00A4730F"/>
    <w:rsid w:val="00A50036"/>
    <w:rsid w:val="00A50FC1"/>
    <w:rsid w:val="00A519C7"/>
    <w:rsid w:val="00A53351"/>
    <w:rsid w:val="00A544E3"/>
    <w:rsid w:val="00A55DA9"/>
    <w:rsid w:val="00A56406"/>
    <w:rsid w:val="00A579EE"/>
    <w:rsid w:val="00A6058A"/>
    <w:rsid w:val="00A62487"/>
    <w:rsid w:val="00A66B2F"/>
    <w:rsid w:val="00A671DF"/>
    <w:rsid w:val="00A678D0"/>
    <w:rsid w:val="00A679ED"/>
    <w:rsid w:val="00A67D54"/>
    <w:rsid w:val="00A70385"/>
    <w:rsid w:val="00A71963"/>
    <w:rsid w:val="00A72FCF"/>
    <w:rsid w:val="00A741B3"/>
    <w:rsid w:val="00A751B6"/>
    <w:rsid w:val="00A761D8"/>
    <w:rsid w:val="00A76B50"/>
    <w:rsid w:val="00A77171"/>
    <w:rsid w:val="00A820DB"/>
    <w:rsid w:val="00A83D6E"/>
    <w:rsid w:val="00A87823"/>
    <w:rsid w:val="00A913E2"/>
    <w:rsid w:val="00A9390C"/>
    <w:rsid w:val="00A94226"/>
    <w:rsid w:val="00A956CB"/>
    <w:rsid w:val="00A95780"/>
    <w:rsid w:val="00A963F1"/>
    <w:rsid w:val="00AA01B2"/>
    <w:rsid w:val="00AA1496"/>
    <w:rsid w:val="00AA2F93"/>
    <w:rsid w:val="00AA433B"/>
    <w:rsid w:val="00AA5DA0"/>
    <w:rsid w:val="00AA76C6"/>
    <w:rsid w:val="00AA7894"/>
    <w:rsid w:val="00AB0C2B"/>
    <w:rsid w:val="00AB29B6"/>
    <w:rsid w:val="00AB3202"/>
    <w:rsid w:val="00AB3231"/>
    <w:rsid w:val="00AB3552"/>
    <w:rsid w:val="00AB4A5B"/>
    <w:rsid w:val="00AB6127"/>
    <w:rsid w:val="00AB64F1"/>
    <w:rsid w:val="00AB65F0"/>
    <w:rsid w:val="00AB7087"/>
    <w:rsid w:val="00AB73D8"/>
    <w:rsid w:val="00AC03A7"/>
    <w:rsid w:val="00AC09DB"/>
    <w:rsid w:val="00AC0A4A"/>
    <w:rsid w:val="00AC0DE2"/>
    <w:rsid w:val="00AC132E"/>
    <w:rsid w:val="00AC1678"/>
    <w:rsid w:val="00AC4651"/>
    <w:rsid w:val="00AC4FDB"/>
    <w:rsid w:val="00AC796C"/>
    <w:rsid w:val="00AD0294"/>
    <w:rsid w:val="00AD0BFB"/>
    <w:rsid w:val="00AD25F5"/>
    <w:rsid w:val="00AD344E"/>
    <w:rsid w:val="00AD37E5"/>
    <w:rsid w:val="00AD4202"/>
    <w:rsid w:val="00AD44C9"/>
    <w:rsid w:val="00AD550D"/>
    <w:rsid w:val="00AD7CFE"/>
    <w:rsid w:val="00AE0EF4"/>
    <w:rsid w:val="00AE1F24"/>
    <w:rsid w:val="00AE2D9A"/>
    <w:rsid w:val="00AE50C0"/>
    <w:rsid w:val="00AE50F1"/>
    <w:rsid w:val="00AE5FCF"/>
    <w:rsid w:val="00AE69E4"/>
    <w:rsid w:val="00AF09B4"/>
    <w:rsid w:val="00AF1AF8"/>
    <w:rsid w:val="00AF27C4"/>
    <w:rsid w:val="00AF4E20"/>
    <w:rsid w:val="00AF7BB4"/>
    <w:rsid w:val="00B00D32"/>
    <w:rsid w:val="00B021A3"/>
    <w:rsid w:val="00B03B76"/>
    <w:rsid w:val="00B03D49"/>
    <w:rsid w:val="00B057A7"/>
    <w:rsid w:val="00B06B28"/>
    <w:rsid w:val="00B06D2B"/>
    <w:rsid w:val="00B10641"/>
    <w:rsid w:val="00B1066F"/>
    <w:rsid w:val="00B116DB"/>
    <w:rsid w:val="00B1263B"/>
    <w:rsid w:val="00B13035"/>
    <w:rsid w:val="00B13579"/>
    <w:rsid w:val="00B13A14"/>
    <w:rsid w:val="00B15104"/>
    <w:rsid w:val="00B15743"/>
    <w:rsid w:val="00B1681B"/>
    <w:rsid w:val="00B16D4D"/>
    <w:rsid w:val="00B21917"/>
    <w:rsid w:val="00B24EBC"/>
    <w:rsid w:val="00B25131"/>
    <w:rsid w:val="00B26CAF"/>
    <w:rsid w:val="00B304CC"/>
    <w:rsid w:val="00B30767"/>
    <w:rsid w:val="00B30D8B"/>
    <w:rsid w:val="00B3744B"/>
    <w:rsid w:val="00B3750C"/>
    <w:rsid w:val="00B37D30"/>
    <w:rsid w:val="00B410A6"/>
    <w:rsid w:val="00B501F0"/>
    <w:rsid w:val="00B50209"/>
    <w:rsid w:val="00B53AA6"/>
    <w:rsid w:val="00B5656B"/>
    <w:rsid w:val="00B5673F"/>
    <w:rsid w:val="00B60E0A"/>
    <w:rsid w:val="00B616CB"/>
    <w:rsid w:val="00B62E96"/>
    <w:rsid w:val="00B63134"/>
    <w:rsid w:val="00B634DC"/>
    <w:rsid w:val="00B6395D"/>
    <w:rsid w:val="00B63DD2"/>
    <w:rsid w:val="00B66B88"/>
    <w:rsid w:val="00B66DBA"/>
    <w:rsid w:val="00B671F8"/>
    <w:rsid w:val="00B6746C"/>
    <w:rsid w:val="00B71881"/>
    <w:rsid w:val="00B71C46"/>
    <w:rsid w:val="00B71E2A"/>
    <w:rsid w:val="00B724C3"/>
    <w:rsid w:val="00B7650F"/>
    <w:rsid w:val="00B76695"/>
    <w:rsid w:val="00B77BC9"/>
    <w:rsid w:val="00B835E9"/>
    <w:rsid w:val="00B8385A"/>
    <w:rsid w:val="00B851CA"/>
    <w:rsid w:val="00B8566E"/>
    <w:rsid w:val="00B85A28"/>
    <w:rsid w:val="00B86339"/>
    <w:rsid w:val="00B86472"/>
    <w:rsid w:val="00B86783"/>
    <w:rsid w:val="00B87768"/>
    <w:rsid w:val="00B87F51"/>
    <w:rsid w:val="00B90350"/>
    <w:rsid w:val="00B913EA"/>
    <w:rsid w:val="00B9257C"/>
    <w:rsid w:val="00B9318C"/>
    <w:rsid w:val="00B9762C"/>
    <w:rsid w:val="00BA00CB"/>
    <w:rsid w:val="00BA1204"/>
    <w:rsid w:val="00BA218D"/>
    <w:rsid w:val="00BA2336"/>
    <w:rsid w:val="00BA34E4"/>
    <w:rsid w:val="00BA3DB9"/>
    <w:rsid w:val="00BA5352"/>
    <w:rsid w:val="00BA55AD"/>
    <w:rsid w:val="00BA6244"/>
    <w:rsid w:val="00BB20C4"/>
    <w:rsid w:val="00BB22CC"/>
    <w:rsid w:val="00BB22F3"/>
    <w:rsid w:val="00BB2B8E"/>
    <w:rsid w:val="00BB3AF4"/>
    <w:rsid w:val="00BB3C7F"/>
    <w:rsid w:val="00BB3FE3"/>
    <w:rsid w:val="00BB5C8E"/>
    <w:rsid w:val="00BB5E5D"/>
    <w:rsid w:val="00BB6E15"/>
    <w:rsid w:val="00BB6E84"/>
    <w:rsid w:val="00BB7EA8"/>
    <w:rsid w:val="00BC0310"/>
    <w:rsid w:val="00BC1D4F"/>
    <w:rsid w:val="00BC2766"/>
    <w:rsid w:val="00BC27D2"/>
    <w:rsid w:val="00BC2ABE"/>
    <w:rsid w:val="00BC34D4"/>
    <w:rsid w:val="00BC4256"/>
    <w:rsid w:val="00BC4648"/>
    <w:rsid w:val="00BC5482"/>
    <w:rsid w:val="00BC6692"/>
    <w:rsid w:val="00BC6C4A"/>
    <w:rsid w:val="00BC758D"/>
    <w:rsid w:val="00BD1290"/>
    <w:rsid w:val="00BD22DA"/>
    <w:rsid w:val="00BD4175"/>
    <w:rsid w:val="00BD4825"/>
    <w:rsid w:val="00BD6AA3"/>
    <w:rsid w:val="00BD7016"/>
    <w:rsid w:val="00BD78B2"/>
    <w:rsid w:val="00BD7905"/>
    <w:rsid w:val="00BD7E0D"/>
    <w:rsid w:val="00BE0A23"/>
    <w:rsid w:val="00BE10FF"/>
    <w:rsid w:val="00BE18F5"/>
    <w:rsid w:val="00BE206A"/>
    <w:rsid w:val="00BE2211"/>
    <w:rsid w:val="00BE23CE"/>
    <w:rsid w:val="00BE346C"/>
    <w:rsid w:val="00BE4A0D"/>
    <w:rsid w:val="00BE5D65"/>
    <w:rsid w:val="00BE68A0"/>
    <w:rsid w:val="00BE72DD"/>
    <w:rsid w:val="00BE7314"/>
    <w:rsid w:val="00BE797C"/>
    <w:rsid w:val="00BF036D"/>
    <w:rsid w:val="00BF0EA9"/>
    <w:rsid w:val="00BF14E5"/>
    <w:rsid w:val="00BF3B55"/>
    <w:rsid w:val="00BF46B0"/>
    <w:rsid w:val="00BF7568"/>
    <w:rsid w:val="00C0131F"/>
    <w:rsid w:val="00C02A3D"/>
    <w:rsid w:val="00C02DF1"/>
    <w:rsid w:val="00C03922"/>
    <w:rsid w:val="00C03A00"/>
    <w:rsid w:val="00C03CDE"/>
    <w:rsid w:val="00C05741"/>
    <w:rsid w:val="00C057E6"/>
    <w:rsid w:val="00C07B97"/>
    <w:rsid w:val="00C07E50"/>
    <w:rsid w:val="00C11340"/>
    <w:rsid w:val="00C11770"/>
    <w:rsid w:val="00C13935"/>
    <w:rsid w:val="00C13BF6"/>
    <w:rsid w:val="00C14AC8"/>
    <w:rsid w:val="00C15693"/>
    <w:rsid w:val="00C157FF"/>
    <w:rsid w:val="00C1618B"/>
    <w:rsid w:val="00C16944"/>
    <w:rsid w:val="00C17B58"/>
    <w:rsid w:val="00C20983"/>
    <w:rsid w:val="00C20A02"/>
    <w:rsid w:val="00C21318"/>
    <w:rsid w:val="00C216D9"/>
    <w:rsid w:val="00C230B6"/>
    <w:rsid w:val="00C23F10"/>
    <w:rsid w:val="00C251E3"/>
    <w:rsid w:val="00C26797"/>
    <w:rsid w:val="00C30D23"/>
    <w:rsid w:val="00C30F50"/>
    <w:rsid w:val="00C32981"/>
    <w:rsid w:val="00C339B8"/>
    <w:rsid w:val="00C34A17"/>
    <w:rsid w:val="00C34C5B"/>
    <w:rsid w:val="00C3518D"/>
    <w:rsid w:val="00C35747"/>
    <w:rsid w:val="00C35B41"/>
    <w:rsid w:val="00C37623"/>
    <w:rsid w:val="00C37D9C"/>
    <w:rsid w:val="00C40DFF"/>
    <w:rsid w:val="00C4269F"/>
    <w:rsid w:val="00C4590D"/>
    <w:rsid w:val="00C45E8E"/>
    <w:rsid w:val="00C47348"/>
    <w:rsid w:val="00C505A9"/>
    <w:rsid w:val="00C505C3"/>
    <w:rsid w:val="00C51AD7"/>
    <w:rsid w:val="00C52724"/>
    <w:rsid w:val="00C53379"/>
    <w:rsid w:val="00C5349F"/>
    <w:rsid w:val="00C55031"/>
    <w:rsid w:val="00C565FC"/>
    <w:rsid w:val="00C56BB0"/>
    <w:rsid w:val="00C5750C"/>
    <w:rsid w:val="00C57EE9"/>
    <w:rsid w:val="00C60BBA"/>
    <w:rsid w:val="00C60CD7"/>
    <w:rsid w:val="00C60E61"/>
    <w:rsid w:val="00C61516"/>
    <w:rsid w:val="00C64E98"/>
    <w:rsid w:val="00C64EC4"/>
    <w:rsid w:val="00C658A2"/>
    <w:rsid w:val="00C66975"/>
    <w:rsid w:val="00C6754C"/>
    <w:rsid w:val="00C716E0"/>
    <w:rsid w:val="00C72E32"/>
    <w:rsid w:val="00C759D3"/>
    <w:rsid w:val="00C7620E"/>
    <w:rsid w:val="00C76447"/>
    <w:rsid w:val="00C8085F"/>
    <w:rsid w:val="00C80BAD"/>
    <w:rsid w:val="00C8119C"/>
    <w:rsid w:val="00C833B9"/>
    <w:rsid w:val="00C83D9B"/>
    <w:rsid w:val="00C85977"/>
    <w:rsid w:val="00C8780F"/>
    <w:rsid w:val="00C87C2F"/>
    <w:rsid w:val="00C87FE7"/>
    <w:rsid w:val="00C9024B"/>
    <w:rsid w:val="00C90937"/>
    <w:rsid w:val="00C90CB3"/>
    <w:rsid w:val="00C91BFB"/>
    <w:rsid w:val="00C92D2E"/>
    <w:rsid w:val="00C9410D"/>
    <w:rsid w:val="00C965BC"/>
    <w:rsid w:val="00C973F7"/>
    <w:rsid w:val="00CA0201"/>
    <w:rsid w:val="00CA0E57"/>
    <w:rsid w:val="00CA1FB9"/>
    <w:rsid w:val="00CA333C"/>
    <w:rsid w:val="00CA4D08"/>
    <w:rsid w:val="00CA5472"/>
    <w:rsid w:val="00CA55B9"/>
    <w:rsid w:val="00CA5A78"/>
    <w:rsid w:val="00CA7908"/>
    <w:rsid w:val="00CB0877"/>
    <w:rsid w:val="00CB1202"/>
    <w:rsid w:val="00CB2168"/>
    <w:rsid w:val="00CB296F"/>
    <w:rsid w:val="00CB3648"/>
    <w:rsid w:val="00CC30C1"/>
    <w:rsid w:val="00CC32E4"/>
    <w:rsid w:val="00CC371E"/>
    <w:rsid w:val="00CC4C58"/>
    <w:rsid w:val="00CC515F"/>
    <w:rsid w:val="00CC5C41"/>
    <w:rsid w:val="00CC7D65"/>
    <w:rsid w:val="00CD2781"/>
    <w:rsid w:val="00CD2F49"/>
    <w:rsid w:val="00CD3306"/>
    <w:rsid w:val="00CD61D0"/>
    <w:rsid w:val="00CE05A5"/>
    <w:rsid w:val="00CE1D56"/>
    <w:rsid w:val="00CE2CE3"/>
    <w:rsid w:val="00CE6E41"/>
    <w:rsid w:val="00CE7CBF"/>
    <w:rsid w:val="00CF25D3"/>
    <w:rsid w:val="00CF3712"/>
    <w:rsid w:val="00CF40A0"/>
    <w:rsid w:val="00D00466"/>
    <w:rsid w:val="00D0144B"/>
    <w:rsid w:val="00D017C7"/>
    <w:rsid w:val="00D01C99"/>
    <w:rsid w:val="00D026B0"/>
    <w:rsid w:val="00D0340A"/>
    <w:rsid w:val="00D03DBA"/>
    <w:rsid w:val="00D042EC"/>
    <w:rsid w:val="00D05093"/>
    <w:rsid w:val="00D052BD"/>
    <w:rsid w:val="00D05334"/>
    <w:rsid w:val="00D06601"/>
    <w:rsid w:val="00D06616"/>
    <w:rsid w:val="00D07014"/>
    <w:rsid w:val="00D076B6"/>
    <w:rsid w:val="00D07BC1"/>
    <w:rsid w:val="00D07C07"/>
    <w:rsid w:val="00D11AF2"/>
    <w:rsid w:val="00D12732"/>
    <w:rsid w:val="00D13F6B"/>
    <w:rsid w:val="00D145A7"/>
    <w:rsid w:val="00D155DC"/>
    <w:rsid w:val="00D16117"/>
    <w:rsid w:val="00D17945"/>
    <w:rsid w:val="00D1795D"/>
    <w:rsid w:val="00D204ED"/>
    <w:rsid w:val="00D218F8"/>
    <w:rsid w:val="00D22090"/>
    <w:rsid w:val="00D23C5E"/>
    <w:rsid w:val="00D248AD"/>
    <w:rsid w:val="00D24A77"/>
    <w:rsid w:val="00D27D8F"/>
    <w:rsid w:val="00D325E5"/>
    <w:rsid w:val="00D327B7"/>
    <w:rsid w:val="00D32A6C"/>
    <w:rsid w:val="00D3464E"/>
    <w:rsid w:val="00D3618F"/>
    <w:rsid w:val="00D40491"/>
    <w:rsid w:val="00D40E6A"/>
    <w:rsid w:val="00D4105B"/>
    <w:rsid w:val="00D4184F"/>
    <w:rsid w:val="00D4223E"/>
    <w:rsid w:val="00D46C80"/>
    <w:rsid w:val="00D473FE"/>
    <w:rsid w:val="00D5045C"/>
    <w:rsid w:val="00D51711"/>
    <w:rsid w:val="00D51BE6"/>
    <w:rsid w:val="00D51E55"/>
    <w:rsid w:val="00D5247F"/>
    <w:rsid w:val="00D5263A"/>
    <w:rsid w:val="00D52DD0"/>
    <w:rsid w:val="00D52FBA"/>
    <w:rsid w:val="00D54D27"/>
    <w:rsid w:val="00D5500F"/>
    <w:rsid w:val="00D56BCB"/>
    <w:rsid w:val="00D57F6B"/>
    <w:rsid w:val="00D57FA6"/>
    <w:rsid w:val="00D6051D"/>
    <w:rsid w:val="00D6080B"/>
    <w:rsid w:val="00D61E2D"/>
    <w:rsid w:val="00D65F8F"/>
    <w:rsid w:val="00D67891"/>
    <w:rsid w:val="00D67FBD"/>
    <w:rsid w:val="00D7033C"/>
    <w:rsid w:val="00D71273"/>
    <w:rsid w:val="00D71ABD"/>
    <w:rsid w:val="00D72C89"/>
    <w:rsid w:val="00D7338E"/>
    <w:rsid w:val="00D733DD"/>
    <w:rsid w:val="00D734E8"/>
    <w:rsid w:val="00D74831"/>
    <w:rsid w:val="00D74D25"/>
    <w:rsid w:val="00D75989"/>
    <w:rsid w:val="00D77580"/>
    <w:rsid w:val="00D80288"/>
    <w:rsid w:val="00D80BCC"/>
    <w:rsid w:val="00D83CBB"/>
    <w:rsid w:val="00D84552"/>
    <w:rsid w:val="00D84D2E"/>
    <w:rsid w:val="00D904AE"/>
    <w:rsid w:val="00D90DF9"/>
    <w:rsid w:val="00D910CA"/>
    <w:rsid w:val="00D912B1"/>
    <w:rsid w:val="00D91795"/>
    <w:rsid w:val="00D91C04"/>
    <w:rsid w:val="00D92DE5"/>
    <w:rsid w:val="00D93D41"/>
    <w:rsid w:val="00D93E2A"/>
    <w:rsid w:val="00D96D77"/>
    <w:rsid w:val="00DA4286"/>
    <w:rsid w:val="00DA50ED"/>
    <w:rsid w:val="00DA56C6"/>
    <w:rsid w:val="00DB0035"/>
    <w:rsid w:val="00DB0304"/>
    <w:rsid w:val="00DB0B4B"/>
    <w:rsid w:val="00DB1490"/>
    <w:rsid w:val="00DB292C"/>
    <w:rsid w:val="00DB340E"/>
    <w:rsid w:val="00DB544D"/>
    <w:rsid w:val="00DB54FA"/>
    <w:rsid w:val="00DB70FD"/>
    <w:rsid w:val="00DC0994"/>
    <w:rsid w:val="00DC1354"/>
    <w:rsid w:val="00DC246C"/>
    <w:rsid w:val="00DC4982"/>
    <w:rsid w:val="00DC5754"/>
    <w:rsid w:val="00DC6972"/>
    <w:rsid w:val="00DC6DB4"/>
    <w:rsid w:val="00DC7449"/>
    <w:rsid w:val="00DC79CC"/>
    <w:rsid w:val="00DD1437"/>
    <w:rsid w:val="00DD1EFA"/>
    <w:rsid w:val="00DD2069"/>
    <w:rsid w:val="00DD24AE"/>
    <w:rsid w:val="00DD257C"/>
    <w:rsid w:val="00DD2CAB"/>
    <w:rsid w:val="00DD2EBE"/>
    <w:rsid w:val="00DD2FB7"/>
    <w:rsid w:val="00DD3C4D"/>
    <w:rsid w:val="00DD7781"/>
    <w:rsid w:val="00DE0DB0"/>
    <w:rsid w:val="00DE0E6B"/>
    <w:rsid w:val="00DE1861"/>
    <w:rsid w:val="00DE18E7"/>
    <w:rsid w:val="00DE1E59"/>
    <w:rsid w:val="00DE2991"/>
    <w:rsid w:val="00DE2AAF"/>
    <w:rsid w:val="00DE4718"/>
    <w:rsid w:val="00DE73AF"/>
    <w:rsid w:val="00DF337D"/>
    <w:rsid w:val="00DF59E2"/>
    <w:rsid w:val="00DF62EB"/>
    <w:rsid w:val="00DF6341"/>
    <w:rsid w:val="00DF6F18"/>
    <w:rsid w:val="00DF7B39"/>
    <w:rsid w:val="00E023F6"/>
    <w:rsid w:val="00E02EE6"/>
    <w:rsid w:val="00E02FAB"/>
    <w:rsid w:val="00E03F94"/>
    <w:rsid w:val="00E06284"/>
    <w:rsid w:val="00E102F1"/>
    <w:rsid w:val="00E12C62"/>
    <w:rsid w:val="00E140D0"/>
    <w:rsid w:val="00E1559B"/>
    <w:rsid w:val="00E1606D"/>
    <w:rsid w:val="00E16E40"/>
    <w:rsid w:val="00E178FE"/>
    <w:rsid w:val="00E21EF7"/>
    <w:rsid w:val="00E229C7"/>
    <w:rsid w:val="00E23789"/>
    <w:rsid w:val="00E23837"/>
    <w:rsid w:val="00E23AAA"/>
    <w:rsid w:val="00E247B3"/>
    <w:rsid w:val="00E25EB0"/>
    <w:rsid w:val="00E26955"/>
    <w:rsid w:val="00E26A07"/>
    <w:rsid w:val="00E26BF4"/>
    <w:rsid w:val="00E2700F"/>
    <w:rsid w:val="00E27488"/>
    <w:rsid w:val="00E30FE2"/>
    <w:rsid w:val="00E32578"/>
    <w:rsid w:val="00E33C27"/>
    <w:rsid w:val="00E36DF6"/>
    <w:rsid w:val="00E40625"/>
    <w:rsid w:val="00E4130E"/>
    <w:rsid w:val="00E415BA"/>
    <w:rsid w:val="00E428AD"/>
    <w:rsid w:val="00E43219"/>
    <w:rsid w:val="00E43710"/>
    <w:rsid w:val="00E43805"/>
    <w:rsid w:val="00E43E5F"/>
    <w:rsid w:val="00E44102"/>
    <w:rsid w:val="00E44B12"/>
    <w:rsid w:val="00E44E80"/>
    <w:rsid w:val="00E46008"/>
    <w:rsid w:val="00E465F2"/>
    <w:rsid w:val="00E46EF5"/>
    <w:rsid w:val="00E4704E"/>
    <w:rsid w:val="00E47122"/>
    <w:rsid w:val="00E4778C"/>
    <w:rsid w:val="00E47CA6"/>
    <w:rsid w:val="00E50D5C"/>
    <w:rsid w:val="00E50E74"/>
    <w:rsid w:val="00E53549"/>
    <w:rsid w:val="00E5379B"/>
    <w:rsid w:val="00E545B1"/>
    <w:rsid w:val="00E54A1D"/>
    <w:rsid w:val="00E54D45"/>
    <w:rsid w:val="00E55777"/>
    <w:rsid w:val="00E56448"/>
    <w:rsid w:val="00E572FC"/>
    <w:rsid w:val="00E574ED"/>
    <w:rsid w:val="00E5796E"/>
    <w:rsid w:val="00E57CDA"/>
    <w:rsid w:val="00E61439"/>
    <w:rsid w:val="00E62E84"/>
    <w:rsid w:val="00E642DF"/>
    <w:rsid w:val="00E64854"/>
    <w:rsid w:val="00E65737"/>
    <w:rsid w:val="00E65FED"/>
    <w:rsid w:val="00E66E06"/>
    <w:rsid w:val="00E67B19"/>
    <w:rsid w:val="00E7024E"/>
    <w:rsid w:val="00E70CAD"/>
    <w:rsid w:val="00E71ED4"/>
    <w:rsid w:val="00E7354E"/>
    <w:rsid w:val="00E74557"/>
    <w:rsid w:val="00E764FC"/>
    <w:rsid w:val="00E7722C"/>
    <w:rsid w:val="00E80A23"/>
    <w:rsid w:val="00E819A4"/>
    <w:rsid w:val="00E833DF"/>
    <w:rsid w:val="00E850A0"/>
    <w:rsid w:val="00E851CF"/>
    <w:rsid w:val="00E8762E"/>
    <w:rsid w:val="00E876B3"/>
    <w:rsid w:val="00E91E16"/>
    <w:rsid w:val="00E91E8B"/>
    <w:rsid w:val="00E94A57"/>
    <w:rsid w:val="00E95E88"/>
    <w:rsid w:val="00E97F9A"/>
    <w:rsid w:val="00EA1A16"/>
    <w:rsid w:val="00EA4C3E"/>
    <w:rsid w:val="00EA68CD"/>
    <w:rsid w:val="00EA704F"/>
    <w:rsid w:val="00EB47A3"/>
    <w:rsid w:val="00EB5221"/>
    <w:rsid w:val="00EB5878"/>
    <w:rsid w:val="00EB6122"/>
    <w:rsid w:val="00EC0749"/>
    <w:rsid w:val="00EC0765"/>
    <w:rsid w:val="00EC0E1B"/>
    <w:rsid w:val="00EC3802"/>
    <w:rsid w:val="00EC62AB"/>
    <w:rsid w:val="00EC686F"/>
    <w:rsid w:val="00ED03EB"/>
    <w:rsid w:val="00ED2B5E"/>
    <w:rsid w:val="00ED6418"/>
    <w:rsid w:val="00ED6CE0"/>
    <w:rsid w:val="00ED6F48"/>
    <w:rsid w:val="00ED7F2D"/>
    <w:rsid w:val="00EE09FD"/>
    <w:rsid w:val="00EE1D21"/>
    <w:rsid w:val="00EE1FAB"/>
    <w:rsid w:val="00EE22B6"/>
    <w:rsid w:val="00EE2579"/>
    <w:rsid w:val="00EE3048"/>
    <w:rsid w:val="00EE5254"/>
    <w:rsid w:val="00EE6243"/>
    <w:rsid w:val="00EE6A73"/>
    <w:rsid w:val="00EE6D97"/>
    <w:rsid w:val="00EF09FD"/>
    <w:rsid w:val="00EF1453"/>
    <w:rsid w:val="00EF2EF2"/>
    <w:rsid w:val="00EF3F33"/>
    <w:rsid w:val="00EF5A90"/>
    <w:rsid w:val="00EF61A8"/>
    <w:rsid w:val="00EF6DAB"/>
    <w:rsid w:val="00EF76AA"/>
    <w:rsid w:val="00EF7F6C"/>
    <w:rsid w:val="00F00410"/>
    <w:rsid w:val="00F0127C"/>
    <w:rsid w:val="00F07792"/>
    <w:rsid w:val="00F07953"/>
    <w:rsid w:val="00F1024E"/>
    <w:rsid w:val="00F10ED3"/>
    <w:rsid w:val="00F113B3"/>
    <w:rsid w:val="00F11C15"/>
    <w:rsid w:val="00F128F7"/>
    <w:rsid w:val="00F12F7B"/>
    <w:rsid w:val="00F13C31"/>
    <w:rsid w:val="00F16C0B"/>
    <w:rsid w:val="00F16D75"/>
    <w:rsid w:val="00F24052"/>
    <w:rsid w:val="00F253C1"/>
    <w:rsid w:val="00F2593B"/>
    <w:rsid w:val="00F25C62"/>
    <w:rsid w:val="00F26476"/>
    <w:rsid w:val="00F271E5"/>
    <w:rsid w:val="00F27257"/>
    <w:rsid w:val="00F302D8"/>
    <w:rsid w:val="00F314B2"/>
    <w:rsid w:val="00F31E3E"/>
    <w:rsid w:val="00F3221E"/>
    <w:rsid w:val="00F323AB"/>
    <w:rsid w:val="00F32404"/>
    <w:rsid w:val="00F32AC5"/>
    <w:rsid w:val="00F333D6"/>
    <w:rsid w:val="00F34612"/>
    <w:rsid w:val="00F362F3"/>
    <w:rsid w:val="00F4024B"/>
    <w:rsid w:val="00F40CDD"/>
    <w:rsid w:val="00F4170E"/>
    <w:rsid w:val="00F43134"/>
    <w:rsid w:val="00F442DD"/>
    <w:rsid w:val="00F45345"/>
    <w:rsid w:val="00F469E5"/>
    <w:rsid w:val="00F47E02"/>
    <w:rsid w:val="00F5016A"/>
    <w:rsid w:val="00F5032D"/>
    <w:rsid w:val="00F5148E"/>
    <w:rsid w:val="00F51A98"/>
    <w:rsid w:val="00F51FEB"/>
    <w:rsid w:val="00F522C0"/>
    <w:rsid w:val="00F53BC8"/>
    <w:rsid w:val="00F55E95"/>
    <w:rsid w:val="00F57FEC"/>
    <w:rsid w:val="00F600EA"/>
    <w:rsid w:val="00F60C24"/>
    <w:rsid w:val="00F61274"/>
    <w:rsid w:val="00F61D3F"/>
    <w:rsid w:val="00F6209D"/>
    <w:rsid w:val="00F6340A"/>
    <w:rsid w:val="00F64352"/>
    <w:rsid w:val="00F646DD"/>
    <w:rsid w:val="00F70486"/>
    <w:rsid w:val="00F708A5"/>
    <w:rsid w:val="00F71041"/>
    <w:rsid w:val="00F71778"/>
    <w:rsid w:val="00F72CFD"/>
    <w:rsid w:val="00F73748"/>
    <w:rsid w:val="00F74D43"/>
    <w:rsid w:val="00F75F80"/>
    <w:rsid w:val="00F76426"/>
    <w:rsid w:val="00F76BF5"/>
    <w:rsid w:val="00F77F02"/>
    <w:rsid w:val="00F81700"/>
    <w:rsid w:val="00F81870"/>
    <w:rsid w:val="00F82D2B"/>
    <w:rsid w:val="00F83E30"/>
    <w:rsid w:val="00F851DB"/>
    <w:rsid w:val="00F869EB"/>
    <w:rsid w:val="00F87937"/>
    <w:rsid w:val="00F90A21"/>
    <w:rsid w:val="00F9194E"/>
    <w:rsid w:val="00F9378D"/>
    <w:rsid w:val="00F94A4F"/>
    <w:rsid w:val="00F95D44"/>
    <w:rsid w:val="00F96119"/>
    <w:rsid w:val="00F979D6"/>
    <w:rsid w:val="00FA022F"/>
    <w:rsid w:val="00FA374D"/>
    <w:rsid w:val="00FA46B5"/>
    <w:rsid w:val="00FA5733"/>
    <w:rsid w:val="00FA6BD7"/>
    <w:rsid w:val="00FA771A"/>
    <w:rsid w:val="00FB079C"/>
    <w:rsid w:val="00FB09AF"/>
    <w:rsid w:val="00FB1CA6"/>
    <w:rsid w:val="00FB206E"/>
    <w:rsid w:val="00FB23A7"/>
    <w:rsid w:val="00FB2B60"/>
    <w:rsid w:val="00FB6B4E"/>
    <w:rsid w:val="00FB7331"/>
    <w:rsid w:val="00FB7585"/>
    <w:rsid w:val="00FC0115"/>
    <w:rsid w:val="00FC029B"/>
    <w:rsid w:val="00FC1CD8"/>
    <w:rsid w:val="00FC1D64"/>
    <w:rsid w:val="00FC1DA1"/>
    <w:rsid w:val="00FC2809"/>
    <w:rsid w:val="00FC286E"/>
    <w:rsid w:val="00FC336E"/>
    <w:rsid w:val="00FC3587"/>
    <w:rsid w:val="00FC3DA0"/>
    <w:rsid w:val="00FC4418"/>
    <w:rsid w:val="00FC6000"/>
    <w:rsid w:val="00FD124C"/>
    <w:rsid w:val="00FD13A1"/>
    <w:rsid w:val="00FD21CA"/>
    <w:rsid w:val="00FD2A69"/>
    <w:rsid w:val="00FD3812"/>
    <w:rsid w:val="00FD40C1"/>
    <w:rsid w:val="00FD42B3"/>
    <w:rsid w:val="00FD4AA5"/>
    <w:rsid w:val="00FD5A9D"/>
    <w:rsid w:val="00FD5CDC"/>
    <w:rsid w:val="00FD5DC5"/>
    <w:rsid w:val="00FD69D9"/>
    <w:rsid w:val="00FD7A8F"/>
    <w:rsid w:val="00FD7EEC"/>
    <w:rsid w:val="00FE0DFC"/>
    <w:rsid w:val="00FE15C5"/>
    <w:rsid w:val="00FE19A2"/>
    <w:rsid w:val="00FE1AA2"/>
    <w:rsid w:val="00FE4672"/>
    <w:rsid w:val="00FE4E70"/>
    <w:rsid w:val="00FE718B"/>
    <w:rsid w:val="00FF272B"/>
    <w:rsid w:val="00FF2F6B"/>
    <w:rsid w:val="00FF3529"/>
    <w:rsid w:val="00FF49B0"/>
    <w:rsid w:val="00FF6010"/>
    <w:rsid w:val="00FF771B"/>
    <w:rsid w:val="0B1344C4"/>
    <w:rsid w:val="0E3B3E68"/>
    <w:rsid w:val="1138405C"/>
    <w:rsid w:val="19BD397C"/>
    <w:rsid w:val="1DAE43FC"/>
    <w:rsid w:val="20C35C09"/>
    <w:rsid w:val="29205B89"/>
    <w:rsid w:val="2D264076"/>
    <w:rsid w:val="2F575CA4"/>
    <w:rsid w:val="33EE5626"/>
    <w:rsid w:val="34CA001D"/>
    <w:rsid w:val="378149D4"/>
    <w:rsid w:val="383D6C98"/>
    <w:rsid w:val="3EF30F9B"/>
    <w:rsid w:val="3F182A85"/>
    <w:rsid w:val="41605891"/>
    <w:rsid w:val="42B10D8F"/>
    <w:rsid w:val="47ED4F97"/>
    <w:rsid w:val="47FB30D0"/>
    <w:rsid w:val="590E58A0"/>
    <w:rsid w:val="5BFB0876"/>
    <w:rsid w:val="5D6F5B2B"/>
    <w:rsid w:val="5F3E13E0"/>
    <w:rsid w:val="68B74D7B"/>
    <w:rsid w:val="6D2330BC"/>
    <w:rsid w:val="6F1C4A25"/>
    <w:rsid w:val="74D95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szCs w:val="44"/>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Normal Indent"/>
    <w:basedOn w:val="1"/>
    <w:link w:val="47"/>
    <w:qFormat/>
    <w:uiPriority w:val="0"/>
    <w:pPr>
      <w:ind w:firstLine="420" w:firstLineChars="200"/>
    </w:pPr>
    <w:rPr>
      <w:szCs w:val="24"/>
    </w:rPr>
  </w:style>
  <w:style w:type="paragraph" w:styleId="6">
    <w:name w:val="Document Map"/>
    <w:basedOn w:val="1"/>
    <w:semiHidden/>
    <w:qFormat/>
    <w:uiPriority w:val="0"/>
    <w:pPr>
      <w:shd w:val="clear" w:color="auto" w:fill="000080"/>
    </w:pPr>
  </w:style>
  <w:style w:type="paragraph" w:styleId="7">
    <w:name w:val="annotation text"/>
    <w:basedOn w:val="1"/>
    <w:semiHidden/>
    <w:qFormat/>
    <w:uiPriority w:val="0"/>
    <w:pPr>
      <w:jc w:val="left"/>
    </w:pPr>
  </w:style>
  <w:style w:type="paragraph" w:styleId="8">
    <w:name w:val="Body Text"/>
    <w:basedOn w:val="1"/>
    <w:qFormat/>
    <w:uiPriority w:val="0"/>
    <w:pPr>
      <w:spacing w:beforeLines="50" w:line="360" w:lineRule="auto"/>
    </w:pPr>
    <w:rPr>
      <w:rFonts w:ascii="宋体" w:hAnsi="宋体"/>
      <w:color w:val="000000"/>
      <w:sz w:val="24"/>
      <w:szCs w:val="24"/>
    </w:rPr>
  </w:style>
  <w:style w:type="paragraph" w:styleId="9">
    <w:name w:val="Plain Text"/>
    <w:basedOn w:val="1"/>
    <w:link w:val="44"/>
    <w:qFormat/>
    <w:uiPriority w:val="0"/>
    <w:rPr>
      <w:rFonts w:ascii="宋体" w:hAnsi="Courier New"/>
    </w:rPr>
  </w:style>
  <w:style w:type="paragraph" w:styleId="10">
    <w:name w:val="Date"/>
    <w:basedOn w:val="1"/>
    <w:next w:val="1"/>
    <w:qFormat/>
    <w:uiPriority w:val="0"/>
    <w:pPr>
      <w:ind w:left="100" w:leftChars="2500"/>
    </w:p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style>
  <w:style w:type="paragraph" w:styleId="15">
    <w:name w:val="toc 2"/>
    <w:basedOn w:val="1"/>
    <w:next w:val="1"/>
    <w:qFormat/>
    <w:uiPriority w:val="39"/>
    <w:pPr>
      <w:tabs>
        <w:tab w:val="right" w:leader="dot" w:pos="8378"/>
      </w:tabs>
      <w:spacing w:line="360" w:lineRule="auto"/>
      <w:ind w:left="420" w:leftChars="200"/>
    </w:pPr>
    <w:rPr>
      <w:rFonts w:ascii="华文仿宋" w:hAnsi="华文仿宋" w:eastAsia="华文仿宋"/>
      <w:kern w:val="0"/>
    </w:rPr>
  </w:style>
  <w:style w:type="paragraph" w:styleId="16">
    <w:name w:val="annotation subject"/>
    <w:basedOn w:val="7"/>
    <w:next w:val="7"/>
    <w:semiHidden/>
    <w:qFormat/>
    <w:uiPriority w:val="0"/>
    <w:rPr>
      <w:b/>
      <w:bCs/>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page number"/>
    <w:basedOn w:val="19"/>
    <w:qFormat/>
    <w:uiPriority w:val="0"/>
  </w:style>
  <w:style w:type="character" w:styleId="21">
    <w:name w:val="Emphasis"/>
    <w:qFormat/>
    <w:uiPriority w:val="20"/>
    <w:rPr>
      <w:color w:val="CC0000"/>
    </w:rPr>
  </w:style>
  <w:style w:type="character" w:styleId="22">
    <w:name w:val="Hyperlink"/>
    <w:qFormat/>
    <w:uiPriority w:val="99"/>
    <w:rPr>
      <w:color w:val="0000FF"/>
      <w:u w:val="single"/>
    </w:rPr>
  </w:style>
  <w:style w:type="character" w:styleId="23">
    <w:name w:val="annotation reference"/>
    <w:semiHidden/>
    <w:qFormat/>
    <w:uiPriority w:val="0"/>
    <w:rPr>
      <w:sz w:val="21"/>
      <w:szCs w:val="21"/>
    </w:rPr>
  </w:style>
  <w:style w:type="paragraph" w:customStyle="1" w:styleId="24">
    <w:name w:val="Char Char Char Char Char Char Char Char Char Char"/>
    <w:basedOn w:val="1"/>
    <w:qFormat/>
    <w:uiPriority w:val="0"/>
    <w:rPr>
      <w:szCs w:val="24"/>
    </w:rPr>
  </w:style>
  <w:style w:type="paragraph" w:customStyle="1" w:styleId="25">
    <w:name w:val="Default Text"/>
    <w:basedOn w:val="1"/>
    <w:qFormat/>
    <w:uiPriority w:val="0"/>
    <w:pPr>
      <w:widowControl/>
      <w:overflowPunct w:val="0"/>
      <w:autoSpaceDE w:val="0"/>
      <w:autoSpaceDN w:val="0"/>
      <w:adjustRightInd w:val="0"/>
      <w:jc w:val="left"/>
      <w:textAlignment w:val="baseline"/>
    </w:pPr>
    <w:rPr>
      <w:kern w:val="0"/>
      <w:sz w:val="24"/>
    </w:rPr>
  </w:style>
  <w:style w:type="paragraph" w:customStyle="1" w:styleId="26">
    <w:name w:val="文章标题"/>
    <w:basedOn w:val="1"/>
    <w:next w:val="1"/>
    <w:qFormat/>
    <w:uiPriority w:val="0"/>
    <w:pPr>
      <w:spacing w:afterLines="100"/>
      <w:jc w:val="center"/>
    </w:pPr>
    <w:rPr>
      <w:rFonts w:cs="宋体"/>
      <w:bCs/>
      <w:sz w:val="44"/>
    </w:rPr>
  </w:style>
  <w:style w:type="paragraph" w:customStyle="1" w:styleId="27">
    <w:name w:val="样式 宋体 小四 加粗 黑色 行距: 固定值 27 磅"/>
    <w:basedOn w:val="1"/>
    <w:qFormat/>
    <w:uiPriority w:val="0"/>
    <w:pPr>
      <w:spacing w:line="540" w:lineRule="exact"/>
      <w:ind w:firstLine="482" w:firstLineChars="200"/>
    </w:pPr>
    <w:rPr>
      <w:rFonts w:ascii="宋体" w:hAnsi="宋体" w:cs="宋体"/>
      <w:b/>
      <w:bCs/>
      <w:color w:val="000000"/>
      <w:kern w:val="0"/>
      <w:sz w:val="30"/>
    </w:rPr>
  </w:style>
  <w:style w:type="paragraph" w:customStyle="1" w:styleId="28">
    <w:name w:val="正文1"/>
    <w:basedOn w:val="1"/>
    <w:qFormat/>
    <w:uiPriority w:val="0"/>
    <w:pPr>
      <w:ind w:firstLine="420"/>
    </w:pPr>
    <w:rPr>
      <w:rFonts w:ascii="华文仿宋" w:hAnsi="华文仿宋" w:eastAsia="华文仿宋"/>
      <w:kern w:val="0"/>
      <w:sz w:val="28"/>
      <w:szCs w:val="28"/>
    </w:rPr>
  </w:style>
  <w:style w:type="paragraph" w:customStyle="1" w:styleId="29">
    <w:name w:val="Normal Cenered"/>
    <w:basedOn w:val="1"/>
    <w:qFormat/>
    <w:uiPriority w:val="0"/>
    <w:pPr>
      <w:widowControl/>
      <w:tabs>
        <w:tab w:val="left" w:pos="6660"/>
      </w:tabs>
      <w:spacing w:before="240" w:after="120" w:line="288" w:lineRule="auto"/>
      <w:jc w:val="center"/>
    </w:pPr>
    <w:rPr>
      <w:kern w:val="0"/>
      <w:szCs w:val="24"/>
    </w:rPr>
  </w:style>
  <w:style w:type="paragraph" w:customStyle="1" w:styleId="30">
    <w:name w:val="默认段落字体 Para Char"/>
    <w:basedOn w:val="1"/>
    <w:qFormat/>
    <w:uiPriority w:val="0"/>
    <w:rPr>
      <w:szCs w:val="24"/>
    </w:rPr>
  </w:style>
  <w:style w:type="paragraph" w:customStyle="1" w:styleId="31">
    <w:name w:val="标题 1（nari）"/>
    <w:basedOn w:val="3"/>
    <w:next w:val="1"/>
    <w:qFormat/>
    <w:uiPriority w:val="0"/>
    <w:pPr>
      <w:widowControl/>
      <w:numPr>
        <w:ilvl w:val="0"/>
        <w:numId w:val="1"/>
      </w:numPr>
      <w:spacing w:before="240" w:after="200" w:line="240" w:lineRule="auto"/>
      <w:jc w:val="left"/>
      <w:outlineLvl w:val="2"/>
    </w:pPr>
    <w:rPr>
      <w:rFonts w:ascii="Arial" w:hAnsi="Arial" w:cs="宋体"/>
      <w:bCs w:val="0"/>
      <w:sz w:val="28"/>
    </w:rPr>
  </w:style>
  <w:style w:type="paragraph" w:customStyle="1" w:styleId="32">
    <w:name w:val="标题 2（nari）"/>
    <w:basedOn w:val="2"/>
    <w:next w:val="1"/>
    <w:qFormat/>
    <w:uiPriority w:val="0"/>
    <w:pPr>
      <w:widowControl/>
      <w:numPr>
        <w:ilvl w:val="1"/>
        <w:numId w:val="1"/>
      </w:numPr>
      <w:spacing w:before="320" w:after="160" w:line="240" w:lineRule="auto"/>
      <w:jc w:val="left"/>
      <w:outlineLvl w:val="3"/>
    </w:pPr>
    <w:rPr>
      <w:rFonts w:ascii="Times New Roman" w:hAnsi="Calibri" w:eastAsia="宋体" w:cs="宋体"/>
      <w:kern w:val="0"/>
      <w:sz w:val="24"/>
    </w:rPr>
  </w:style>
  <w:style w:type="paragraph" w:customStyle="1" w:styleId="33">
    <w:name w:val="标题 3（nari）"/>
    <w:basedOn w:val="4"/>
    <w:next w:val="1"/>
    <w:qFormat/>
    <w:uiPriority w:val="0"/>
    <w:pPr>
      <w:widowControl/>
      <w:numPr>
        <w:ilvl w:val="2"/>
        <w:numId w:val="1"/>
      </w:numPr>
      <w:tabs>
        <w:tab w:val="left" w:pos="960"/>
      </w:tabs>
      <w:spacing w:before="240" w:after="120" w:line="360" w:lineRule="auto"/>
      <w:jc w:val="left"/>
    </w:pPr>
    <w:rPr>
      <w:rFonts w:ascii="Arial" w:hAnsi="Arial" w:eastAsia="黑体" w:cs="宋体"/>
      <w:b w:val="0"/>
      <w:kern w:val="0"/>
      <w:sz w:val="24"/>
      <w:szCs w:val="30"/>
      <w:lang w:val="zh-CN"/>
    </w:rPr>
  </w:style>
  <w:style w:type="paragraph" w:customStyle="1" w:styleId="34">
    <w:name w:val="正文（nari）"/>
    <w:basedOn w:val="1"/>
    <w:link w:val="35"/>
    <w:qFormat/>
    <w:uiPriority w:val="0"/>
    <w:pPr>
      <w:spacing w:beforeLines="50" w:afterLines="50" w:line="500" w:lineRule="exact"/>
      <w:ind w:firstLine="200" w:firstLineChars="200"/>
      <w:jc w:val="left"/>
    </w:pPr>
    <w:rPr>
      <w:rFonts w:cs="宋体"/>
      <w:sz w:val="24"/>
    </w:rPr>
  </w:style>
  <w:style w:type="character" w:customStyle="1" w:styleId="35">
    <w:name w:val="正文（nari） Char"/>
    <w:link w:val="34"/>
    <w:qFormat/>
    <w:uiPriority w:val="0"/>
    <w:rPr>
      <w:rFonts w:eastAsia="宋体" w:cs="宋体"/>
      <w:kern w:val="2"/>
      <w:sz w:val="24"/>
      <w:lang w:val="en-US" w:eastAsia="zh-CN" w:bidi="ar-SA"/>
    </w:rPr>
  </w:style>
  <w:style w:type="paragraph" w:customStyle="1" w:styleId="36">
    <w:name w:val="p0"/>
    <w:basedOn w:val="1"/>
    <w:qFormat/>
    <w:uiPriority w:val="0"/>
    <w:pPr>
      <w:widowControl/>
    </w:pPr>
    <w:rPr>
      <w:rFonts w:ascii="Calibri" w:hAnsi="Calibri" w:cs="宋体"/>
      <w:kern w:val="0"/>
      <w:szCs w:val="21"/>
    </w:rPr>
  </w:style>
  <w:style w:type="paragraph" w:customStyle="1" w:styleId="37">
    <w:name w:val="国网标准正文"/>
    <w:basedOn w:val="1"/>
    <w:link w:val="38"/>
    <w:semiHidden/>
    <w:qFormat/>
    <w:uiPriority w:val="0"/>
    <w:pPr>
      <w:tabs>
        <w:tab w:val="left" w:pos="2700"/>
      </w:tabs>
      <w:adjustRightInd w:val="0"/>
      <w:snapToGrid w:val="0"/>
      <w:spacing w:line="312" w:lineRule="exact"/>
      <w:ind w:firstLine="420" w:firstLineChars="200"/>
      <w:textAlignment w:val="center"/>
    </w:pPr>
    <w:rPr>
      <w:rFonts w:ascii="宋体" w:hAnsi="宋体"/>
      <w:szCs w:val="28"/>
    </w:rPr>
  </w:style>
  <w:style w:type="character" w:customStyle="1" w:styleId="38">
    <w:name w:val="国网标准正文 Char"/>
    <w:link w:val="37"/>
    <w:semiHidden/>
    <w:qFormat/>
    <w:uiPriority w:val="0"/>
    <w:rPr>
      <w:rFonts w:ascii="宋体" w:hAnsi="宋体"/>
      <w:kern w:val="2"/>
      <w:sz w:val="21"/>
      <w:szCs w:val="28"/>
    </w:rPr>
  </w:style>
  <w:style w:type="paragraph" w:customStyle="1" w:styleId="39">
    <w:name w:val="国标3级"/>
    <w:basedOn w:val="1"/>
    <w:link w:val="40"/>
    <w:semiHidden/>
    <w:qFormat/>
    <w:uiPriority w:val="0"/>
    <w:pPr>
      <w:snapToGrid w:val="0"/>
      <w:spacing w:line="312" w:lineRule="exact"/>
    </w:pPr>
    <w:rPr>
      <w:rFonts w:ascii="宋体" w:hAnsi="宋体"/>
      <w:color w:val="000000"/>
    </w:rPr>
  </w:style>
  <w:style w:type="character" w:customStyle="1" w:styleId="40">
    <w:name w:val="国标3级 Char"/>
    <w:link w:val="39"/>
    <w:semiHidden/>
    <w:qFormat/>
    <w:uiPriority w:val="0"/>
    <w:rPr>
      <w:rFonts w:ascii="宋体" w:hAnsi="宋体"/>
      <w:color w:val="000000"/>
      <w:kern w:val="2"/>
      <w:sz w:val="21"/>
    </w:rPr>
  </w:style>
  <w:style w:type="paragraph" w:customStyle="1" w:styleId="41">
    <w:name w:val="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kern w:val="2"/>
      <w:sz w:val="21"/>
      <w:szCs w:val="24"/>
      <w:lang w:val="en-US" w:eastAsia="zh-CN" w:bidi="ar-SA"/>
    </w:rPr>
  </w:style>
  <w:style w:type="paragraph" w:styleId="43">
    <w:name w:val="List Paragraph"/>
    <w:basedOn w:val="1"/>
    <w:link w:val="48"/>
    <w:qFormat/>
    <w:uiPriority w:val="34"/>
    <w:pPr>
      <w:ind w:firstLine="420" w:firstLineChars="200"/>
    </w:pPr>
  </w:style>
  <w:style w:type="character" w:customStyle="1" w:styleId="44">
    <w:name w:val="纯文本 Char"/>
    <w:basedOn w:val="19"/>
    <w:link w:val="9"/>
    <w:qFormat/>
    <w:uiPriority w:val="0"/>
    <w:rPr>
      <w:rFonts w:ascii="宋体" w:hAnsi="Courier New"/>
      <w:kern w:val="2"/>
      <w:sz w:val="21"/>
    </w:rPr>
  </w:style>
  <w:style w:type="paragraph" w:customStyle="1" w:styleId="45">
    <w:name w:val="NERCIS-正文"/>
    <w:basedOn w:val="1"/>
    <w:link w:val="46"/>
    <w:qFormat/>
    <w:uiPriority w:val="0"/>
    <w:pPr>
      <w:spacing w:line="360" w:lineRule="auto"/>
      <w:ind w:firstLine="480" w:firstLineChars="200"/>
    </w:pPr>
    <w:rPr>
      <w:rFonts w:ascii="宋体" w:hAnsi="宋体"/>
      <w:kern w:val="0"/>
      <w:sz w:val="24"/>
    </w:rPr>
  </w:style>
  <w:style w:type="character" w:customStyle="1" w:styleId="46">
    <w:name w:val="NERCIS-正文 Char"/>
    <w:link w:val="45"/>
    <w:qFormat/>
    <w:uiPriority w:val="0"/>
    <w:rPr>
      <w:rFonts w:ascii="宋体" w:hAnsi="宋体"/>
      <w:sz w:val="24"/>
    </w:rPr>
  </w:style>
  <w:style w:type="character" w:customStyle="1" w:styleId="47">
    <w:name w:val="正文缩进 Char"/>
    <w:link w:val="5"/>
    <w:qFormat/>
    <w:locked/>
    <w:uiPriority w:val="0"/>
    <w:rPr>
      <w:kern w:val="2"/>
      <w:sz w:val="21"/>
      <w:szCs w:val="24"/>
    </w:rPr>
  </w:style>
  <w:style w:type="character" w:customStyle="1" w:styleId="48">
    <w:name w:val="列出段落 Char"/>
    <w:link w:val="43"/>
    <w:qFormat/>
    <w:uiPriority w:val="34"/>
    <w:rPr>
      <w:kern w:val="2"/>
      <w:sz w:val="21"/>
    </w:rPr>
  </w:style>
  <w:style w:type="paragraph" w:customStyle="1" w:styleId="49">
    <w:name w:val="正文正文"/>
    <w:basedOn w:val="1"/>
    <w:link w:val="50"/>
    <w:qFormat/>
    <w:uiPriority w:val="0"/>
    <w:pPr>
      <w:ind w:firstLine="480" w:firstLineChars="200"/>
      <w:jc w:val="left"/>
    </w:pPr>
    <w:rPr>
      <w:rFonts w:ascii="宋体"/>
      <w:position w:val="-6"/>
      <w:sz w:val="24"/>
      <w:szCs w:val="24"/>
    </w:rPr>
  </w:style>
  <w:style w:type="character" w:customStyle="1" w:styleId="50">
    <w:name w:val="正文正文 字符"/>
    <w:link w:val="49"/>
    <w:uiPriority w:val="0"/>
    <w:rPr>
      <w:rFonts w:ascii="宋体" w:hAnsi="Times New Roman" w:eastAsia="宋体" w:cs="Times New Roman"/>
      <w:kern w:val="2"/>
      <w:position w:val="-6"/>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Microsoft_Visio_2003-2010___1.vsd"/><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emf"/><Relationship Id="rId11" Type="http://schemas.openxmlformats.org/officeDocument/2006/relationships/oleObject" Target="embeddings/Microsoft_Visio_2003-2010___2.vsd"/><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33C14-76AB-4D20-93E8-1A19E2079690}">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27</Pages>
  <Words>1921</Words>
  <Characters>10952</Characters>
  <Lines>91</Lines>
  <Paragraphs>25</Paragraphs>
  <TotalTime>6</TotalTime>
  <ScaleCrop>false</ScaleCrop>
  <LinksUpToDate>false</LinksUpToDate>
  <CharactersWithSpaces>12848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2021-03-01T16:09:00Z</dcterms:created>
  <dc:creator>LYM</dc:creator>
  <cp:lastModifiedBy>whay</cp:lastModifiedBy>
  <cp:lastPrinted>2012-05-09T08:22:00Z</cp:lastPrinted>
  <dcterms:modified xsi:type="dcterms:W3CDTF">2021-03-16T03:31:43Z</dcterms:modified>
  <dc:title>合同编号：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8F4645CF61304B5693E7A459BAE4FE0E</vt:lpwstr>
  </property>
</Properties>
</file>