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right="482"/>
        <w:rPr>
          <w:rFonts w:hint="eastAsia" w:ascii="宋体" w:hAnsi="宋体"/>
          <w:sz w:val="72"/>
          <w:szCs w:val="72"/>
        </w:rPr>
      </w:pPr>
    </w:p>
    <w:p>
      <w:pPr>
        <w:spacing w:before="100" w:beforeAutospacing="1" w:line="360" w:lineRule="auto"/>
        <w:jc w:val="center"/>
        <w:rPr>
          <w:rFonts w:hint="eastAsia"/>
          <w:sz w:val="44"/>
          <w:szCs w:val="44"/>
        </w:rPr>
      </w:pPr>
      <w:r>
        <w:rPr>
          <w:rFonts w:hint="eastAsia" w:ascii="宋体" w:hAnsi="宋体"/>
          <w:sz w:val="44"/>
          <w:szCs w:val="44"/>
        </w:rPr>
        <w:t>《信息系统安全等级保护定级报告》</w:t>
      </w:r>
    </w:p>
    <w:p>
      <w:pPr>
        <w:spacing w:line="360" w:lineRule="auto"/>
        <w:rPr>
          <w:rFonts w:hint="eastAsia" w:ascii="黑体" w:eastAsia="黑体"/>
          <w:sz w:val="32"/>
          <w:szCs w:val="32"/>
        </w:rPr>
      </w:pPr>
      <w:bookmarkStart w:id="0" w:name="_Toc144109776"/>
      <w:bookmarkEnd w:id="0"/>
      <w:bookmarkStart w:id="1" w:name="_Toc118259388"/>
      <w:bookmarkStart w:id="2" w:name="_Toc144639195"/>
    </w:p>
    <w:p>
      <w:pPr>
        <w:spacing w:line="360" w:lineRule="auto"/>
        <w:rPr>
          <w:rFonts w:hint="eastAsia" w:ascii="黑体" w:eastAsia="黑体"/>
          <w:sz w:val="32"/>
          <w:szCs w:val="32"/>
        </w:rPr>
      </w:pPr>
      <w:r>
        <w:rPr>
          <w:rFonts w:hint="eastAsia" w:ascii="黑体" w:eastAsia="黑体"/>
          <w:sz w:val="32"/>
          <w:szCs w:val="32"/>
        </w:rPr>
        <w:t>一、XXX信息系统描述</w:t>
      </w:r>
    </w:p>
    <w:p>
      <w:pPr>
        <w:spacing w:line="360" w:lineRule="auto"/>
        <w:ind w:firstLine="640" w:firstLineChars="200"/>
        <w:rPr>
          <w:rFonts w:hint="eastAsia" w:ascii="仿宋_GB2312" w:eastAsia="仿宋_GB2312"/>
          <w:sz w:val="32"/>
          <w:szCs w:val="32"/>
        </w:rPr>
      </w:pPr>
      <w:r>
        <w:rPr>
          <w:rFonts w:hint="eastAsia" w:ascii="仿宋_GB2312" w:hAnsi="宋体" w:eastAsia="仿宋_GB2312"/>
          <w:sz w:val="32"/>
          <w:szCs w:val="32"/>
        </w:rPr>
        <w:t>简述确定该系统为定级对象的理由。</w:t>
      </w:r>
      <w:r>
        <w:rPr>
          <w:rFonts w:hint="eastAsia" w:ascii="仿宋_GB2312" w:eastAsia="仿宋_GB2312"/>
          <w:sz w:val="32"/>
          <w:szCs w:val="32"/>
        </w:rPr>
        <w:t>从三方面进行说明：一是描述承担信息系统安全责任的相关单位或部门，说明本单位或部门对信息系统具有信息安全保护责任，该信息系统为本单位或部门的定级对象；二是该定级对象是否具有信息系统的基本要素，描述基本要素、系统网络结构、系统边界和边界设备；三是该定级对象是否承载着单一或相对独立的业务，业务情况描述</w:t>
      </w:r>
      <w:bookmarkStart w:id="3" w:name="_Toc144639204"/>
      <w:r>
        <w:rPr>
          <w:rFonts w:hint="eastAsia" w:ascii="仿宋_GB2312" w:eastAsia="仿宋_GB2312"/>
          <w:sz w:val="32"/>
          <w:szCs w:val="32"/>
        </w:rPr>
        <w:t>。</w:t>
      </w:r>
    </w:p>
    <w:bookmarkEnd w:id="3"/>
    <w:p>
      <w:pPr>
        <w:spacing w:line="360" w:lineRule="auto"/>
        <w:rPr>
          <w:rFonts w:hint="eastAsia" w:ascii="黑体" w:eastAsia="黑体"/>
          <w:sz w:val="32"/>
          <w:szCs w:val="32"/>
        </w:rPr>
      </w:pPr>
      <w:r>
        <w:rPr>
          <w:rFonts w:hint="eastAsia" w:ascii="黑体" w:eastAsia="黑体"/>
          <w:sz w:val="32"/>
          <w:szCs w:val="32"/>
        </w:rPr>
        <w:t>二、XXX信息系统安全保护等级确定（定级方法参见国家标准《信息系统安全等级保护定级指南》）</w:t>
      </w:r>
    </w:p>
    <w:bookmarkEnd w:id="1"/>
    <w:bookmarkEnd w:id="2"/>
    <w:p>
      <w:pPr>
        <w:spacing w:line="360" w:lineRule="auto"/>
        <w:ind w:firstLine="640" w:firstLineChars="200"/>
        <w:rPr>
          <w:rFonts w:hint="eastAsia" w:ascii="宋体" w:hAnsi="宋体"/>
          <w:sz w:val="32"/>
          <w:szCs w:val="32"/>
        </w:rPr>
      </w:pPr>
      <w:r>
        <w:rPr>
          <w:rFonts w:hint="eastAsia" w:ascii="宋体" w:hAnsi="宋体"/>
          <w:sz w:val="32"/>
          <w:szCs w:val="32"/>
        </w:rPr>
        <w:t>（一）业务信息安全保护等级的确定</w:t>
      </w:r>
      <w:bookmarkStart w:id="4" w:name="_Toc144639206"/>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1、业务信息</w:t>
      </w:r>
      <w:bookmarkEnd w:id="4"/>
      <w:r>
        <w:rPr>
          <w:rFonts w:hint="eastAsia" w:ascii="仿宋_GB2312" w:eastAsia="仿宋_GB2312"/>
          <w:sz w:val="32"/>
          <w:szCs w:val="32"/>
        </w:rPr>
        <w:t>描述</w:t>
      </w:r>
    </w:p>
    <w:p>
      <w:pPr>
        <w:pStyle w:val="3"/>
        <w:spacing w:line="360" w:lineRule="auto"/>
        <w:ind w:firstLine="640" w:firstLineChars="200"/>
        <w:rPr>
          <w:rFonts w:hint="eastAsia" w:ascii="仿宋_GB2312" w:eastAsia="仿宋_GB2312"/>
          <w:sz w:val="32"/>
          <w:szCs w:val="32"/>
        </w:rPr>
      </w:pPr>
      <w:r>
        <w:rPr>
          <w:rFonts w:hint="eastAsia" w:ascii="仿宋_GB2312" w:eastAsia="仿宋_GB2312"/>
          <w:sz w:val="32"/>
          <w:szCs w:val="32"/>
        </w:rPr>
        <w:t>描述信息系统处理的主要业务信息等。</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2、业务信息受到破坏时所侵害客体的确定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说明信息受到破坏时侵害的客体是什么，即对三个客体（国家安全；社会秩序和公众利益；公民、法人和其他组织的合法权益）中的哪些客体造成侵害。</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3、信息受到破坏后对侵害客体的侵害程度的确定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说明信息受到破坏后，会对侵害客体造成什么程度的侵害，即说明是一般损害、严重损害还是特别严重损害。</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4、业务信息安全等级的确定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依据信息受到破坏时所侵害的客体以及侵害程度，确定业务信息安全等级。</w:t>
      </w:r>
    </w:p>
    <w:p>
      <w:pPr>
        <w:spacing w:line="360" w:lineRule="auto"/>
        <w:ind w:firstLine="640" w:firstLineChars="200"/>
        <w:rPr>
          <w:rFonts w:hint="eastAsia" w:ascii="宋体" w:hAnsi="宋体"/>
          <w:sz w:val="32"/>
          <w:szCs w:val="32"/>
        </w:rPr>
      </w:pPr>
      <w:r>
        <w:rPr>
          <w:rFonts w:hint="eastAsia" w:ascii="宋体" w:hAnsi="宋体"/>
          <w:sz w:val="32"/>
          <w:szCs w:val="32"/>
        </w:rPr>
        <w:t>（二）系统服务安全保护等级的确定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1、系统服务描述</w:t>
      </w:r>
    </w:p>
    <w:p>
      <w:pPr>
        <w:pStyle w:val="3"/>
        <w:spacing w:line="360" w:lineRule="auto"/>
        <w:ind w:firstLine="640" w:firstLineChars="200"/>
        <w:rPr>
          <w:rFonts w:hint="eastAsia" w:ascii="仿宋_GB2312" w:eastAsia="仿宋_GB2312"/>
          <w:sz w:val="32"/>
          <w:szCs w:val="32"/>
        </w:rPr>
      </w:pPr>
      <w:r>
        <w:rPr>
          <w:rFonts w:hint="eastAsia" w:ascii="仿宋_GB2312" w:eastAsia="仿宋_GB2312"/>
          <w:sz w:val="32"/>
          <w:szCs w:val="32"/>
        </w:rPr>
        <w:t>描述信息系统的服务范围、服务对象等。</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2、系统服务受到破坏时所侵害客体的确定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说明系统服务受到破坏时侵害的客体是什么，即对三个客体（国家安全；社会秩序和公众利益；公民、法人和其他组织的合法权益）中的哪些客体造成侵害。</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3、系统服务受到破坏后对侵害客体的侵害程度的确定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说明系统服务受到破坏后，会对侵害客体造成什么程度的侵害，即说明是一般损害、严重损害还是特别严重损害。</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4、系统服务安全等级的确定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依据系统服务受到破坏时所侵害的客体以及侵害程度确定系统服务安全等级。</w:t>
      </w:r>
    </w:p>
    <w:p>
      <w:pPr>
        <w:spacing w:line="360" w:lineRule="auto"/>
        <w:ind w:firstLine="640" w:firstLineChars="200"/>
        <w:rPr>
          <w:rFonts w:hint="eastAsia" w:ascii="宋体" w:hAnsi="宋体"/>
          <w:sz w:val="32"/>
          <w:szCs w:val="32"/>
        </w:rPr>
      </w:pPr>
      <w:r>
        <w:rPr>
          <w:rFonts w:hint="eastAsia" w:ascii="宋体" w:hAnsi="宋体"/>
          <w:sz w:val="32"/>
          <w:szCs w:val="32"/>
        </w:rPr>
        <w:t>（三）安全保护等级的确定</w:t>
      </w: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信息系统的安全保护等级由业务信息安全等级和系统服务安全等级较高者决定，最终确定XXX系统安全保护等级为第几级。</w:t>
      </w:r>
    </w:p>
    <w:tbl>
      <w:tblPr>
        <w:tblStyle w:val="5"/>
        <w:tblpPr w:leftFromText="180" w:rightFromText="180" w:vertAnchor="text" w:horzAnchor="margin" w:tblpXSpec="center" w:tblpY="318"/>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1710"/>
        <w:gridCol w:w="2420"/>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94" w:type="dxa"/>
            <w:shd w:val="clear" w:color="auto" w:fill="F3F3F3"/>
            <w:noWrap w:val="0"/>
            <w:vAlign w:val="center"/>
          </w:tcPr>
          <w:p>
            <w:pPr>
              <w:widowControl/>
              <w:tabs>
                <w:tab w:val="left" w:pos="60"/>
              </w:tabs>
              <w:snapToGrid w:val="0"/>
              <w:spacing w:before="156" w:beforeLines="50" w:line="360" w:lineRule="auto"/>
              <w:jc w:val="center"/>
              <w:rPr>
                <w:rFonts w:ascii="宋体" w:hAnsi="宋体"/>
                <w:sz w:val="24"/>
              </w:rPr>
            </w:pPr>
            <w:r>
              <w:rPr>
                <w:rFonts w:hint="eastAsia" w:ascii="宋体" w:hAnsi="宋体"/>
                <w:sz w:val="24"/>
              </w:rPr>
              <w:t>信息系统名称</w:t>
            </w:r>
          </w:p>
        </w:tc>
        <w:tc>
          <w:tcPr>
            <w:tcW w:w="1710" w:type="dxa"/>
            <w:shd w:val="clear" w:color="auto" w:fill="F3F3F3"/>
            <w:noWrap w:val="0"/>
            <w:vAlign w:val="center"/>
          </w:tcPr>
          <w:p>
            <w:pPr>
              <w:widowControl/>
              <w:tabs>
                <w:tab w:val="left" w:pos="60"/>
              </w:tabs>
              <w:snapToGrid w:val="0"/>
              <w:spacing w:before="156" w:beforeLines="50" w:line="360" w:lineRule="auto"/>
              <w:jc w:val="center"/>
              <w:rPr>
                <w:rFonts w:ascii="宋体" w:hAnsi="宋体"/>
                <w:sz w:val="24"/>
              </w:rPr>
            </w:pPr>
            <w:r>
              <w:rPr>
                <w:rFonts w:hint="eastAsia" w:ascii="宋体" w:hAnsi="宋体"/>
                <w:sz w:val="24"/>
              </w:rPr>
              <w:t>安全保护等级</w:t>
            </w:r>
          </w:p>
        </w:tc>
        <w:tc>
          <w:tcPr>
            <w:tcW w:w="2420" w:type="dxa"/>
            <w:shd w:val="clear" w:color="auto" w:fill="F3F3F3"/>
            <w:noWrap w:val="0"/>
            <w:vAlign w:val="center"/>
          </w:tcPr>
          <w:p>
            <w:pPr>
              <w:widowControl/>
              <w:tabs>
                <w:tab w:val="left" w:pos="60"/>
              </w:tabs>
              <w:snapToGrid w:val="0"/>
              <w:spacing w:before="156" w:beforeLines="50" w:line="360" w:lineRule="auto"/>
              <w:jc w:val="center"/>
              <w:rPr>
                <w:rFonts w:hint="eastAsia" w:ascii="宋体" w:hAnsi="宋体"/>
                <w:sz w:val="24"/>
              </w:rPr>
            </w:pPr>
            <w:r>
              <w:rPr>
                <w:rFonts w:hint="eastAsia" w:ascii="宋体" w:hAnsi="宋体" w:cs="Arial"/>
                <w:color w:val="000000"/>
                <w:sz w:val="24"/>
              </w:rPr>
              <w:t>业务信息安全等级</w:t>
            </w:r>
          </w:p>
        </w:tc>
        <w:tc>
          <w:tcPr>
            <w:tcW w:w="2420" w:type="dxa"/>
            <w:shd w:val="clear" w:color="auto" w:fill="F3F3F3"/>
            <w:noWrap w:val="0"/>
            <w:vAlign w:val="center"/>
          </w:tcPr>
          <w:p>
            <w:pPr>
              <w:widowControl/>
              <w:tabs>
                <w:tab w:val="left" w:pos="60"/>
              </w:tabs>
              <w:snapToGrid w:val="0"/>
              <w:spacing w:before="156" w:beforeLines="50" w:line="360" w:lineRule="auto"/>
              <w:jc w:val="center"/>
              <w:rPr>
                <w:rFonts w:ascii="Arial" w:hAnsi="Arial" w:cs="Arial"/>
                <w:sz w:val="24"/>
              </w:rPr>
            </w:pPr>
            <w:r>
              <w:rPr>
                <w:rFonts w:hint="eastAsia" w:ascii="Arial" w:hAnsi="Arial" w:cs="Arial"/>
                <w:sz w:val="24"/>
              </w:rPr>
              <w:t>系统服务安全等级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94" w:type="dxa"/>
            <w:noWrap w:val="0"/>
            <w:vAlign w:val="center"/>
          </w:tcPr>
          <w:p>
            <w:pPr>
              <w:widowControl/>
              <w:tabs>
                <w:tab w:val="left" w:pos="60"/>
              </w:tabs>
              <w:snapToGrid w:val="0"/>
              <w:spacing w:before="156" w:beforeLines="50" w:line="360" w:lineRule="auto"/>
              <w:jc w:val="center"/>
              <w:rPr>
                <w:rFonts w:ascii="宋体" w:hAnsi="宋体"/>
                <w:sz w:val="24"/>
              </w:rPr>
            </w:pPr>
            <w:r>
              <w:rPr>
                <w:rFonts w:hint="eastAsia" w:ascii="宋体" w:hAnsi="宋体"/>
                <w:sz w:val="24"/>
              </w:rPr>
              <w:t>XXX信息系统</w:t>
            </w:r>
          </w:p>
        </w:tc>
        <w:tc>
          <w:tcPr>
            <w:tcW w:w="1710" w:type="dxa"/>
            <w:noWrap w:val="0"/>
            <w:vAlign w:val="center"/>
          </w:tcPr>
          <w:p>
            <w:pPr>
              <w:spacing w:before="156" w:beforeLines="50" w:line="360" w:lineRule="auto"/>
              <w:jc w:val="center"/>
              <w:rPr>
                <w:sz w:val="24"/>
              </w:rPr>
            </w:pPr>
            <w:r>
              <w:rPr>
                <w:rFonts w:hint="eastAsia" w:ascii="宋体" w:hAnsi="宋体"/>
                <w:sz w:val="24"/>
              </w:rPr>
              <w:t>X</w:t>
            </w:r>
          </w:p>
        </w:tc>
        <w:tc>
          <w:tcPr>
            <w:tcW w:w="2420" w:type="dxa"/>
            <w:noWrap w:val="0"/>
            <w:vAlign w:val="top"/>
          </w:tcPr>
          <w:p>
            <w:pPr>
              <w:spacing w:before="156" w:beforeLines="50" w:line="360" w:lineRule="auto"/>
              <w:jc w:val="center"/>
              <w:rPr>
                <w:sz w:val="24"/>
              </w:rPr>
            </w:pPr>
            <w:r>
              <w:rPr>
                <w:rFonts w:hint="eastAsia" w:ascii="宋体" w:hAnsi="宋体"/>
                <w:sz w:val="24"/>
              </w:rPr>
              <w:t>X</w:t>
            </w:r>
          </w:p>
        </w:tc>
        <w:tc>
          <w:tcPr>
            <w:tcW w:w="2420" w:type="dxa"/>
            <w:noWrap w:val="0"/>
            <w:vAlign w:val="top"/>
          </w:tcPr>
          <w:p>
            <w:pPr>
              <w:spacing w:before="156" w:beforeLines="50" w:line="360" w:lineRule="auto"/>
              <w:jc w:val="center"/>
              <w:rPr>
                <w:sz w:val="24"/>
              </w:rPr>
            </w:pPr>
            <w:r>
              <w:rPr>
                <w:rFonts w:hint="eastAsia" w:ascii="宋体" w:hAnsi="宋体"/>
                <w:sz w:val="24"/>
              </w:rPr>
              <w:t>X</w:t>
            </w:r>
          </w:p>
        </w:tc>
      </w:tr>
    </w:tbl>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B1933"/>
    <w:rsid w:val="53956BBF"/>
    <w:rsid w:val="65DB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rPr>
      <w:rFonts w:eastAsia="仿宋_GB2312"/>
      <w:sz w:val="32"/>
    </w:rPr>
  </w:style>
  <w:style w:type="paragraph" w:styleId="3">
    <w:name w:val="Body Text First Indent"/>
    <w:basedOn w:val="2"/>
    <w:qFormat/>
    <w:uiPriority w:val="0"/>
    <w:pPr>
      <w:spacing w:after="120"/>
      <w:ind w:firstLine="420" w:firstLineChars="100"/>
    </w:pPr>
    <w:rPr>
      <w:rFonts w:eastAsia="宋体"/>
      <w:sz w:val="21"/>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2021-03-09T06:49:00Z</dcterms:created>
  <dc:creator>孤独烟火</dc:creator>
  <cp:lastModifiedBy>孤独烟火</cp:lastModifiedBy>
  <dcterms:modified xsi:type="dcterms:W3CDTF">2021-03-09T07:16:04Z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