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sz w:val="21"/>
        </w:rPr>
        <w:t>Do Electrothermal Models Transport Across PMSMs? A Protocol-Frozen Benchmark of Source Priors, Five-Minute Calibration, and Support-Aware Uncertainty</w:t>
      </w:r>
    </w:p>
    <w:p>
      <w:pPr>
        <w:spacing w:after="240"/>
        <w:jc w:val="center"/>
      </w:pPr>
      <w:r>
        <w:rPr>
          <w:rFonts w:ascii="Times New Roman" w:hAnsi="Times New Roman" w:eastAsia="Times New Roman"/>
          <w:i/>
          <w:color w:val="505050"/>
          <w:sz w:val="19"/>
        </w:rPr>
        <w:t>Anonymous review manuscript | author details withheld</w:t>
      </w:r>
    </w:p>
    <w:p>
      <w:r>
        <w:rPr>
          <w:rFonts w:ascii="Times New Roman" w:hAnsi="Times New Roman" w:eastAsia="Times New Roman"/>
          <w:b/>
          <w:sz w:val="21"/>
        </w:rPr>
        <w:t>Evidence status.</w:t>
      </w:r>
      <w:r>
        <w:rPr>
          <w:rFonts w:ascii="Times New Roman" w:hAnsi="Times New Roman" w:eastAsia="Times New Roman"/>
          <w:sz w:val="21"/>
        </w:rPr>
        <w:t xml:space="preserve"> Complete development manuscript, 2026-08-21. The data contract, complete-profile splits, methods, hyperparameter grids, commissioning budgets, rollout horizons, support rule, trajectory-band construction, endpoints, and pass/fail gates were frozen before source-test or external-machine prediction errors were computed. Post-reveal analyses are labelled as diagnostics and do not replace the all-profile primary results.</w:t>
      </w:r>
    </w:p>
    <w:p>
      <w:pPr>
        <w:pStyle w:val="Heading1"/>
      </w:pPr>
      <w:r>
        <w:rPr>
          <w:rFonts w:ascii="Times New Roman" w:hAnsi="Times New Roman" w:eastAsia="Times New Roman"/>
          <w:sz w:val="21"/>
        </w:rPr>
        <w:t>Abstract</w:t>
      </w:r>
    </w:p>
    <w:p>
      <w:r>
        <w:rPr>
          <w:rFonts w:ascii="Times New Roman" w:hAnsi="Times New Roman" w:eastAsia="Times New Roman"/>
          <w:sz w:val="21"/>
        </w:rPr>
        <w:t>Thermal models of permanent-magnet synchronous motors (PMSMs) are commonly validated on held-out operating profiles from the same physical machine. Whether their dynamics, source priors, and uncertainty estimates transport to a second machine is less often tested under a target-label budget fixed before external outcomes are known. We harmonized two public PMSM datasets into winding, stator-core, and rotor temperature states and froze a complete-profile benchmark before evaluating the locked test sets. The source comprised 69 profiles from one 52 kW PMSM; the external set comprised 16 profiles from a second interior PMSM. Eight target-blind or five-minute commissioning methods were compared through 20-minute recursive rollouts. A nonnegative raw-unit thermal network achieved 1.87 °C profile-macro RMSE on 14 source-test profiles but 24.49 °C externally, a 13.12-fold degradation; its source-calibrated joint trajectory band covered only 1/16 external profiles. Source-prior prefix calibration reduced external RMSE relative to the frozen normalized source network (21.98 to 13.61 °C; paired improvement interval lower bound 0.13 °C), yet failed the source adaptation gate, was worse overall than target-only five-minute fitting (6.02 °C) and boundary persistence (6.17 °C), and activated the numerical temperature guard 999 times on one external profile. A predeclared exogenous-support rule accepted 6/16 external profiles. Within that secondary subset, source-prior calibration achieved 3.19 °C versus 4.57 °C for target-only fitting, but its 62.5% abstention rate prevents a broad deployment claim. Source-prior bands reached 15/16 external joint coverage only with a mean half-width of 106.07 °C. With 15 minutes of target labels, target-only fitting reached 2.07 °C external RMSE on a common 10-minute horizon without guard activation. These results show that within-machine accuracy, cross-machine transport, numerical reliability, support, and useful uncertainty are distinct requirements. For the two machines studied, target-only commissioning was safer than assuming that a source electrothermal prior would help everywhere.</w:t>
      </w:r>
    </w:p>
    <w:p>
      <w:r>
        <w:rPr>
          <w:rFonts w:ascii="Times New Roman" w:hAnsi="Times New Roman" w:eastAsia="Times New Roman"/>
          <w:b/>
          <w:sz w:val="21"/>
        </w:rPr>
        <w:t>Keywords:</w:t>
      </w:r>
      <w:r>
        <w:rPr>
          <w:rFonts w:ascii="Times New Roman" w:hAnsi="Times New Roman" w:eastAsia="Times New Roman"/>
          <w:sz w:val="21"/>
        </w:rPr>
        <w:t xml:space="preserve"> permanent-magnet synchronous motor; temperature estimation; electrothermal model; negative transfer; digital twin commissioning; uncertainty quantification; dataset shift</w:t>
      </w:r>
    </w:p>
    <w:p>
      <w:pPr>
        <w:pStyle w:val="Heading1"/>
      </w:pPr>
      <w:r>
        <w:rPr>
          <w:rFonts w:ascii="Times New Roman" w:hAnsi="Times New Roman" w:eastAsia="Times New Roman"/>
          <w:sz w:val="21"/>
        </w:rPr>
        <w:t>1. Introduction</w:t>
      </w:r>
    </w:p>
    <w:p>
      <w:r>
        <w:rPr>
          <w:rFonts w:ascii="Times New Roman" w:hAnsi="Times New Roman" w:eastAsia="Times New Roman"/>
          <w:sz w:val="21"/>
        </w:rPr>
        <w:t>Permanent-magnet synchronous motors combine high power density and efficiency with thermal limits that are difficult to observe directly. Winding temperature affects insulation life, stator-core temperature reflects distributed losses and cooling, and rotor or magnet temperature affects both demagnetization risk and torque production. Embedded sensors are costly or unavailable at critical rotating locations, so real-time estimators are used to reconstruct internal temperatures from electrical, mechanical, coolant, and ambient measurements.</w:t>
      </w:r>
    </w:p>
    <w:p>
      <w:r>
        <w:rPr>
          <w:rFonts w:ascii="Times New Roman" w:hAnsi="Times New Roman" w:eastAsia="Times New Roman"/>
          <w:sz w:val="21"/>
        </w:rPr>
        <w:t>The literature spans lumped-parameter thermal networks (LPTNs), black-box regressors, recurrent networks, and hybrid physics-learning models. Deep residual estimation demonstrated the value of data-driven temporal structure [1], while thermal neural networks made the LPTN state-space structure trainable from data [2]. Later work incorporated LPTN priors into recurrent networks for multinode estimation [3], combined multiphysics priors with operator learning [4], and explored dynamic topology and hot-spot forecasting [5]. These methods make within-system temperature estimation increasingly accurate.</w:t>
      </w:r>
    </w:p>
    <w:p>
      <w:r>
        <w:rPr>
          <w:rFonts w:ascii="Times New Roman" w:hAnsi="Times New Roman" w:eastAsia="Times New Roman"/>
          <w:sz w:val="21"/>
        </w:rPr>
        <w:t>Deployment, however, introduces a different question. A source model can be accurate on new duty cycles of the motor that generated its training data while failing on a second motor with different power, cooling, sensor locations, controller scaling, and excitation. Transferable networks, incremental learning, and adaptive digital twins have begun to address this problem [6, 7, 8]. Yet a favorable result can depend strongly on how target labels are allocated, whether adjacent time samples leak across splits, and whether unsupported target conditions or numerically unstable trajectories are silently removed. Negative transfer is not a rare theoretical corner case: source information can increase target risk when the source-target relationship is misspecified [9, 10].</w:t>
      </w:r>
    </w:p>
    <w:p>
      <w:r>
        <w:rPr>
          <w:rFonts w:ascii="Times New Roman" w:hAnsi="Times New Roman" w:eastAsia="Times New Roman"/>
          <w:sz w:val="21"/>
        </w:rPr>
        <w:t>Thermal time series amplify these evaluation risks. Thousands of seconds from one drive profile are dependent observations, not thousands of independent machines. Random sample splits can reward interpolation within a trajectory instead of generalization to a new operating profile. Hierarchy- and time-aware validation is therefore required [11, 12]. Closed-loop evaluation is also essential: using the measured temperature at every prediction step evaluates one-step correction, whereas an online thermal state estimator must survive error accumulation once target labels disappear.</w:t>
      </w:r>
    </w:p>
    <w:p>
      <w:r>
        <w:rPr>
          <w:rFonts w:ascii="Times New Roman" w:hAnsi="Times New Roman" w:eastAsia="Times New Roman"/>
          <w:sz w:val="21"/>
        </w:rPr>
        <w:t>Uncertainty and deployment support create two additional layers. Split conformal methods can turn complete-profile maximum errors into trajectory bands under an exchangeability assumption [13, 14]. That assumption is plausible only within a carefully defined population and does not automatically survive a physical-machine shift; covariate-shift conformal methods require additional structure or weighting information [15]. Furthermore, coverage alone is inadequate: a band can cover nearly everything by becoming too wide to support a thermal limit decision. Likewise, rejecting an unsupported profile may prevent a dangerous prediction but can leave most intended deployments unserved.</w:t>
      </w:r>
    </w:p>
    <w:p>
      <w:r>
        <w:rPr>
          <w:rFonts w:ascii="Times New Roman" w:hAnsi="Times New Roman" w:eastAsia="Times New Roman"/>
          <w:sz w:val="21"/>
        </w:rPr>
        <w:t xml:space="preserve">This study asks: </w:t>
      </w:r>
      <w:r>
        <w:rPr>
          <w:rFonts w:ascii="Times New Roman" w:hAnsi="Times New Roman" w:eastAsia="Times New Roman"/>
          <w:b/>
          <w:sz w:val="21"/>
        </w:rPr>
        <w:t>Do a low-order electrothermal model, a five-minute source-prior calibration, and source-calibrated trajectory uncertainty transport from one recorded PMSM to a second?</w:t>
      </w:r>
      <w:r>
        <w:rPr>
          <w:rFonts w:ascii="Times New Roman" w:hAnsi="Times New Roman" w:eastAsia="Times New Roman"/>
          <w:sz w:val="21"/>
        </w:rPr>
        <w:t xml:space="preserve"> The aim is not a new neural architecture. It is an auditable transport benchmark with a deliberately frozen decision structure. Four contributions follow.</w:t>
      </w:r>
    </w:p>
    <w:p>
      <w:pPr>
        <w:spacing w:after="80" w:line="290" w:lineRule="auto"/>
        <w:ind w:left="540" w:hanging="279"/>
      </w:pPr>
      <w:r>
        <w:rPr>
          <w:rFonts w:ascii="Times New Roman" w:hAnsi="Times New Roman" w:eastAsia="Times New Roman"/>
          <w:sz w:val="21"/>
        </w:rPr>
        <w:t xml:space="preserve">1. </w:t>
      </w:r>
      <w:r>
        <w:rPr>
          <w:rFonts w:ascii="Times New Roman" w:hAnsi="Times New Roman" w:eastAsia="Times New Roman"/>
          <w:sz w:val="21"/>
        </w:rPr>
        <w:t>Two public, physically distinct PMSMs are harmonized into a documented three-node contract while preserving semantic differences and blocking published target-model estimates from the primary pipeline.</w:t>
      </w:r>
    </w:p>
    <w:p>
      <w:pPr>
        <w:spacing w:after="80" w:line="290" w:lineRule="auto"/>
        <w:ind w:left="540" w:hanging="279"/>
      </w:pPr>
      <w:r>
        <w:rPr>
          <w:rFonts w:ascii="Times New Roman" w:hAnsi="Times New Roman" w:eastAsia="Times New Roman"/>
          <w:sz w:val="21"/>
        </w:rPr>
        <w:t xml:space="preserve">2. </w:t>
      </w:r>
      <w:r>
        <w:rPr>
          <w:rFonts w:ascii="Times New Roman" w:hAnsi="Times New Roman" w:eastAsia="Times New Roman"/>
          <w:sz w:val="21"/>
        </w:rPr>
        <w:t>Eight methods are compared under identical complete-profile splits and recursive rollouts, including raw and normalized source thermal networks, target-only prefix fitting, source-prior prefix calibration, persistence controls, linear ARX, and a nonlinear residual comparator.</w:t>
      </w:r>
    </w:p>
    <w:p>
      <w:pPr>
        <w:spacing w:after="80" w:line="290" w:lineRule="auto"/>
        <w:ind w:left="540" w:hanging="279"/>
      </w:pPr>
      <w:r>
        <w:rPr>
          <w:rFonts w:ascii="Times New Roman" w:hAnsi="Times New Roman" w:eastAsia="Times New Roman"/>
          <w:sz w:val="21"/>
        </w:rPr>
        <w:t xml:space="preserve">3. </w:t>
      </w:r>
      <w:r>
        <w:rPr>
          <w:rFonts w:ascii="Times New Roman" w:hAnsi="Times New Roman" w:eastAsia="Times New Roman"/>
          <w:sz w:val="21"/>
        </w:rPr>
        <w:t>Model selection, five-minute target-label access, support, uncertainty, numerical guards, and pass/fail gates are fixed before the 14 source-test and 16 external profiles are revealed.</w:t>
      </w:r>
    </w:p>
    <w:p>
      <w:pPr>
        <w:spacing w:after="80" w:line="290" w:lineRule="auto"/>
        <w:ind w:left="540" w:hanging="279"/>
      </w:pPr>
      <w:r>
        <w:rPr>
          <w:rFonts w:ascii="Times New Roman" w:hAnsi="Times New Roman" w:eastAsia="Times New Roman"/>
          <w:sz w:val="21"/>
        </w:rPr>
        <w:t xml:space="preserve">4. </w:t>
      </w:r>
      <w:r>
        <w:rPr>
          <w:rFonts w:ascii="Times New Roman" w:hAnsi="Times New Roman" w:eastAsia="Times New Roman"/>
          <w:sz w:val="21"/>
        </w:rPr>
        <w:t>Negative results remain primary: direct transfer, adaptation, uncertainty width, and abstention are reported together so that a conditional success cannot conceal an all-profile failure.</w:t>
      </w:r>
    </w:p>
    <w:p>
      <w:r>
        <w:rPr>
          <w:rFonts w:ascii="Times New Roman" w:hAnsi="Times New Roman" w:eastAsia="Times New Roman"/>
          <w:sz w:val="21"/>
        </w:rPr>
        <w:t>The main finding is asymmetric. The source model is excellent within its own machine but transports poorly. A source prior can help in a narrow, predeclared external support region, yet target-only commissioning is more reliable overall. This shifts the engineering question from “Which source architecture has the lowest held-out error?” to “When should a deployed estimator trust, adapt, or abstain from its source prior?”</w:t>
      </w:r>
    </w:p>
    <w:p>
      <w:pPr>
        <w:pStyle w:val="Heading1"/>
      </w:pPr>
      <w:r>
        <w:rPr>
          <w:rFonts w:ascii="Times New Roman" w:hAnsi="Times New Roman" w:eastAsia="Times New Roman"/>
          <w:sz w:val="21"/>
        </w:rPr>
        <w:t>2. Related work and contribution boundary</w:t>
      </w:r>
    </w:p>
    <w:p>
      <w:pPr>
        <w:pStyle w:val="Heading2"/>
      </w:pPr>
      <w:r>
        <w:rPr>
          <w:rFonts w:ascii="Times New Roman" w:hAnsi="Times New Roman" w:eastAsia="Times New Roman"/>
          <w:sz w:val="21"/>
        </w:rPr>
        <w:t>2.1 Physics-guided motor-temperature estimation</w:t>
      </w:r>
    </w:p>
    <w:p>
      <w:r>
        <w:rPr>
          <w:rFonts w:ascii="Times New Roman" w:hAnsi="Times New Roman" w:eastAsia="Times New Roman"/>
          <w:sz w:val="21"/>
        </w:rPr>
        <w:t>Classical LPTNs express heat storage and transfer through coupled first-order states. They are compact and interpretable but require topology and parameter choices that may not be identifiable from limited drive data. Purely learned estimators avoid explicit thermal circuits but can exploit spurious operating correlations. Physics-guided models occupy the middle ground: they retain state-space evolution or sign constraints while learning effective couplings and loss mappings. Thermal neural networks are a prominent example [2], and LPTN-informed recurrent learning extends this idea to multinode estimation [3].</w:t>
      </w:r>
    </w:p>
    <w:p>
      <w:r>
        <w:rPr>
          <w:rFonts w:ascii="Times New Roman" w:hAnsi="Times New Roman" w:eastAsia="Times New Roman"/>
          <w:sz w:val="21"/>
        </w:rPr>
        <w:t>The present positive thermal network belongs to this broad grey-box family. Its coefficients are effective, nonnegative heat-transfer and heat-source terms. They are not claimed to be unique physical resistances or capacitances. The paper therefore does not claim architectural novelty, first use of physics guidance, or state-of-the-art within-machine RMSE. The benchmark instead uses a transparent low-order model because its source parameters can be explicitly retained, discarded, or regularized during target commissioning.</w:t>
      </w:r>
    </w:p>
    <w:p>
      <w:pPr>
        <w:pStyle w:val="Heading2"/>
      </w:pPr>
      <w:r>
        <w:rPr>
          <w:rFonts w:ascii="Times New Roman" w:hAnsi="Times New Roman" w:eastAsia="Times New Roman"/>
          <w:sz w:val="21"/>
        </w:rPr>
        <w:t>2.2 Transfer, adaptation, and digital-twin commissioning</w:t>
      </w:r>
    </w:p>
    <w:p>
      <w:r>
        <w:rPr>
          <w:rFonts w:ascii="Times New Roman" w:hAnsi="Times New Roman" w:eastAsia="Times New Roman"/>
          <w:sz w:val="21"/>
        </w:rPr>
        <w:t>Transferable permanent-magnet temperature estimation has been studied with data augmentation and domain adaptation [6]. Incremental deep learning updates a rotor temperature estimator during operation [7], while recent adaptive digital-twin work combines Bayesian self-calibration and hierarchical physics-aware learning [8]. These studies establish that cross-domain adaptation is an active area; they also make a “first adaptive estimator” claim untenable here.</w:t>
      </w:r>
    </w:p>
    <w:p>
      <w:r>
        <w:rPr>
          <w:rFonts w:ascii="Times New Roman" w:hAnsi="Times New Roman" w:eastAsia="Times New Roman"/>
          <w:sz w:val="21"/>
        </w:rPr>
        <w:t>Our narrower gap concerns protocol and decision accounting. We distinguish four deployment objects: the frozen source dynamics, the target prefix used for commissioning, the exogenous support region, and trajectory uncertainty. We compare source-prior and target-only fitting with the same model class and labels. This isolates whether source information helps beyond the target prefix rather than conflating transfer with a change in architecture. Every external profile remains in the primary endpoint, including unsupported profiles and guarded rollouts.</w:t>
      </w:r>
    </w:p>
    <w:p>
      <w:pPr>
        <w:pStyle w:val="Heading2"/>
      </w:pPr>
      <w:r>
        <w:rPr>
          <w:rFonts w:ascii="Times New Roman" w:hAnsi="Times New Roman" w:eastAsia="Times New Roman"/>
          <w:sz w:val="21"/>
        </w:rPr>
        <w:t>2.3 Complete-profile evaluation and trajectory uncertainty</w:t>
      </w:r>
    </w:p>
    <w:p>
      <w:r>
        <w:rPr>
          <w:rFonts w:ascii="Times New Roman" w:hAnsi="Times New Roman" w:eastAsia="Times New Roman"/>
          <w:sz w:val="21"/>
        </w:rPr>
        <w:t>The experimental unit is a complete operating profile. This choice follows general warnings about pseudoreplication [11] and structured cross-validation [12]. Profile-macro error gives each duty cycle equal weight regardless of duration. Paired bootstrap intervals resample complete profiles, preserving within-profile temporal dependence. Because each dataset contains only one physical motor, these intervals quantify condition-to-condition variability for the recorded machines; they are not fleet-population intervals.</w:t>
      </w:r>
    </w:p>
    <w:p>
      <w:r>
        <w:rPr>
          <w:rFonts w:ascii="Times New Roman" w:hAnsi="Times New Roman" w:eastAsia="Times New Roman"/>
          <w:sz w:val="21"/>
        </w:rPr>
        <w:t>For uncertainty, a single maximum absolute error per validation profile and node calibrates a constant-width band over the entire recursive trajectory. This construction is related to functional conformal bands [14, 16] and engineering surrogate uncertainty [17, 18, 19, 20]. With 11 calibration profiles and nominal coverage 0.90, the required finite-sample rank is 11, so the band uses the maximum validation-profile score. The ordinary within-machine interpretation still depends on profile exchangeability. External application is a stress test, not a distribution-free cross-machine guarantee.</w:t>
      </w:r>
    </w:p>
    <w:p>
      <w:pPr>
        <w:pStyle w:val="Heading1"/>
      </w:pPr>
      <w:r>
        <w:rPr>
          <w:rFonts w:ascii="Times New Roman" w:hAnsi="Times New Roman" w:eastAsia="Times New Roman"/>
          <w:sz w:val="21"/>
        </w:rPr>
        <w:t>3. Materials and methods</w:t>
      </w:r>
    </w:p>
    <w:p>
      <w:pPr>
        <w:pStyle w:val="Heading2"/>
      </w:pPr>
      <w:r>
        <w:rPr>
          <w:rFonts w:ascii="Times New Roman" w:hAnsi="Times New Roman" w:eastAsia="Times New Roman"/>
          <w:sz w:val="21"/>
        </w:rPr>
        <w:t>3.1 Datasets, audits, and analysis units</w:t>
      </w:r>
    </w:p>
    <w:p>
      <w:r>
        <w:rPr>
          <w:rFonts w:ascii="Times New Roman" w:hAnsi="Times New Roman" w:eastAsia="Times New Roman"/>
          <w:sz w:val="21"/>
        </w:rPr>
        <w:t xml:space="preserve">The source dataset is the public Electric Motor Temperature dataset [21], used in the thermal-neural-network study [2]. It contains 1,330,816 rows from 69 operating profiles of one 52 kW PMSM, sampled at 2 Hz for 184.836 h. The raw file SHA-256 is </w:t>
      </w:r>
      <w:r>
        <w:rPr>
          <w:rFonts w:ascii="Courier New" w:hAnsi="Courier New" w:eastAsia="Courier New"/>
          <w:sz w:val="18"/>
        </w:rPr>
        <w:t>78f3d150f0f2ad9c5dc7ff24dd12c00d386ad530f48c1589ad24fcd88867d3ad</w:t>
      </w:r>
      <w:r>
        <w:rPr>
          <w:rFonts w:ascii="Times New Roman" w:hAnsi="Times New Roman" w:eastAsia="Times New Roman"/>
          <w:sz w:val="21"/>
        </w:rPr>
        <w:t>.</w:t>
      </w:r>
    </w:p>
    <w:p>
      <w:r>
        <w:rPr>
          <w:rFonts w:ascii="Times New Roman" w:hAnsi="Times New Roman" w:eastAsia="Times New Roman"/>
          <w:sz w:val="21"/>
        </w:rPr>
        <w:t xml:space="preserve">The external dataset accompanies the LPTN-informed LSTM study [3]. Sixteen raw profile files contain 97,725 rows from a second interior PMSM at the published one-second update step. The frozen repository commit is </w:t>
      </w:r>
      <w:r>
        <w:rPr>
          <w:rFonts w:ascii="Courier New" w:hAnsi="Courier New" w:eastAsia="Courier New"/>
          <w:sz w:val="18"/>
        </w:rPr>
        <w:t>98e4566b5fb7c70499996fda18dd73179ec16509</w:t>
      </w:r>
      <w:r>
        <w:rPr>
          <w:rFonts w:ascii="Times New Roman" w:hAnsi="Times New Roman" w:eastAsia="Times New Roman"/>
          <w:sz w:val="21"/>
        </w:rPr>
        <w:t xml:space="preserve">. The files imply 27.146 h at 1 Hz, although the repository README states 23.8 h; both values are disclosed and all calculations use the auditable row count and code-defined step. The aggregate file contains three published target-specific estimates. </w:t>
      </w:r>
      <w:r>
        <w:rPr>
          <w:rFonts w:ascii="Courier New" w:hAnsi="Courier New" w:eastAsia="Courier New"/>
          <w:sz w:val="18"/>
        </w:rPr>
        <w:t>active_wind_est</w:t>
      </w:r>
      <w:r>
        <w:rPr>
          <w:rFonts w:ascii="Times New Roman" w:hAnsi="Times New Roman" w:eastAsia="Times New Roman"/>
          <w:sz w:val="21"/>
        </w:rPr>
        <w:t xml:space="preserve">, </w:t>
      </w:r>
      <w:r>
        <w:rPr>
          <w:rFonts w:ascii="Courier New" w:hAnsi="Courier New" w:eastAsia="Courier New"/>
          <w:sz w:val="18"/>
        </w:rPr>
        <w:t>stator_est</w:t>
      </w:r>
      <w:r>
        <w:rPr>
          <w:rFonts w:ascii="Times New Roman" w:hAnsi="Times New Roman" w:eastAsia="Times New Roman"/>
          <w:sz w:val="21"/>
        </w:rPr>
        <w:t xml:space="preserve">, and </w:t>
      </w:r>
      <w:r>
        <w:rPr>
          <w:rFonts w:ascii="Courier New" w:hAnsi="Courier New" w:eastAsia="Courier New"/>
          <w:sz w:val="18"/>
        </w:rPr>
        <w:t>rotor_est</w:t>
      </w:r>
      <w:r>
        <w:rPr>
          <w:rFonts w:ascii="Times New Roman" w:hAnsi="Times New Roman" w:eastAsia="Times New Roman"/>
          <w:sz w:val="21"/>
        </w:rPr>
        <w:t xml:space="preserve"> were blocked from preprocessing, model fitting, tuning, support scoring, and primary evaluation. They were used only after the frozen run as a clearly labelled contextual oracle.</w:t>
      </w:r>
    </w:p>
    <w:p>
      <w:r>
        <w:rPr>
          <w:rFonts w:ascii="Times New Roman" w:hAnsi="Times New Roman" w:eastAsia="Times New Roman"/>
          <w:sz w:val="21"/>
        </w:rPr>
        <w:t>All required variables were finite, exact duplicate rows were absent, and every profile occupied a single contiguous block. Source profiles ranged from 18.13 to 366.43 min; external profiles ranged from 25.60 to 220.60 min. Thus, every locked profile supported a five-minute prefix followed by the common 20-minute primary rollout. One complete profile is the statistical unit. No inference treats seconds as independent replicates.</w:t>
      </w:r>
    </w:p>
    <w:p>
      <w:pPr>
        <w:pStyle w:val="Heading2"/>
      </w:pPr>
      <w:r>
        <w:rPr>
          <w:rFonts w:ascii="Times New Roman" w:hAnsi="Times New Roman" w:eastAsia="Times New Roman"/>
          <w:sz w:val="21"/>
        </w:rPr>
        <w:t>3.2 Three-node semantic bridge and resampling</w:t>
      </w:r>
    </w:p>
    <w:p>
      <w:r>
        <w:rPr>
          <w:rFonts w:ascii="Times New Roman" w:hAnsi="Times New Roman" w:eastAsia="Times New Roman"/>
          <w:sz w:val="21"/>
        </w:rPr>
        <w:t>Table 1 defines the harmonized state. Winding is direct in the source and the mean of two active- winding sensors externally. Stator core is the mean of tooth and yoke temperatures in the source and of slot-bottom and outer-yoke temperatures externally. The source permanent-magnet temperature is mapped to the external rotor measurement. The latter is a semantic proxy, not an assertion of identical sensor placement.</w:t>
      </w:r>
    </w:p>
    <w:p>
      <w:pPr>
        <w:pStyle w:val="PaperCaption"/>
      </w:pPr>
      <w:r>
        <w:rPr>
          <w:rFonts w:ascii="Times New Roman" w:hAnsi="Times New Roman" w:eastAsia="Times New Roman"/>
          <w:b/>
          <w:sz w:val="21"/>
        </w:rPr>
        <w:t>Table 1. Harmonized variables and non-equivalence boundaries.</w:t>
      </w:r>
    </w:p>
    <w:tbl>
      <w:tblPr>
        <w:tblStyle w:val="TableGrid"/>
        <w:tblW w:type="dxa" w:w="9360"/>
        <w:jc w:val="left"/>
        <w:tblLook w:firstColumn="1" w:firstRow="1" w:lastColumn="0" w:lastRow="0" w:noHBand="0" w:noVBand="1" w:val="04A0"/>
        <w:tblLayout w:type="fixed"/>
        <w:tblInd w:w="120" w:type="dxa"/>
      </w:tblPr>
      <w:tblGrid>
        <w:gridCol w:w="1989"/>
        <w:gridCol w:w="2406"/>
        <w:gridCol w:w="2432"/>
        <w:gridCol w:w="2533"/>
      </w:tblGrid>
      <w:tr>
        <w:trPr>
          <w:tblHeader w:val="true"/>
        </w:trPr>
        <w:tc>
          <w:tcPr>
            <w:tcW w:type="dxa" w:w="1989"/>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Quantity</w:t>
            </w:r>
          </w:p>
        </w:tc>
        <w:tc>
          <w:tcPr>
            <w:tcW w:type="dxa" w:w="2406"/>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52 kW source PMSM</w:t>
            </w:r>
          </w:p>
        </w:tc>
        <w:tc>
          <w:tcPr>
            <w:tcW w:type="dxa" w:w="2432"/>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External IPMSM</w:t>
            </w:r>
          </w:p>
        </w:tc>
        <w:tc>
          <w:tcPr>
            <w:tcW w:type="dxa" w:w="2533"/>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Treatment</w:t>
            </w:r>
          </w:p>
        </w:tc>
      </w:tr>
      <w:tr>
        <w:tc>
          <w:tcPr>
            <w:tcW w:type="dxa" w:w="1989"/>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Winding state</w:t>
            </w:r>
          </w:p>
        </w:tc>
        <w:tc>
          <w:tcPr>
            <w:tcW w:type="dxa" w:w="24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stator_winding</w:t>
            </w:r>
          </w:p>
        </w:tc>
        <w:tc>
          <w:tcPr>
            <w:tcW w:type="dxa" w:w="24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mean(activewind_1, activewind_2)</w:t>
            </w:r>
          </w:p>
        </w:tc>
        <w:tc>
          <w:tcPr>
            <w:tcW w:type="dxa" w:w="253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Common winding node</w:t>
            </w:r>
          </w:p>
        </w:tc>
      </w:tr>
      <w:tr>
        <w:tc>
          <w:tcPr>
            <w:tcW w:type="dxa" w:w="1989"/>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Stator-core state</w:t>
            </w:r>
          </w:p>
        </w:tc>
        <w:tc>
          <w:tcPr>
            <w:tcW w:type="dxa" w:w="24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mean(stator_tooth, stator_yoke)</w:t>
            </w:r>
          </w:p>
        </w:tc>
        <w:tc>
          <w:tcPr>
            <w:tcW w:type="dxa" w:w="24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mean(slotbottom, outer_yoke)</w:t>
            </w:r>
          </w:p>
        </w:tc>
        <w:tc>
          <w:tcPr>
            <w:tcW w:type="dxa" w:w="253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Constructed core mean</w:t>
            </w:r>
          </w:p>
        </w:tc>
      </w:tr>
      <w:tr>
        <w:tc>
          <w:tcPr>
            <w:tcW w:type="dxa" w:w="1989"/>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Rotor state</w:t>
            </w:r>
          </w:p>
        </w:tc>
        <w:tc>
          <w:tcPr>
            <w:tcW w:type="dxa" w:w="24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pm</w:t>
            </w:r>
          </w:p>
        </w:tc>
        <w:tc>
          <w:tcPr>
            <w:tcW w:type="dxa" w:w="24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rotor</w:t>
            </w:r>
          </w:p>
        </w:tc>
        <w:tc>
          <w:tcPr>
            <w:tcW w:type="dxa" w:w="253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Semantic transport proxy</w:t>
            </w:r>
          </w:p>
        </w:tc>
      </w:tr>
      <w:tr>
        <w:tc>
          <w:tcPr>
            <w:tcW w:type="dxa" w:w="1989"/>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Boundaries</w:t>
            </w:r>
          </w:p>
        </w:tc>
        <w:tc>
          <w:tcPr>
            <w:tcW w:type="dxa" w:w="24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ambient, coolant</w:t>
            </w:r>
          </w:p>
        </w:tc>
        <w:tc>
          <w:tcPr>
            <w:tcW w:type="dxa" w:w="24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ambient, water_outlet</w:t>
            </w:r>
          </w:p>
        </w:tc>
        <w:tc>
          <w:tcPr>
            <w:tcW w:type="dxa" w:w="253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Temperatures in °C</w:t>
            </w:r>
          </w:p>
        </w:tc>
      </w:tr>
      <w:tr>
        <w:tc>
          <w:tcPr>
            <w:tcW w:type="dxa" w:w="1989"/>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Electrical inputs</w:t>
            </w:r>
          </w:p>
        </w:tc>
        <w:tc>
          <w:tcPr>
            <w:tcW w:type="dxa" w:w="24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u_d, u_q, i_d, i_q</w:t>
            </w:r>
          </w:p>
        </w:tc>
        <w:tc>
          <w:tcPr>
            <w:tcW w:type="dxa" w:w="24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Ud, Uq, IdFbk, IqFbk</w:t>
            </w:r>
          </w:p>
        </w:tc>
        <w:tc>
          <w:tcPr>
            <w:tcW w:type="dxa" w:w="253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dq channels in published units</w:t>
            </w:r>
          </w:p>
        </w:tc>
      </w:tr>
      <w:tr>
        <w:tc>
          <w:tcPr>
            <w:tcW w:type="dxa" w:w="1989"/>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Mechanical inputs</w:t>
            </w:r>
          </w:p>
        </w:tc>
        <w:tc>
          <w:tcPr>
            <w:tcW w:type="dxa" w:w="24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motor_speed, torque</w:t>
            </w:r>
          </w:p>
        </w:tc>
        <w:tc>
          <w:tcPr>
            <w:tcW w:type="dxa" w:w="24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speed, Torque</w:t>
            </w:r>
          </w:p>
        </w:tc>
        <w:tc>
          <w:tcPr>
            <w:tcW w:type="dxa" w:w="253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rpm and N m per source documentation</w:t>
            </w:r>
          </w:p>
        </w:tc>
      </w:tr>
    </w:tbl>
    <w:p>
      <w:pPr>
        <w:spacing w:after="20"/>
      </w:pPr>
    </w:p>
    <w:p>
      <w:r>
        <w:rPr>
          <w:rFonts w:ascii="Times New Roman" w:hAnsi="Times New Roman" w:eastAsia="Times New Roman"/>
          <w:sz w:val="21"/>
        </w:rPr>
        <w:t>The source was reduced deterministically to 1 Hz in non-overlapping two-row bins. Exogenous and boundary variables were averaged, while the thermal state used the bin endpoint. An odd terminal bin was retained. External data remained at native 1 Hz. No interpolation or imputation was used.</w:t>
      </w:r>
    </w:p>
    <w:p>
      <w:pPr>
        <w:pStyle w:val="Heading2"/>
      </w:pPr>
      <w:r>
        <w:rPr>
          <w:rFonts w:ascii="Times New Roman" w:hAnsi="Times New Roman" w:eastAsia="Times New Roman"/>
          <w:sz w:val="21"/>
        </w:rPr>
        <w:t>3.3 Frozen source split and deployment timeline</w:t>
      </w:r>
    </w:p>
    <w:p>
      <w:r>
        <w:rPr>
          <w:rFonts w:ascii="Times New Roman" w:hAnsi="Times New Roman" w:eastAsia="Times New Roman"/>
          <w:sz w:val="21"/>
        </w:rPr>
        <w:t>A grouped split with seed 42 assigned 44 source profiles to training, 11 to validation, and 14 to a locked source test. The exact IDs are stored in the machine-readable configuration. No profile crossed roles, and all 16 external profiles were forbidden during model or hyperparameter selection.</w:t>
      </w:r>
    </w:p>
    <w:p>
      <w:r>
        <w:rPr>
          <w:rFonts w:ascii="Times New Roman" w:hAnsi="Times New Roman" w:eastAsia="Times New Roman"/>
          <w:sz w:val="21"/>
        </w:rPr>
        <w:t xml:space="preserve">For the primary deployment simulation, temperatures were observed for the first 300 s. All methods started the rollout from the state at second 299. A frozen method could use this boundary state but could not update parameters from prefix labels. Target-only and source-prior models could fit only the 299 one-second transitions inside the prefix. Temperatures from </w:t>
      </w:r>
      <w:r>
        <w:rPr>
          <w:rFonts w:ascii="Courier New" w:hAnsi="Courier New" w:eastAsia="Courier New"/>
          <w:sz w:val="18"/>
        </w:rPr>
        <w:t>[300,1500)</w:t>
      </w:r>
      <w:r>
        <w:rPr>
          <w:rFonts w:ascii="Times New Roman" w:hAnsi="Times New Roman" w:eastAsia="Times New Roman"/>
          <w:sz w:val="21"/>
        </w:rPr>
        <w:t xml:space="preserve"> s were then hidden until the full 1,200-s recursive trajectory was generated. The source test additionally used </w:t>
      </w:r>
      <w:r>
        <w:rPr>
          <w:rFonts w:ascii="Courier New" w:hAnsi="Courier New" w:eastAsia="Courier New"/>
          <w:sz w:val="18"/>
        </w:rPr>
        <w:t>[300,3600)</w:t>
      </w:r>
      <w:r>
        <w:rPr>
          <w:rFonts w:ascii="Times New Roman" w:hAnsi="Times New Roman" w:eastAsia="Times New Roman"/>
          <w:sz w:val="21"/>
        </w:rPr>
        <w:t xml:space="preserve"> s as a 55-min long-horizon endpoint. Numerical states were clipped to [-50,250] °C for all methods, and every clip or non-finite state was counted. Any guard activation was treated as a reliability failure even when clipping kept the reported error finite.</w:t>
      </w:r>
    </w:p>
    <w:p>
      <w:r>
        <w:rPr>
          <w:rFonts w:ascii="Times New Roman" w:hAnsi="Times New Roman" w:eastAsia="Times New Roman"/>
          <w:sz w:val="21"/>
        </w:rPr>
        <w:t>Sensitivity analyses used 60-, 300-, and 900-s commissioning prefixes, each followed by the same 600-s hidden-label rollout. This makes the budget comparison a fixed-horizon analysis; it does not replace the primary 300-s/1,200-s endpoint.</w:t>
      </w:r>
    </w:p>
    <w:p>
      <w:pPr>
        <w:pStyle w:val="Heading2"/>
      </w:pPr>
      <w:r>
        <w:rPr>
          <w:rFonts w:ascii="Times New Roman" w:hAnsi="Times New Roman" w:eastAsia="Times New Roman"/>
          <w:sz w:val="21"/>
        </w:rPr>
        <w:t>3.4 Electrothermal state model</w:t>
      </w:r>
    </w:p>
    <w:p>
      <w:r>
        <w:rPr>
          <w:rFonts w:ascii="Times New Roman" w:hAnsi="Times New Roman" w:eastAsia="Times New Roman"/>
          <w:sz w:val="21"/>
        </w:rPr>
        <w:t>Let T(j,t) denote one of three temperatures at second t. For node j, the model predicts</w:t>
      </w:r>
    </w:p>
    <w:p>
      <w:r>
        <w:rPr>
          <w:rFonts w:ascii="Times New Roman" w:hAnsi="Times New Roman" w:eastAsia="Times New Roman"/>
          <w:b/>
          <w:sz w:val="21"/>
        </w:rPr>
        <w:t>ΔT(j,t) = Σ(k≠j) a(j,k)[T(k,t-1)-T(j,t-1)] + b(j,c)[Tc(t)-T(j,t-1)] + b(j,a)[Ta(t)-T(j,t-1)] + Σ(m=1…5) q(j,m) φm(t).</w:t>
      </w:r>
    </w:p>
    <w:p>
      <w:r>
        <w:rPr>
          <w:rFonts w:ascii="Times New Roman" w:hAnsi="Times New Roman" w:eastAsia="Times New Roman"/>
          <w:sz w:val="21"/>
        </w:rPr>
        <w:t>All a(j,k), b(j,c), b(j,a), and q(j,m) are constrained nonnegative. The five loss proxies are squared current magnitude, squared current times absolute speed, voltage magnitude times current magnitude, absolute mechanical-power proxy, and squared speed. This sign-constrained parameterization encodes effective heat exchange and nonnegative generation while remaining linear in coefficients.</w:t>
      </w:r>
    </w:p>
    <w:p>
      <w:r>
        <w:rPr>
          <w:rFonts w:ascii="Times New Roman" w:hAnsi="Times New Roman" w:eastAsia="Times New Roman"/>
          <w:sz w:val="21"/>
        </w:rPr>
        <w:t>Two source representations were frozen. The raw-unit network divided each loss proxy by a numerical scale learned only from source-train profiles; it preserved absolute machine magnitude. The normalized network divided current, voltage, speed, and torque by each deployment profile's first-five-minute 95th percentile, subject to positive floors learned from source prefixes, before forming the proxies. It therefore attempted capacity-insensitive scaling without using target temperatures. Source fitting used at most the first 60 min of each training profile and assigned equal total regression weight to every physical profile.</w:t>
      </w:r>
    </w:p>
    <w:p>
      <w:pPr>
        <w:pStyle w:val="Heading2"/>
      </w:pPr>
      <w:r>
        <w:rPr>
          <w:rFonts w:ascii="Times New Roman" w:hAnsi="Times New Roman" w:eastAsia="Times New Roman"/>
          <w:sz w:val="21"/>
        </w:rPr>
        <w:t>3.5 Locked methods and target commissioning</w:t>
      </w:r>
    </w:p>
    <w:p>
      <w:r>
        <w:rPr>
          <w:rFonts w:ascii="Times New Roman" w:hAnsi="Times New Roman" w:eastAsia="Times New Roman"/>
          <w:sz w:val="21"/>
        </w:rPr>
        <w:t>Eight methods were fixed before test reveal:</w:t>
      </w:r>
    </w:p>
    <w:p>
      <w:pPr>
        <w:spacing w:after="80" w:line="290" w:lineRule="auto"/>
        <w:ind w:left="540" w:hanging="279"/>
      </w:pPr>
      <w:r>
        <w:rPr>
          <w:rFonts w:ascii="Times New Roman" w:hAnsi="Times New Roman" w:eastAsia="Times New Roman"/>
          <w:sz w:val="21"/>
        </w:rPr>
        <w:t xml:space="preserve">1. </w:t>
      </w:r>
      <w:r>
        <w:rPr>
          <w:rFonts w:ascii="Times New Roman" w:hAnsi="Times New Roman" w:eastAsia="Times New Roman"/>
          <w:b/>
          <w:sz w:val="21"/>
        </w:rPr>
        <w:t>Initial-state persistence:</w:t>
      </w:r>
      <w:r>
        <w:rPr>
          <w:rFonts w:ascii="Times New Roman" w:hAnsi="Times New Roman" w:eastAsia="Times New Roman"/>
          <w:sz w:val="21"/>
        </w:rPr>
        <w:t xml:space="preserve"> all temperatures remain at their prefix-boundary values.</w:t>
      </w:r>
    </w:p>
    <w:p>
      <w:pPr>
        <w:spacing w:after="80" w:line="290" w:lineRule="auto"/>
        <w:ind w:left="540" w:hanging="279"/>
      </w:pPr>
      <w:r>
        <w:rPr>
          <w:rFonts w:ascii="Times New Roman" w:hAnsi="Times New Roman" w:eastAsia="Times New Roman"/>
          <w:sz w:val="21"/>
        </w:rPr>
        <w:t xml:space="preserve">2. </w:t>
      </w:r>
      <w:r>
        <w:rPr>
          <w:rFonts w:ascii="Times New Roman" w:hAnsi="Times New Roman" w:eastAsia="Times New Roman"/>
          <w:b/>
          <w:sz w:val="21"/>
        </w:rPr>
        <w:t>Boundary-shift persistence:</w:t>
      </w:r>
      <w:r>
        <w:rPr>
          <w:rFonts w:ascii="Times New Roman" w:hAnsi="Times New Roman" w:eastAsia="Times New Roman"/>
          <w:sz w:val="21"/>
        </w:rPr>
        <w:t xml:space="preserve"> the initial state follows the change in the mean ambient/coolant boundary.</w:t>
      </w:r>
    </w:p>
    <w:p>
      <w:pPr>
        <w:spacing w:after="80" w:line="290" w:lineRule="auto"/>
        <w:ind w:left="540" w:hanging="279"/>
      </w:pPr>
      <w:r>
        <w:rPr>
          <w:rFonts w:ascii="Times New Roman" w:hAnsi="Times New Roman" w:eastAsia="Times New Roman"/>
          <w:sz w:val="21"/>
        </w:rPr>
        <w:t xml:space="preserve">3. </w:t>
      </w:r>
      <w:r>
        <w:rPr>
          <w:rFonts w:ascii="Times New Roman" w:hAnsi="Times New Roman" w:eastAsia="Times New Roman"/>
          <w:b/>
          <w:sz w:val="21"/>
        </w:rPr>
        <w:t>Source Ridge ARX:</w:t>
      </w:r>
      <w:r>
        <w:rPr>
          <w:rFonts w:ascii="Times New Roman" w:hAnsi="Times New Roman" w:eastAsia="Times New Roman"/>
          <w:sz w:val="21"/>
        </w:rPr>
        <w:t xml:space="preserve"> unconstrained linear one-second increments with an intercept.</w:t>
      </w:r>
    </w:p>
    <w:p>
      <w:pPr>
        <w:spacing w:after="80" w:line="290" w:lineRule="auto"/>
        <w:ind w:left="540" w:hanging="279"/>
      </w:pPr>
      <w:r>
        <w:rPr>
          <w:rFonts w:ascii="Times New Roman" w:hAnsi="Times New Roman" w:eastAsia="Times New Roman"/>
          <w:sz w:val="21"/>
        </w:rPr>
        <w:t xml:space="preserve">4. </w:t>
      </w:r>
      <w:r>
        <w:rPr>
          <w:rFonts w:ascii="Times New Roman" w:hAnsi="Times New Roman" w:eastAsia="Times New Roman"/>
          <w:b/>
          <w:sz w:val="21"/>
        </w:rPr>
        <w:t>Raw source thermal network:</w:t>
      </w:r>
      <w:r>
        <w:rPr>
          <w:rFonts w:ascii="Times New Roman" w:hAnsi="Times New Roman" w:eastAsia="Times New Roman"/>
          <w:sz w:val="21"/>
        </w:rPr>
        <w:t xml:space="preserve"> the nonnegative model with source-unit loss scales.</w:t>
      </w:r>
    </w:p>
    <w:p>
      <w:pPr>
        <w:spacing w:after="80" w:line="290" w:lineRule="auto"/>
        <w:ind w:left="540" w:hanging="279"/>
      </w:pPr>
      <w:r>
        <w:rPr>
          <w:rFonts w:ascii="Times New Roman" w:hAnsi="Times New Roman" w:eastAsia="Times New Roman"/>
          <w:sz w:val="21"/>
        </w:rPr>
        <w:t xml:space="preserve">5. </w:t>
      </w:r>
      <w:r>
        <w:rPr>
          <w:rFonts w:ascii="Times New Roman" w:hAnsi="Times New Roman" w:eastAsia="Times New Roman"/>
          <w:b/>
          <w:sz w:val="21"/>
        </w:rPr>
        <w:t>Normalized source thermal network:</w:t>
      </w:r>
      <w:r>
        <w:rPr>
          <w:rFonts w:ascii="Times New Roman" w:hAnsi="Times New Roman" w:eastAsia="Times New Roman"/>
          <w:sz w:val="21"/>
        </w:rPr>
        <w:t xml:space="preserve"> the same model with prefix-derived magnitude scales.</w:t>
      </w:r>
    </w:p>
    <w:p>
      <w:pPr>
        <w:spacing w:after="80" w:line="290" w:lineRule="auto"/>
        <w:ind w:left="540" w:hanging="279"/>
      </w:pPr>
      <w:r>
        <w:rPr>
          <w:rFonts w:ascii="Times New Roman" w:hAnsi="Times New Roman" w:eastAsia="Times New Roman"/>
          <w:sz w:val="21"/>
        </w:rPr>
        <w:t xml:space="preserve">6. </w:t>
      </w:r>
      <w:r>
        <w:rPr>
          <w:rFonts w:ascii="Times New Roman" w:hAnsi="Times New Roman" w:eastAsia="Times New Roman"/>
          <w:b/>
          <w:sz w:val="21"/>
        </w:rPr>
        <w:t>Target-only prefix network:</w:t>
      </w:r>
      <w:r>
        <w:rPr>
          <w:rFonts w:ascii="Times New Roman" w:hAnsi="Times New Roman" w:eastAsia="Times New Roman"/>
          <w:sz w:val="21"/>
        </w:rPr>
        <w:t xml:space="preserve"> a new nonnegative model fitted only to the target prefix.</w:t>
      </w:r>
    </w:p>
    <w:p>
      <w:pPr>
        <w:spacing w:after="80" w:line="290" w:lineRule="auto"/>
        <w:ind w:left="540" w:hanging="279"/>
      </w:pPr>
      <w:r>
        <w:rPr>
          <w:rFonts w:ascii="Times New Roman" w:hAnsi="Times New Roman" w:eastAsia="Times New Roman"/>
          <w:sz w:val="21"/>
        </w:rPr>
        <w:t xml:space="preserve">7. </w:t>
      </w:r>
      <w:r>
        <w:rPr>
          <w:rFonts w:ascii="Times New Roman" w:hAnsi="Times New Roman" w:eastAsia="Times New Roman"/>
          <w:b/>
          <w:sz w:val="21"/>
        </w:rPr>
        <w:t>Source-prior prefix network:</w:t>
      </w:r>
      <w:r>
        <w:rPr>
          <w:rFonts w:ascii="Times New Roman" w:hAnsi="Times New Roman" w:eastAsia="Times New Roman"/>
          <w:sz w:val="21"/>
        </w:rPr>
        <w:t xml:space="preserve"> the target-prefix objective plus a quadratic penalty toward the normalized source parameters.</w:t>
      </w:r>
    </w:p>
    <w:p>
      <w:pPr>
        <w:spacing w:after="80" w:line="290" w:lineRule="auto"/>
        <w:ind w:left="540" w:hanging="279"/>
      </w:pPr>
      <w:r>
        <w:rPr>
          <w:rFonts w:ascii="Times New Roman" w:hAnsi="Times New Roman" w:eastAsia="Times New Roman"/>
          <w:sz w:val="21"/>
        </w:rPr>
        <w:t xml:space="preserve">8. </w:t>
      </w:r>
      <w:r>
        <w:rPr>
          <w:rFonts w:ascii="Times New Roman" w:hAnsi="Times New Roman" w:eastAsia="Times New Roman"/>
          <w:b/>
          <w:sz w:val="21"/>
        </w:rPr>
        <w:t>Source thermal plus residual:</w:t>
      </w:r>
      <w:r>
        <w:rPr>
          <w:rFonts w:ascii="Times New Roman" w:hAnsi="Times New Roman" w:eastAsia="Times New Roman"/>
          <w:sz w:val="21"/>
        </w:rPr>
        <w:t xml:space="preserve"> the normalized source network with fixed histogram-gradient boosters fitted to source transition residuals.</w:t>
      </w:r>
    </w:p>
    <w:p>
      <w:r>
        <w:rPr>
          <w:rFonts w:ascii="Times New Roman" w:hAnsi="Times New Roman" w:eastAsia="Times New Roman"/>
          <w:sz w:val="21"/>
        </w:rPr>
        <w:t>For target-only fitting, the source penalty was zero. For source-prior calibration, the objective for each node was the mean prefix squared transition error plus λ ||θ - θsource||², subject to nonnegative coefficients. Ridge alpha was selected from {0.01, 0.1, 1, 10, 100}; λ was selected from {0.1, 1, 10, 100, 1000}. Only the 11 source-validation profiles were used, selecting alpha 100 and λ = 0.1. Positive models used bounded least squares with tolerance 10⁻¹⁰ and no intercept. The residual comparator used three histogram-gradient regressors with learning rate 0.05, 200 iterations, 15 leaves, minimum leaf size 50, L2 penalty 1.0, and seed 20260821.</w:t>
      </w:r>
    </w:p>
    <w:p>
      <w:r>
        <w:rPr>
          <w:rFonts w:ascii="Times New Roman" w:hAnsi="Times New Roman" w:eastAsia="Times New Roman"/>
          <w:sz w:val="21"/>
        </w:rPr>
        <w:t>The external authors' published LPTN estimates were evaluated only as target-specific context. They had access to target-machine development information unavailable to the target-blind methods and are not treated as a fair competing baseline.</w:t>
      </w:r>
    </w:p>
    <w:p>
      <w:pPr>
        <w:pStyle w:val="Heading2"/>
      </w:pPr>
      <w:r>
        <w:rPr>
          <w:rFonts w:ascii="Times New Roman" w:hAnsi="Times New Roman" w:eastAsia="Times New Roman"/>
          <w:sz w:val="21"/>
        </w:rPr>
        <w:t>3.6 Support rule</w:t>
      </w:r>
    </w:p>
    <w:p>
      <w:r>
        <w:rPr>
          <w:rFonts w:ascii="Times New Roman" w:hAnsi="Times New Roman" w:eastAsia="Times New Roman"/>
          <w:sz w:val="21"/>
        </w:rPr>
        <w:t>Support used no target temperature labels. For each profile, median and 95th-percentile summaries of current magnitude, voltage magnitude, absolute speed, absolute torque, electrical- and mechanical- power proxies, coolant, and ambient were computed over the first 300 s. Features were robust-scaled by source-train medians and median absolute deviations. The score was distance to the nearest source-train profile. The rejection threshold was the 95th percentile of source-train leave-one- profile-out nearest-neighbour distances, fixed at 7.8263. Unsupported profiles remained in all primary error, interval, and numerical-failure results. The accepted subset is explicitly secondary.</w:t>
      </w:r>
    </w:p>
    <w:p>
      <w:pPr>
        <w:pStyle w:val="Heading2"/>
      </w:pPr>
      <w:r>
        <w:rPr>
          <w:rFonts w:ascii="Times New Roman" w:hAnsi="Times New Roman" w:eastAsia="Times New Roman"/>
          <w:sz w:val="21"/>
        </w:rPr>
        <w:t>3.7 Trajectory bands</w:t>
      </w:r>
    </w:p>
    <w:p>
      <w:r>
        <w:rPr>
          <w:rFonts w:ascii="Times New Roman" w:hAnsi="Times New Roman" w:eastAsia="Times New Roman"/>
          <w:sz w:val="21"/>
        </w:rPr>
        <w:t>For every method and node, each source-validation profile supplied one score: maximum absolute closed-loop error over the declared horizon. A constant half-width was set to the ceil[(n+1)(1-α)] order statistic for n = 11 and 1-α = 0.90. The rank is 11, so the maximum validation score defines the band. We report node-wise simultaneous-in-time coverage, joint all-node coverage, and half-width. External coverage is descriptive because physical-machine shift violates the basis for an ordinary exchangeable-profile guarantee.</w:t>
      </w:r>
    </w:p>
    <w:p>
      <w:pPr>
        <w:pStyle w:val="Heading2"/>
      </w:pPr>
      <w:r>
        <w:rPr>
          <w:rFonts w:ascii="Times New Roman" w:hAnsi="Times New Roman" w:eastAsia="Times New Roman"/>
          <w:sz w:val="21"/>
        </w:rPr>
        <w:t>3.8 Endpoints, bootstrap, and predeclared gates</w:t>
      </w:r>
    </w:p>
    <w:p>
      <w:r>
        <w:rPr>
          <w:rFonts w:ascii="Times New Roman" w:hAnsi="Times New Roman" w:eastAsia="Times New Roman"/>
          <w:sz w:val="21"/>
        </w:rPr>
        <w:t>RMSE and MAE were calculated separately for each node within each complete profile. Profile-macro RMSE is the arithmetic mean of the three node RMSEs, followed by an equal-weight mean over profiles. We also report medians, 90th percentiles, worst-profile error, maximum absolute error, guard counts, and per-profile results.</w:t>
      </w:r>
    </w:p>
    <w:p>
      <w:r>
        <w:rPr>
          <w:rFonts w:ascii="Times New Roman" w:hAnsi="Times New Roman" w:eastAsia="Times New Roman"/>
          <w:sz w:val="21"/>
        </w:rPr>
        <w:t>Paired method differences used 10,000 bootstrap resamples of complete profiles with seed 20260821. Intervals describe the recorded profile population, not unseen motors. Holm adjustment was applied within declared comparison families.</w:t>
      </w:r>
    </w:p>
    <w:p>
      <w:r>
        <w:rPr>
          <w:rFonts w:ascii="Times New Roman" w:hAnsi="Times New Roman" w:eastAsia="Times New Roman"/>
          <w:sz w:val="21"/>
        </w:rPr>
        <w:t>Three gates were frozen. Source and external adaptation each required at least 10% RMSE reduction versus the normalized source network and a positive lower bound for the paired improvement interval. Source uncertainty required at least 0.80 node-wise trajectory coverage for every node. Passing one gate did not override failure of another, a numerical guard event, or poor comparison with simpler controls.</w:t>
      </w:r>
    </w:p>
    <w:p>
      <w:pPr>
        <w:pStyle w:val="Heading1"/>
      </w:pPr>
      <w:r>
        <w:rPr>
          <w:rFonts w:ascii="Times New Roman" w:hAnsi="Times New Roman" w:eastAsia="Times New Roman"/>
          <w:sz w:val="21"/>
        </w:rPr>
        <w:t>4. Results</w:t>
      </w:r>
    </w:p>
    <w:p>
      <w:pPr>
        <w:pStyle w:val="Heading2"/>
      </w:pPr>
      <w:r>
        <w:rPr>
          <w:rFonts w:ascii="Times New Roman" w:hAnsi="Times New Roman" w:eastAsia="Times New Roman"/>
          <w:sz w:val="21"/>
        </w:rPr>
        <w:t>4.1 Within-machine accuracy did not predict transport</w:t>
      </w:r>
    </w:p>
    <w:p>
      <w:r>
        <w:rPr>
          <w:rFonts w:ascii="Times New Roman" w:hAnsi="Times New Roman" w:eastAsia="Times New Roman"/>
          <w:sz w:val="21"/>
        </w:rPr>
        <w:t>On the 14 source-test profiles, the raw source thermal network was clearly strongest at the primary 20-min horizon: 1.8673 °C profile-macro RMSE, median 1.7860 °C, and worst-profile RMSE 4.0679 °C (Table 2; Figure 1). Its source 55-min RMSE remained 2.3761 °C. These values show that the low-order state model captured the source machine's recorded dynamics and was not merely a weak model that failed everywhere.</w:t>
      </w:r>
    </w:p>
    <w:p>
      <w:r>
        <w:rPr>
          <w:rFonts w:ascii="Times New Roman" w:hAnsi="Times New Roman" w:eastAsia="Times New Roman"/>
          <w:sz w:val="21"/>
        </w:rPr>
        <w:t>The same frozen model produced 24.4928 °C external RMSE, median 27.2797 °C, and worst-profile RMSE 44.3206 °C. The external/source mean ratio was 13.1167. Winding error was particularly large (43.3457 °C), compared with 20.2454 °C for stator core and 9.8874 °C for the rotor proxy. Absolute- unit source parameters therefore did not survive the compound shift in machine scale, thermal topology, cooling, sensors, controls, and excitation.</w:t>
      </w:r>
    </w:p>
    <w:p>
      <w:pPr>
        <w:pStyle w:val="PaperCaption"/>
      </w:pPr>
      <w:r>
        <w:rPr>
          <w:rFonts w:ascii="Times New Roman" w:hAnsi="Times New Roman" w:eastAsia="Times New Roman"/>
          <w:b/>
          <w:sz w:val="21"/>
        </w:rPr>
        <w:t>Table 2. Frozen matched-horizon profile-macro performance. Lower is better. The target-specific LPTN is external context, not a target-blind comparator.</w:t>
      </w:r>
    </w:p>
    <w:tbl>
      <w:tblPr>
        <w:tblStyle w:val="TableGrid"/>
        <w:tblW w:type="dxa" w:w="9360"/>
        <w:jc w:val="left"/>
        <w:tblLook w:firstColumn="1" w:firstRow="1" w:lastColumn="0" w:lastRow="0" w:noHBand="0" w:noVBand="1" w:val="04A0"/>
        <w:tblLayout w:type="fixed"/>
        <w:tblInd w:w="120" w:type="dxa"/>
      </w:tblPr>
      <w:tblGrid>
        <w:gridCol w:w="1738"/>
        <w:gridCol w:w="1566"/>
        <w:gridCol w:w="1600"/>
        <w:gridCol w:w="1530"/>
        <w:gridCol w:w="1512"/>
        <w:gridCol w:w="1414"/>
      </w:tblGrid>
      <w:tr>
        <w:trPr>
          <w:tblHeader w:val="true"/>
        </w:trPr>
        <w:tc>
          <w:tcPr>
            <w:tcW w:type="dxa" w:w="1738"/>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Method</w:t>
            </w:r>
          </w:p>
        </w:tc>
        <w:tc>
          <w:tcPr>
            <w:tcW w:type="dxa" w:w="1566"/>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Source RMSE (°C), n=14</w:t>
            </w:r>
          </w:p>
        </w:tc>
        <w:tc>
          <w:tcPr>
            <w:tcW w:type="dxa" w:w="1600"/>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External RMSE (°C), n=16</w:t>
            </w:r>
          </w:p>
        </w:tc>
        <w:tc>
          <w:tcPr>
            <w:tcW w:type="dxa" w:w="1530"/>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External median (°C)</w:t>
            </w:r>
          </w:p>
        </w:tc>
        <w:tc>
          <w:tcPr>
            <w:tcW w:type="dxa" w:w="1512"/>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External worst (°C)</w:t>
            </w:r>
          </w:p>
        </w:tc>
        <w:tc>
          <w:tcPr>
            <w:tcW w:type="dxa" w:w="1414"/>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External clips</w:t>
            </w:r>
          </w:p>
        </w:tc>
      </w:tr>
      <w:tr>
        <w:tc>
          <w:tcPr>
            <w:tcW w:type="dxa" w:w="173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Raw source thermal network</w:t>
            </w:r>
          </w:p>
        </w:tc>
        <w:tc>
          <w:tcPr>
            <w:tcW w:type="dxa" w:w="15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1.867</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24.493</w:t>
            </w:r>
          </w:p>
        </w:tc>
        <w:tc>
          <w:tcPr>
            <w:tcW w:type="dxa" w:w="15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27.280</w:t>
            </w:r>
          </w:p>
        </w:tc>
        <w:tc>
          <w:tcPr>
            <w:tcW w:type="dxa" w:w="15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44.321</w:t>
            </w:r>
          </w:p>
        </w:tc>
        <w:tc>
          <w:tcPr>
            <w:tcW w:type="dxa" w:w="14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w:t>
            </w:r>
          </w:p>
        </w:tc>
      </w:tr>
      <w:tr>
        <w:tc>
          <w:tcPr>
            <w:tcW w:type="dxa" w:w="173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Normalized source thermal network</w:t>
            </w:r>
          </w:p>
        </w:tc>
        <w:tc>
          <w:tcPr>
            <w:tcW w:type="dxa" w:w="15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8.918</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21.984</w:t>
            </w:r>
          </w:p>
        </w:tc>
        <w:tc>
          <w:tcPr>
            <w:tcW w:type="dxa" w:w="15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9.786</w:t>
            </w:r>
          </w:p>
        </w:tc>
        <w:tc>
          <w:tcPr>
            <w:tcW w:type="dxa" w:w="15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122.962</w:t>
            </w:r>
          </w:p>
        </w:tc>
        <w:tc>
          <w:tcPr>
            <w:tcW w:type="dxa" w:w="14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683</w:t>
            </w:r>
          </w:p>
        </w:tc>
      </w:tr>
      <w:tr>
        <w:tc>
          <w:tcPr>
            <w:tcW w:type="dxa" w:w="173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Source Ridge ARX</w:t>
            </w:r>
          </w:p>
        </w:tc>
        <w:tc>
          <w:tcPr>
            <w:tcW w:type="dxa" w:w="15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9.570</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16.760</w:t>
            </w:r>
          </w:p>
        </w:tc>
        <w:tc>
          <w:tcPr>
            <w:tcW w:type="dxa" w:w="15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8.072</w:t>
            </w:r>
          </w:p>
        </w:tc>
        <w:tc>
          <w:tcPr>
            <w:tcW w:type="dxa" w:w="15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86.487</w:t>
            </w:r>
          </w:p>
        </w:tc>
        <w:tc>
          <w:tcPr>
            <w:tcW w:type="dxa" w:w="14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306</w:t>
            </w:r>
          </w:p>
        </w:tc>
      </w:tr>
      <w:tr>
        <w:tc>
          <w:tcPr>
            <w:tcW w:type="dxa" w:w="173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Source thermal + residual</w:t>
            </w:r>
          </w:p>
        </w:tc>
        <w:tc>
          <w:tcPr>
            <w:tcW w:type="dxa" w:w="15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9.153</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26.128</w:t>
            </w:r>
          </w:p>
        </w:tc>
        <w:tc>
          <w:tcPr>
            <w:tcW w:type="dxa" w:w="15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17.719</w:t>
            </w:r>
          </w:p>
        </w:tc>
        <w:tc>
          <w:tcPr>
            <w:tcW w:type="dxa" w:w="15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120.950</w:t>
            </w:r>
          </w:p>
        </w:tc>
        <w:tc>
          <w:tcPr>
            <w:tcW w:type="dxa" w:w="14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684</w:t>
            </w:r>
          </w:p>
        </w:tc>
      </w:tr>
      <w:tr>
        <w:tc>
          <w:tcPr>
            <w:tcW w:type="dxa" w:w="173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Target-only prefix network</w:t>
            </w:r>
          </w:p>
        </w:tc>
        <w:tc>
          <w:tcPr>
            <w:tcW w:type="dxa" w:w="15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6.023</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6.018</w:t>
            </w:r>
          </w:p>
        </w:tc>
        <w:tc>
          <w:tcPr>
            <w:tcW w:type="dxa" w:w="15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5.205</w:t>
            </w:r>
          </w:p>
        </w:tc>
        <w:tc>
          <w:tcPr>
            <w:tcW w:type="dxa" w:w="15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23.499</w:t>
            </w:r>
          </w:p>
        </w:tc>
        <w:tc>
          <w:tcPr>
            <w:tcW w:type="dxa" w:w="14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w:t>
            </w:r>
          </w:p>
        </w:tc>
      </w:tr>
      <w:tr>
        <w:tc>
          <w:tcPr>
            <w:tcW w:type="dxa" w:w="173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Source-prior prefix network</w:t>
            </w:r>
          </w:p>
        </w:tc>
        <w:tc>
          <w:tcPr>
            <w:tcW w:type="dxa" w:w="15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13.508</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13.610</w:t>
            </w:r>
          </w:p>
        </w:tc>
        <w:tc>
          <w:tcPr>
            <w:tcW w:type="dxa" w:w="15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4.291</w:t>
            </w:r>
          </w:p>
        </w:tc>
        <w:tc>
          <w:tcPr>
            <w:tcW w:type="dxa" w:w="15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151.018</w:t>
            </w:r>
          </w:p>
        </w:tc>
        <w:tc>
          <w:tcPr>
            <w:tcW w:type="dxa" w:w="14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999</w:t>
            </w:r>
          </w:p>
        </w:tc>
      </w:tr>
      <w:tr>
        <w:tc>
          <w:tcPr>
            <w:tcW w:type="dxa" w:w="173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Initial-state persistence</w:t>
            </w:r>
          </w:p>
        </w:tc>
        <w:tc>
          <w:tcPr>
            <w:tcW w:type="dxa" w:w="15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14.303</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6.385</w:t>
            </w:r>
          </w:p>
        </w:tc>
        <w:tc>
          <w:tcPr>
            <w:tcW w:type="dxa" w:w="15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6.664</w:t>
            </w:r>
          </w:p>
        </w:tc>
        <w:tc>
          <w:tcPr>
            <w:tcW w:type="dxa" w:w="15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13.124</w:t>
            </w:r>
          </w:p>
        </w:tc>
        <w:tc>
          <w:tcPr>
            <w:tcW w:type="dxa" w:w="14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w:t>
            </w:r>
          </w:p>
        </w:tc>
      </w:tr>
      <w:tr>
        <w:tc>
          <w:tcPr>
            <w:tcW w:type="dxa" w:w="173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Boundary-shift persistence</w:t>
            </w:r>
          </w:p>
        </w:tc>
        <w:tc>
          <w:tcPr>
            <w:tcW w:type="dxa" w:w="15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13.555</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6.166</w:t>
            </w:r>
          </w:p>
        </w:tc>
        <w:tc>
          <w:tcPr>
            <w:tcW w:type="dxa" w:w="15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6.274</w:t>
            </w:r>
          </w:p>
        </w:tc>
        <w:tc>
          <w:tcPr>
            <w:tcW w:type="dxa" w:w="15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12.609</w:t>
            </w:r>
          </w:p>
        </w:tc>
        <w:tc>
          <w:tcPr>
            <w:tcW w:type="dxa" w:w="14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w:t>
            </w:r>
          </w:p>
        </w:tc>
      </w:tr>
      <w:tr>
        <w:tc>
          <w:tcPr>
            <w:tcW w:type="dxa" w:w="173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Published target-specific LPTN</w:t>
            </w:r>
          </w:p>
        </w:tc>
        <w:tc>
          <w:tcPr>
            <w:tcW w:type="dxa" w:w="15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3.468</w:t>
            </w:r>
          </w:p>
        </w:tc>
        <w:tc>
          <w:tcPr>
            <w:tcW w:type="dxa" w:w="15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3.067</w:t>
            </w:r>
          </w:p>
        </w:tc>
        <w:tc>
          <w:tcPr>
            <w:tcW w:type="dxa" w:w="15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8.393</w:t>
            </w:r>
          </w:p>
        </w:tc>
        <w:tc>
          <w:tcPr>
            <w:tcW w:type="dxa" w:w="14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w:t>
            </w:r>
          </w:p>
        </w:tc>
      </w:tr>
    </w:tbl>
    <w:p>
      <w:pPr>
        <w:spacing w:after="20"/>
      </w:pPr>
    </w:p>
    <w:p>
      <w:pPr>
        <w:keepNext/>
        <w:spacing w:before="100" w:after="0"/>
        <w:jc w:val="center"/>
      </w:pPr>
      <w:r>
        <w:drawing>
          <wp:inline xmlns:a="http://schemas.openxmlformats.org/drawingml/2006/main" xmlns:pic="http://schemas.openxmlformats.org/drawingml/2006/picture">
            <wp:extent cx="5806440" cy="2979995"/>
            <wp:docPr id="1" name="Picture 1" descr="Figure 1. Complete-profile RMSE for every locked method on source and external tests. Diamonds are profile means; open triangles mark any numerical guard activation. The logarithmic scale preserves both the low source error and catastrophic external profiles."/>
            <wp:cNvGraphicFramePr>
              <a:graphicFrameLocks noChangeAspect="1"/>
            </wp:cNvGraphicFramePr>
            <a:graphic>
              <a:graphicData uri="http://schemas.openxmlformats.org/drawingml/2006/picture">
                <pic:pic>
                  <pic:nvPicPr>
                    <pic:cNvPr id="0" name="paper4_transport_performance.png"/>
                    <pic:cNvPicPr/>
                  </pic:nvPicPr>
                  <pic:blipFill>
                    <a:blip r:embed="rId11"/>
                    <a:stretch>
                      <a:fillRect/>
                    </a:stretch>
                  </pic:blipFill>
                  <pic:spPr>
                    <a:xfrm>
                      <a:off x="0" y="0"/>
                      <a:ext cx="5806440" cy="2979995"/>
                    </a:xfrm>
                    <a:prstGeom prst="rect"/>
                  </pic:spPr>
                </pic:pic>
              </a:graphicData>
            </a:graphic>
          </wp:inline>
        </w:drawing>
      </w:r>
    </w:p>
    <w:p>
      <w:pPr>
        <w:pStyle w:val="Heading2"/>
      </w:pPr>
      <w:r>
        <w:rPr>
          <w:rFonts w:ascii="Times New Roman" w:hAnsi="Times New Roman" w:eastAsia="Times New Roman"/>
          <w:sz w:val="21"/>
        </w:rPr>
        <w:t>4.2 Five-minute source-prior adaptation was conditionally beneficial, not generally safe</w:t>
      </w:r>
    </w:p>
    <w:p>
      <w:r>
        <w:rPr>
          <w:rFonts w:ascii="Times New Roman" w:hAnsi="Times New Roman" w:eastAsia="Times New Roman"/>
          <w:sz w:val="21"/>
        </w:rPr>
        <w:t>The source-prior method failed its source adaptation gate. Against the normalized source network, RMSE increased from 8.9178 to 13.5076 °C, a relative “improvement” of -51.47%; the paired improvement interval had lower bound -15.6420 °C. It also activated 45 source guard clips on profile</w:t>
      </w:r>
    </w:p>
    <w:p>
      <w:pPr>
        <w:spacing w:after="80" w:line="290" w:lineRule="auto"/>
        <w:ind w:left="540" w:hanging="279"/>
      </w:pPr>
      <w:r>
        <w:rPr>
          <w:rFonts w:ascii="Times New Roman" w:hAnsi="Times New Roman" w:eastAsia="Times New Roman"/>
          <w:sz w:val="21"/>
        </w:rPr>
        <w:t xml:space="preserve">45. </w:t>
      </w:r>
      <w:r>
        <w:rPr>
          <w:rFonts w:ascii="Times New Roman" w:hAnsi="Times New Roman" w:eastAsia="Times New Roman"/>
          <w:sz w:val="21"/>
        </w:rPr>
        <w:t>On the 55-min source horizon its RMSE rose to 28.6545 °C with 4,441 clips. A short prefix could therefore pull a previously stable source parameter vector toward a locally fitted transition model that became unstable under recursive extrapolation.</w:t>
      </w:r>
    </w:p>
    <w:p>
      <w:r>
        <w:rPr>
          <w:rFonts w:ascii="Times New Roman" w:hAnsi="Times New Roman" w:eastAsia="Times New Roman"/>
          <w:sz w:val="21"/>
        </w:rPr>
        <w:t>The external gate passed arithmetically against its declared normalized-source comparator. RMSE fell from 21.9838 to 13.6104 °C, a 38.09% relative reduction. The paired mean improvement was 8.3734 °C with lower interval bound 0.1296 °C. This narrow pass does not establish deployment success. The source-prior method remained 7.5929 °C worse on average than target-only fitting and 7.4440 °C worse than boundary persistence. Its worst external profile reached 151.0185 °C RMSE after the common guard clipped 999 states. Thus, the declared comparator gate and operational reliability led to different decisions.</w:t>
      </w:r>
    </w:p>
    <w:p>
      <w:r>
        <w:rPr>
          <w:rFonts w:ascii="Times New Roman" w:hAnsi="Times New Roman" w:eastAsia="Times New Roman"/>
          <w:sz w:val="21"/>
        </w:rPr>
        <w:t>The profile distribution explains the apparent contradiction between mean and median. Source-prior calibration had a moderate external median of 4.2914 °C, but one catastrophic profile dominated the mean and exposed the risk that a source penalty does not guarantee stable long-horizon dynamics. Figure 5 shows both a supported profile and the unedited profile-14 failure.</w:t>
      </w:r>
    </w:p>
    <w:p>
      <w:pPr>
        <w:pStyle w:val="Heading2"/>
      </w:pPr>
      <w:r>
        <w:rPr>
          <w:rFonts w:ascii="Times New Roman" w:hAnsi="Times New Roman" w:eastAsia="Times New Roman"/>
          <w:sz w:val="21"/>
        </w:rPr>
        <w:t>4.3 The support rule identified a useful subset but rejected most external profiles</w:t>
      </w:r>
    </w:p>
    <w:p>
      <w:r>
        <w:rPr>
          <w:rFonts w:ascii="Times New Roman" w:hAnsi="Times New Roman" w:eastAsia="Times New Roman"/>
          <w:sz w:val="21"/>
        </w:rPr>
        <w:t>The predeclared threshold accepted 6/16 external profiles and rejected 10/16, an abstention rate of 62.5% (Figure 2). On the six accepted profiles, source-prior calibration achieved 3.1933 °C mean RMSE, versus 4.5655 °C for target-only fitting and 5.1440 °C for boundary persistence. The paired post-reveal diagnostic improvement over target-only fitting was 1.3722 °C, with profile-bootstrap interval [0.3751, 2.4060] °C. No supported external profile activated the source-prior guard.</w:t>
      </w:r>
    </w:p>
    <w:p>
      <w:r>
        <w:rPr>
          <w:rFonts w:ascii="Times New Roman" w:hAnsi="Times New Roman" w:eastAsia="Times New Roman"/>
          <w:sz w:val="21"/>
        </w:rPr>
        <w:t>On the ten rejected profiles, source-prior RMSE was 19.8607 °C, target-only RMSE was 6.8888 °C, and all 999 proposed-method external clips occurred in the rejected set. Profile 14 was rejected and accounted for the catastrophic guarded trajectory. These observations are consistent with support being useful as a safety screen. They do not prove that the rule generalizes: only one external machine was available, and two of 14 source-test profiles were also rejected. Most importantly, the accepted-subset result cannot replace the all-profile primary result. A method that abstains on 62.5% of target profiles has limited coverage of the intended operating envelope.</w:t>
      </w:r>
    </w:p>
    <w:p>
      <w:pPr>
        <w:keepNext/>
        <w:spacing w:before="100" w:after="0"/>
        <w:jc w:val="center"/>
      </w:pPr>
      <w:r>
        <w:drawing>
          <wp:inline xmlns:a="http://schemas.openxmlformats.org/drawingml/2006/main" xmlns:pic="http://schemas.openxmlformats.org/drawingml/2006/picture">
            <wp:extent cx="5806440" cy="2510005"/>
            <wp:docPr id="2" name="Picture 2" descr="Figure 2. Frozen normalized-source minus source-prior RMSE versus the predeclared exogenous-support distance. Positive values favor calibration. Supported points are filled; unsupported points are open. Labels identify numerical/failure diagnostics."/>
            <wp:cNvGraphicFramePr>
              <a:graphicFrameLocks noChangeAspect="1"/>
            </wp:cNvGraphicFramePr>
            <a:graphic>
              <a:graphicData uri="http://schemas.openxmlformats.org/drawingml/2006/picture">
                <pic:pic>
                  <pic:nvPicPr>
                    <pic:cNvPr id="0" name="paper4_support_adaptation.png"/>
                    <pic:cNvPicPr/>
                  </pic:nvPicPr>
                  <pic:blipFill>
                    <a:blip r:embed="rId12"/>
                    <a:stretch>
                      <a:fillRect/>
                    </a:stretch>
                  </pic:blipFill>
                  <pic:spPr>
                    <a:xfrm>
                      <a:off x="0" y="0"/>
                      <a:ext cx="5806440" cy="2510005"/>
                    </a:xfrm>
                    <a:prstGeom prst="rect"/>
                  </pic:spPr>
                </pic:pic>
              </a:graphicData>
            </a:graphic>
          </wp:inline>
        </w:drawing>
      </w:r>
    </w:p>
    <w:p>
      <w:pPr>
        <w:pStyle w:val="Heading2"/>
      </w:pPr>
      <w:r>
        <w:rPr>
          <w:rFonts w:ascii="Times New Roman" w:hAnsi="Times New Roman" w:eastAsia="Times New Roman"/>
          <w:sz w:val="21"/>
        </w:rPr>
        <w:t>4.4 More target labels reduced error; target-only fitting remained the safer default</w:t>
      </w:r>
    </w:p>
    <w:p>
      <w:r>
        <w:rPr>
          <w:rFonts w:ascii="Times New Roman" w:hAnsi="Times New Roman" w:eastAsia="Times New Roman"/>
          <w:sz w:val="21"/>
        </w:rPr>
        <w:t>Budget sensitivity used a common 10-min rollout after 1, 5, or 15 min of labels (Table 3; Figure 3). At one minute, source priors helped relative to a freshly fitted target-only model on the source test (20.6487 versus 22.3954 °C), but both were poor and activated guards. Externally, target-only was already better (9.3166 versus 23.9308 °C). At five minutes on this common horizon, target-only reached 3.5228 °C on source profiles and 3.4077 °C externally, with no clips; source-prior values were 7.4630 and 8.0900 °C, respectively.</w:t>
      </w:r>
    </w:p>
    <w:p>
      <w:r>
        <w:rPr>
          <w:rFonts w:ascii="Times New Roman" w:hAnsi="Times New Roman" w:eastAsia="Times New Roman"/>
          <w:sz w:val="21"/>
        </w:rPr>
        <w:t>At 15 minutes, both target-fitted methods improved substantially. Target-only fitting achieved 2.0346 °C on source and 2.0653 °C externally, while source-prior calibration achieved 2.2465 and 2.5659 °C. Neither activated a guard. The source prior therefore did not improve average accuracy once the target prefix was sufficiently informative. For these machines, a commissioning policy that gathers more target data and fits the transparent target model was safer than assuming source parameters would stabilize a short prefix.</w:t>
      </w:r>
    </w:p>
    <w:p>
      <w:pPr>
        <w:pStyle w:val="PaperCaption"/>
      </w:pPr>
      <w:r>
        <w:rPr>
          <w:rFonts w:ascii="Times New Roman" w:hAnsi="Times New Roman" w:eastAsia="Times New Roman"/>
          <w:b/>
          <w:sz w:val="21"/>
        </w:rPr>
        <w:t>Table 3. Commissioning-budget sensitivity; each prefix is followed by the same 10-min hidden-label rollout. Values are profile-macro RMSE in °C.</w:t>
      </w:r>
    </w:p>
    <w:tbl>
      <w:tblPr>
        <w:tblStyle w:val="TableGrid"/>
        <w:tblW w:type="dxa" w:w="9360"/>
        <w:jc w:val="left"/>
        <w:tblLook w:firstColumn="1" w:firstRow="1" w:lastColumn="0" w:lastRow="0" w:noHBand="0" w:noVBand="1" w:val="04A0"/>
        <w:tblLayout w:type="fixed"/>
        <w:tblInd w:w="120" w:type="dxa"/>
      </w:tblPr>
      <w:tblGrid>
        <w:gridCol w:w="1635"/>
        <w:gridCol w:w="1810"/>
        <w:gridCol w:w="1367"/>
        <w:gridCol w:w="1367"/>
        <w:gridCol w:w="1367"/>
        <w:gridCol w:w="1814"/>
      </w:tblGrid>
      <w:tr>
        <w:trPr>
          <w:tblHeader w:val="true"/>
        </w:trPr>
        <w:tc>
          <w:tcPr>
            <w:tcW w:type="dxa" w:w="1635"/>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Dataset</w:t>
            </w:r>
          </w:p>
        </w:tc>
        <w:tc>
          <w:tcPr>
            <w:tcW w:type="dxa" w:w="1810"/>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Method</w:t>
            </w:r>
          </w:p>
        </w:tc>
        <w:tc>
          <w:tcPr>
            <w:tcW w:type="dxa" w:w="1367"/>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1 min</w:t>
            </w:r>
          </w:p>
        </w:tc>
        <w:tc>
          <w:tcPr>
            <w:tcW w:type="dxa" w:w="1367"/>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5 min</w:t>
            </w:r>
          </w:p>
        </w:tc>
        <w:tc>
          <w:tcPr>
            <w:tcW w:type="dxa" w:w="1367"/>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15 min</w:t>
            </w:r>
          </w:p>
        </w:tc>
        <w:tc>
          <w:tcPr>
            <w:tcW w:type="dxa" w:w="1814"/>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Clips at 1/5/15 min</w:t>
            </w:r>
          </w:p>
        </w:tc>
      </w:tr>
      <w:tr>
        <w:tc>
          <w:tcPr>
            <w:tcW w:type="dxa" w:w="16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Source test</w:t>
            </w:r>
          </w:p>
        </w:tc>
        <w:tc>
          <w:tcPr>
            <w:tcW w:type="dxa" w:w="18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Normalized source</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11.502</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6.019</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6.550</w:t>
            </w:r>
          </w:p>
        </w:tc>
        <w:tc>
          <w:tcPr>
            <w:tcW w:type="dxa" w:w="18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 / 0 / 0</w:t>
            </w:r>
          </w:p>
        </w:tc>
      </w:tr>
      <w:tr>
        <w:tc>
          <w:tcPr>
            <w:tcW w:type="dxa" w:w="16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Source test</w:t>
            </w:r>
          </w:p>
        </w:tc>
        <w:tc>
          <w:tcPr>
            <w:tcW w:type="dxa" w:w="18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Target-only prefix</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22.395</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3.523</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2.035</w:t>
            </w:r>
          </w:p>
        </w:tc>
        <w:tc>
          <w:tcPr>
            <w:tcW w:type="dxa" w:w="18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34 / 0 / 0</w:t>
            </w:r>
          </w:p>
        </w:tc>
      </w:tr>
      <w:tr>
        <w:tc>
          <w:tcPr>
            <w:tcW w:type="dxa" w:w="16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Source test</w:t>
            </w:r>
          </w:p>
        </w:tc>
        <w:tc>
          <w:tcPr>
            <w:tcW w:type="dxa" w:w="18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Source-prior prefix</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20.649</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7.463</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2.247</w:t>
            </w:r>
          </w:p>
        </w:tc>
        <w:tc>
          <w:tcPr>
            <w:tcW w:type="dxa" w:w="18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202 / 0 / 0</w:t>
            </w:r>
          </w:p>
        </w:tc>
      </w:tr>
      <w:tr>
        <w:tc>
          <w:tcPr>
            <w:tcW w:type="dxa" w:w="16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External test</w:t>
            </w:r>
          </w:p>
        </w:tc>
        <w:tc>
          <w:tcPr>
            <w:tcW w:type="dxa" w:w="18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Normalized source</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44.218</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12.454</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4.897</w:t>
            </w:r>
          </w:p>
        </w:tc>
        <w:tc>
          <w:tcPr>
            <w:tcW w:type="dxa" w:w="18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2294 / 83 / 0</w:t>
            </w:r>
          </w:p>
        </w:tc>
      </w:tr>
      <w:tr>
        <w:tc>
          <w:tcPr>
            <w:tcW w:type="dxa" w:w="16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External test</w:t>
            </w:r>
          </w:p>
        </w:tc>
        <w:tc>
          <w:tcPr>
            <w:tcW w:type="dxa" w:w="18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Target-only prefix</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9.317</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3.408</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2.065</w:t>
            </w:r>
          </w:p>
        </w:tc>
        <w:tc>
          <w:tcPr>
            <w:tcW w:type="dxa" w:w="18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153 / 0 / 0</w:t>
            </w:r>
          </w:p>
        </w:tc>
      </w:tr>
      <w:tr>
        <w:tc>
          <w:tcPr>
            <w:tcW w:type="dxa" w:w="16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External test</w:t>
            </w:r>
          </w:p>
        </w:tc>
        <w:tc>
          <w:tcPr>
            <w:tcW w:type="dxa" w:w="18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Source-prior prefix</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23.931</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8.090</w:t>
            </w:r>
          </w:p>
        </w:tc>
        <w:tc>
          <w:tcPr>
            <w:tcW w:type="dxa" w:w="13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2.566</w:t>
            </w:r>
          </w:p>
        </w:tc>
        <w:tc>
          <w:tcPr>
            <w:tcW w:type="dxa" w:w="181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1213 / 129 / 0</w:t>
            </w:r>
          </w:p>
        </w:tc>
      </w:tr>
    </w:tbl>
    <w:p>
      <w:pPr>
        <w:spacing w:after="20"/>
      </w:pPr>
    </w:p>
    <w:p>
      <w:pPr>
        <w:keepNext/>
        <w:spacing w:before="100" w:after="0"/>
        <w:jc w:val="center"/>
      </w:pPr>
      <w:r>
        <w:drawing>
          <wp:inline xmlns:a="http://schemas.openxmlformats.org/drawingml/2006/main" xmlns:pic="http://schemas.openxmlformats.org/drawingml/2006/picture">
            <wp:extent cx="5806440" cy="2560304"/>
            <wp:docPr id="3" name="Picture 3" descr="Figure 3. Mean profile-macro RMSE and 95% complete-profile bootstrap intervals for the three commissioning budgets. Every point uses the same subsequent 10-min rollout."/>
            <wp:cNvGraphicFramePr>
              <a:graphicFrameLocks noChangeAspect="1"/>
            </wp:cNvGraphicFramePr>
            <a:graphic>
              <a:graphicData uri="http://schemas.openxmlformats.org/drawingml/2006/picture">
                <pic:pic>
                  <pic:nvPicPr>
                    <pic:cNvPr id="0" name="paper4_budget_sensitivity.png"/>
                    <pic:cNvPicPr/>
                  </pic:nvPicPr>
                  <pic:blipFill>
                    <a:blip r:embed="rId13"/>
                    <a:stretch>
                      <a:fillRect/>
                    </a:stretch>
                  </pic:blipFill>
                  <pic:spPr>
                    <a:xfrm>
                      <a:off x="0" y="0"/>
                      <a:ext cx="5806440" cy="2560304"/>
                    </a:xfrm>
                    <a:prstGeom prst="rect"/>
                  </pic:spPr>
                </pic:pic>
              </a:graphicData>
            </a:graphic>
          </wp:inline>
        </w:drawing>
      </w:r>
    </w:p>
    <w:p>
      <w:pPr>
        <w:pStyle w:val="Heading2"/>
      </w:pPr>
      <w:r>
        <w:rPr>
          <w:rFonts w:ascii="Times New Roman" w:hAnsi="Times New Roman" w:eastAsia="Times New Roman"/>
          <w:sz w:val="21"/>
        </w:rPr>
        <w:t>4.5 Nominal coverage could be accurate but operationally empty</w:t>
      </w:r>
    </w:p>
    <w:p>
      <w:r>
        <w:rPr>
          <w:rFonts w:ascii="Times New Roman" w:hAnsi="Times New Roman" w:eastAsia="Times New Roman"/>
          <w:sz w:val="21"/>
        </w:rPr>
        <w:t>The raw source network's narrow bands averaged 5.3954 °C half-width across nodes. On the source test, joint all-node trajectory coverage was 9/14 (64.29%); externally it collapsed to 1/16 (6.25%). This is direct evidence that a band calibrated on source profiles did not transport with the raw model.</w:t>
      </w:r>
    </w:p>
    <w:p>
      <w:r>
        <w:rPr>
          <w:rFonts w:ascii="Times New Roman" w:hAnsi="Times New Roman" w:eastAsia="Times New Roman"/>
          <w:sz w:val="21"/>
        </w:rPr>
        <w:t>The source-prior method passed the predeclared source uncertainty gate: every node covered at least 13/14 source profiles (92.86%), and joint all-node coverage was also 13/14. External joint coverage was 15/16 (93.75%). However, the matched-horizon half-widths were 72.06 °C for rotor, 87.26 °C for stator core, and 158.88 °C for winding, averaging 106.07 °C. A 90% band this wide cannot provide a useful warning margin for ordinary motor thermal limits. Persistence bands similarly obtained high coverage by being broad. Figure 4 makes the coverage-width trade-off explicit.</w:t>
      </w:r>
    </w:p>
    <w:p>
      <w:pPr>
        <w:pStyle w:val="PaperCaption"/>
      </w:pPr>
      <w:r>
        <w:rPr>
          <w:rFonts w:ascii="Times New Roman" w:hAnsi="Times New Roman" w:eastAsia="Times New Roman"/>
          <w:b/>
          <w:sz w:val="21"/>
        </w:rPr>
        <w:t>Table 4. Matched-horizon trajectory-band audit. Bands were calibrated only on 11 complete source- validation profiles.</w:t>
      </w:r>
    </w:p>
    <w:tbl>
      <w:tblPr>
        <w:tblStyle w:val="TableGrid"/>
        <w:tblW w:type="dxa" w:w="9360"/>
        <w:jc w:val="left"/>
        <w:tblLook w:firstColumn="1" w:firstRow="1" w:lastColumn="0" w:lastRow="0" w:noHBand="0" w:noVBand="1" w:val="04A0"/>
        <w:tblLayout w:type="fixed"/>
        <w:tblInd w:w="120" w:type="dxa"/>
      </w:tblPr>
      <w:tblGrid>
        <w:gridCol w:w="1882"/>
        <w:gridCol w:w="1791"/>
        <w:gridCol w:w="1837"/>
        <w:gridCol w:w="1767"/>
        <w:gridCol w:w="2083"/>
      </w:tblGrid>
      <w:tr>
        <w:trPr>
          <w:tblHeader w:val="true"/>
        </w:trPr>
        <w:tc>
          <w:tcPr>
            <w:tcW w:type="dxa" w:w="1882"/>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Method</w:t>
            </w:r>
          </w:p>
        </w:tc>
        <w:tc>
          <w:tcPr>
            <w:tcW w:type="dxa" w:w="179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Source joint coverage</w:t>
            </w:r>
          </w:p>
        </w:tc>
        <w:tc>
          <w:tcPr>
            <w:tcW w:type="dxa" w:w="1837"/>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External joint coverage</w:t>
            </w:r>
          </w:p>
        </w:tc>
        <w:tc>
          <w:tcPr>
            <w:tcW w:type="dxa" w:w="1767"/>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Mean half-width (°C)</w:t>
            </w:r>
          </w:p>
        </w:tc>
        <w:tc>
          <w:tcPr>
            <w:tcW w:type="dxa" w:w="2083"/>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Interpretation</w:t>
            </w:r>
          </w:p>
        </w:tc>
      </w:tr>
      <w:tr>
        <w:tc>
          <w:tcPr>
            <w:tcW w:type="dxa" w:w="188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Raw source network</w:t>
            </w:r>
          </w:p>
        </w:tc>
        <w:tc>
          <w:tcPr>
            <w:tcW w:type="dxa" w:w="17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9/14 (64.3%)</w:t>
            </w:r>
          </w:p>
        </w:tc>
        <w:tc>
          <w:tcPr>
            <w:tcW w:type="dxa" w:w="18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1/16 (6.3%)</w:t>
            </w:r>
          </w:p>
        </w:tc>
        <w:tc>
          <w:tcPr>
            <w:tcW w:type="dxa" w:w="17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5.40</w:t>
            </w:r>
          </w:p>
        </w:tc>
        <w:tc>
          <w:tcPr>
            <w:tcW w:type="dxa" w:w="208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Sharp but non-transportable</w:t>
            </w:r>
          </w:p>
        </w:tc>
      </w:tr>
      <w:tr>
        <w:tc>
          <w:tcPr>
            <w:tcW w:type="dxa" w:w="188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Normalized source network</w:t>
            </w:r>
          </w:p>
        </w:tc>
        <w:tc>
          <w:tcPr>
            <w:tcW w:type="dxa" w:w="17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14/14 (100%)</w:t>
            </w:r>
          </w:p>
        </w:tc>
        <w:tc>
          <w:tcPr>
            <w:tcW w:type="dxa" w:w="18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13/16 (81.3%)</w:t>
            </w:r>
          </w:p>
        </w:tc>
        <w:tc>
          <w:tcPr>
            <w:tcW w:type="dxa" w:w="17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55.03</w:t>
            </w:r>
          </w:p>
        </w:tc>
        <w:tc>
          <w:tcPr>
            <w:tcW w:type="dxa" w:w="208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Broad</w:t>
            </w:r>
          </w:p>
        </w:tc>
      </w:tr>
      <w:tr>
        <w:tc>
          <w:tcPr>
            <w:tcW w:type="dxa" w:w="188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Target-only prefix</w:t>
            </w:r>
          </w:p>
        </w:tc>
        <w:tc>
          <w:tcPr>
            <w:tcW w:type="dxa" w:w="17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14/14 (100%)</w:t>
            </w:r>
          </w:p>
        </w:tc>
        <w:tc>
          <w:tcPr>
            <w:tcW w:type="dxa" w:w="18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15/16 (93.8%)</w:t>
            </w:r>
          </w:p>
        </w:tc>
        <w:tc>
          <w:tcPr>
            <w:tcW w:type="dxa" w:w="17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60.87</w:t>
            </w:r>
          </w:p>
        </w:tc>
        <w:tc>
          <w:tcPr>
            <w:tcW w:type="dxa" w:w="208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Broad</w:t>
            </w:r>
          </w:p>
        </w:tc>
      </w:tr>
      <w:tr>
        <w:tc>
          <w:tcPr>
            <w:tcW w:type="dxa" w:w="188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Source-prior prefix</w:t>
            </w:r>
          </w:p>
        </w:tc>
        <w:tc>
          <w:tcPr>
            <w:tcW w:type="dxa" w:w="17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13/14 (92.9%)</w:t>
            </w:r>
          </w:p>
        </w:tc>
        <w:tc>
          <w:tcPr>
            <w:tcW w:type="dxa" w:w="18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15/16 (93.8%)</w:t>
            </w:r>
          </w:p>
        </w:tc>
        <w:tc>
          <w:tcPr>
            <w:tcW w:type="dxa" w:w="17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106.07</w:t>
            </w:r>
          </w:p>
        </w:tc>
        <w:tc>
          <w:tcPr>
            <w:tcW w:type="dxa" w:w="208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Coverage operationally vacuous</w:t>
            </w:r>
          </w:p>
        </w:tc>
      </w:tr>
      <w:tr>
        <w:tc>
          <w:tcPr>
            <w:tcW w:type="dxa" w:w="188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Boundary persistence</w:t>
            </w:r>
          </w:p>
        </w:tc>
        <w:tc>
          <w:tcPr>
            <w:tcW w:type="dxa" w:w="17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13/14 (92.9%)</w:t>
            </w:r>
          </w:p>
        </w:tc>
        <w:tc>
          <w:tcPr>
            <w:tcW w:type="dxa" w:w="18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16/16 (100%)</w:t>
            </w:r>
          </w:p>
        </w:tc>
        <w:tc>
          <w:tcPr>
            <w:tcW w:type="dxa" w:w="176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56.05</w:t>
            </w:r>
          </w:p>
        </w:tc>
        <w:tc>
          <w:tcPr>
            <w:tcW w:type="dxa" w:w="208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High coverage, weak point predictor</w:t>
            </w:r>
          </w:p>
        </w:tc>
      </w:tr>
    </w:tbl>
    <w:p>
      <w:pPr>
        <w:spacing w:after="20"/>
      </w:pPr>
    </w:p>
    <w:p>
      <w:pPr>
        <w:keepNext/>
        <w:spacing w:before="100" w:after="0"/>
        <w:jc w:val="center"/>
      </w:pPr>
      <w:r>
        <w:drawing>
          <wp:inline xmlns:a="http://schemas.openxmlformats.org/drawingml/2006/main" xmlns:pic="http://schemas.openxmlformats.org/drawingml/2006/picture">
            <wp:extent cx="5806440" cy="2607266"/>
            <wp:docPr id="4" name="Picture 4" descr="Figure 4. Joint all-node trajectory coverage versus mean band half-width. The dashed line is the 90% target. Coverage without width is not a sufficient reliability criterion."/>
            <wp:cNvGraphicFramePr>
              <a:graphicFrameLocks noChangeAspect="1"/>
            </wp:cNvGraphicFramePr>
            <a:graphic>
              <a:graphicData uri="http://schemas.openxmlformats.org/drawingml/2006/picture">
                <pic:pic>
                  <pic:nvPicPr>
                    <pic:cNvPr id="0" name="paper4_uncertainty_tradeoff.png"/>
                    <pic:cNvPicPr/>
                  </pic:nvPicPr>
                  <pic:blipFill>
                    <a:blip r:embed="rId14"/>
                    <a:stretch>
                      <a:fillRect/>
                    </a:stretch>
                  </pic:blipFill>
                  <pic:spPr>
                    <a:xfrm>
                      <a:off x="0" y="0"/>
                      <a:ext cx="5806440" cy="2607266"/>
                    </a:xfrm>
                    <a:prstGeom prst="rect"/>
                  </pic:spPr>
                </pic:pic>
              </a:graphicData>
            </a:graphic>
          </wp:inline>
        </w:drawing>
      </w:r>
    </w:p>
    <w:p>
      <w:pPr>
        <w:pStyle w:val="Heading2"/>
      </w:pPr>
      <w:r>
        <w:rPr>
          <w:rFonts w:ascii="Times New Roman" w:hAnsi="Times New Roman" w:eastAsia="Times New Roman"/>
          <w:sz w:val="21"/>
        </w:rPr>
        <w:t>4.6 Trajectories expose both conditional utility and catastrophic extrapolation</w:t>
      </w:r>
    </w:p>
    <w:p>
      <w:r>
        <w:rPr>
          <w:rFonts w:ascii="Times New Roman" w:hAnsi="Times New Roman" w:eastAsia="Times New Roman"/>
          <w:sz w:val="21"/>
        </w:rPr>
        <w:t>For the nearest supported external profile, source-prior calibration followed winding and stator-core dynamics substantially better than the raw source network, while rotor estimates remained biased (Figure 5, top). This is the scenario represented by the favorable accepted-subset average. In external profile 14, by contrast, source-prior winding and stator-core predictions rose to the 250 °C guard and rotor predictions exceeded 200 °C, while measured states remained near ordinary operating temperatures (Figure 5, bottom). Target-only predictions also drifted in two nodes but did not activate the guard.</w:t>
      </w:r>
    </w:p>
    <w:p>
      <w:r>
        <w:rPr>
          <w:rFonts w:ascii="Times New Roman" w:hAnsi="Times New Roman" w:eastAsia="Times New Roman"/>
          <w:sz w:val="21"/>
        </w:rPr>
        <w:t>The failure is not hidden by averaging or early termination. Every second in the declared horizon remained in the prediction file; guarded values and counts are reported. The trajectory illustrates why a finite clipped RMSE must not be interpreted as stable model behavior.</w:t>
      </w:r>
    </w:p>
    <w:p>
      <w:pPr>
        <w:keepNext/>
        <w:spacing w:before="100" w:after="0"/>
        <w:jc w:val="center"/>
      </w:pPr>
      <w:r>
        <w:drawing>
          <wp:inline xmlns:a="http://schemas.openxmlformats.org/drawingml/2006/main" xmlns:pic="http://schemas.openxmlformats.org/drawingml/2006/picture">
            <wp:extent cx="5806440" cy="3294370"/>
            <wp:docPr id="5" name="Picture 5" descr="Figure 5. External recursive trajectories after five minutes of observed target temperatures. Top: nearest supported profile. Bottom: predeclared-unsupported profile 14, where the source-prior method activates the numerical guard."/>
            <wp:cNvGraphicFramePr>
              <a:graphicFrameLocks noChangeAspect="1"/>
            </wp:cNvGraphicFramePr>
            <a:graphic>
              <a:graphicData uri="http://schemas.openxmlformats.org/drawingml/2006/picture">
                <pic:pic>
                  <pic:nvPicPr>
                    <pic:cNvPr id="0" name="paper4_external_trajectories.png"/>
                    <pic:cNvPicPr/>
                  </pic:nvPicPr>
                  <pic:blipFill>
                    <a:blip r:embed="rId15"/>
                    <a:stretch>
                      <a:fillRect/>
                    </a:stretch>
                  </pic:blipFill>
                  <pic:spPr>
                    <a:xfrm>
                      <a:off x="0" y="0"/>
                      <a:ext cx="5806440" cy="3294370"/>
                    </a:xfrm>
                    <a:prstGeom prst="rect"/>
                  </pic:spPr>
                </pic:pic>
              </a:graphicData>
            </a:graphic>
          </wp:inline>
        </w:drawing>
      </w:r>
    </w:p>
    <w:p>
      <w:pPr>
        <w:pStyle w:val="Heading1"/>
      </w:pPr>
      <w:r>
        <w:rPr>
          <w:rFonts w:ascii="Times New Roman" w:hAnsi="Times New Roman" w:eastAsia="Times New Roman"/>
          <w:sz w:val="21"/>
        </w:rPr>
        <w:t>5. Discussion</w:t>
      </w:r>
    </w:p>
    <w:p>
      <w:pPr>
        <w:pStyle w:val="Heading2"/>
      </w:pPr>
      <w:r>
        <w:rPr>
          <w:rFonts w:ascii="Times New Roman" w:hAnsi="Times New Roman" w:eastAsia="Times New Roman"/>
          <w:sz w:val="21"/>
        </w:rPr>
        <w:t>5.1 What transported, what did not, and why the distinction matters</w:t>
      </w:r>
    </w:p>
    <w:p>
      <w:r>
        <w:rPr>
          <w:rFonts w:ascii="Times New Roman" w:hAnsi="Times New Roman" w:eastAsia="Times New Roman"/>
          <w:sz w:val="21"/>
        </w:rPr>
        <w:t>The study separates several claims that are often compressed into “generalization.” First, the raw thermal network generalized across source-machine profiles: 1.87 °C matched and 2.38 °C long-horizon RMSE are strong within-machine results. Second, those dynamics did not transport to the external machine: error increased by more than an order of magnitude. Third, normalized features reduced some magnitude mismatch but did not yield a reliable source model. Fourth, five-minute source-prior adaptation helped relative to that weak normalized comparator externally but was inferior to target-only fitting and persistence on the full external set. Fifth, the source-prior uncertainty band covered most profiles only by becoming extremely wide.</w:t>
      </w:r>
    </w:p>
    <w:p>
      <w:r>
        <w:rPr>
          <w:rFonts w:ascii="Times New Roman" w:hAnsi="Times New Roman" w:eastAsia="Times New Roman"/>
          <w:sz w:val="21"/>
        </w:rPr>
        <w:t>This decomposition prevents a common logical error. A positive relative improvement over one frozen baseline does not imply absolute usefulness. The external adaptation gate answered whether the source-prior update improved the normalized source model. It did. The operational comparison asked whether it was accurate, stable, and preferable to target-only or trivial controls. It was not. Retaining both statements makes the gate auditable rather than retroactively redefining success.</w:t>
      </w:r>
    </w:p>
    <w:p>
      <w:r>
        <w:rPr>
          <w:rFonts w:ascii="Times New Roman" w:hAnsi="Times New Roman" w:eastAsia="Times New Roman"/>
          <w:sz w:val="21"/>
        </w:rPr>
        <w:t>The raw model's failure is physically plausible. Effective couplings absorb motor geometry, thermal mass, cooling paths, sensor placement, and controller-dependent loss relationships. A 52 kW machine's absolute current, voltage, and heat-capacity scale should not be assumed transferable to a different IPMSM. Normalization removes magnitude but can also discard absolute information needed to identify heat generation. The source result-raw much better than normalized-shows that absolute scale carried real predictive signal within the first machine. Cross-machine invariance and within-machine fidelity are therefore competing design objectives, not guaranteed allies.</w:t>
      </w:r>
    </w:p>
    <w:p>
      <w:pPr>
        <w:pStyle w:val="Heading2"/>
      </w:pPr>
      <w:r>
        <w:rPr>
          <w:rFonts w:ascii="Times New Roman" w:hAnsi="Times New Roman" w:eastAsia="Times New Roman"/>
          <w:sz w:val="21"/>
        </w:rPr>
        <w:t>5.2 Why the source prior sometimes hurt</w:t>
      </w:r>
    </w:p>
    <w:p>
      <w:r>
        <w:rPr>
          <w:rFonts w:ascii="Times New Roman" w:hAnsi="Times New Roman" w:eastAsia="Times New Roman"/>
          <w:sz w:val="21"/>
        </w:rPr>
        <w:t>The source-prior estimator has only 299 target transitions at the primary budget and nine nonnegative coefficients per node. The quadratic penalty discourages parameter movement but does not impose closed-loop stability. A prefix may excite only a subset of heat pathways; parameters that fit local derivatives can still extrapolate badly when later current, speed, boundary temperature, or torque patterns change. Profile 14 demonstrates this failure mode. A smaller one-step residual is not sufficient for a stable 20-min recursive rollout.</w:t>
      </w:r>
    </w:p>
    <w:p>
      <w:r>
        <w:rPr>
          <w:rFonts w:ascii="Times New Roman" w:hAnsi="Times New Roman" w:eastAsia="Times New Roman"/>
          <w:sz w:val="21"/>
        </w:rPr>
        <w:t>The support result suggests a conditional use. In the six external prefixes close to source-train exogenous summaries, the source prior improved target-only RMSE by about 1.37 °C and remained within the guard. This could motivate a gated commissioning controller: use source-prior calibration only inside a validated support region; otherwise collect more target labels or fall back to a safer method. The current evidence cannot certify that policy because the threshold was tested on only one second machine and accepted fewer than half its profiles. It is a hypothesis for a prospective multi-motor study, not a deployed rule.</w:t>
      </w:r>
    </w:p>
    <w:p>
      <w:pPr>
        <w:pStyle w:val="Heading2"/>
      </w:pPr>
      <w:r>
        <w:rPr>
          <w:rFonts w:ascii="Times New Roman" w:hAnsi="Times New Roman" w:eastAsia="Times New Roman"/>
          <w:sz w:val="21"/>
        </w:rPr>
        <w:t>5.3 Implications for adaptive digital twins</w:t>
      </w:r>
    </w:p>
    <w:p>
      <w:r>
        <w:rPr>
          <w:rFonts w:ascii="Times New Roman" w:hAnsi="Times New Roman" w:eastAsia="Times New Roman"/>
          <w:sz w:val="21"/>
        </w:rPr>
        <w:t>Adaptive digital twins are often presented as continuously improving estimators. The present results add three safeguards. First, adaptation should be evaluated in the same closed-loop mode in which the state will be used; one-step accuracy can hide unstable recursion. Second, a source prior needs a negative-transfer detector or stable fallback, not only a regularization coefficient. Third, target-label budget is part of the algorithm. Fifteen minutes changed the conclusion: target-only fitting reached about 2.07 °C externally without guard activation, outperforming the source-prior version.</w:t>
      </w:r>
    </w:p>
    <w:p>
      <w:r>
        <w:rPr>
          <w:rFonts w:ascii="Times New Roman" w:hAnsi="Times New Roman" w:eastAsia="Times New Roman"/>
          <w:sz w:val="21"/>
        </w:rPr>
        <w:t>Temporary target-temperature access may be feasible during commissioning with instrumented test units, but not on every deployed motor. If no three-node prefix can be measured, the target-only results are not directly available. Future work should test partial-label commissioning, sparse surface sensors, offline fleet priors, and parameter constraints derived from thermal passivity.</w:t>
      </w:r>
    </w:p>
    <w:p>
      <w:pPr>
        <w:pStyle w:val="Heading2"/>
      </w:pPr>
      <w:r>
        <w:rPr>
          <w:rFonts w:ascii="Times New Roman" w:hAnsi="Times New Roman" w:eastAsia="Times New Roman"/>
          <w:sz w:val="21"/>
        </w:rPr>
        <w:t>5.4 Uncertainty must be judged by coverage and usefulness</w:t>
      </w:r>
    </w:p>
    <w:p>
      <w:r>
        <w:rPr>
          <w:rFonts w:ascii="Times New Roman" w:hAnsi="Times New Roman" w:eastAsia="Times New Roman"/>
          <w:sz w:val="21"/>
        </w:rPr>
        <w:t>Functional or trajectory conformal methods correctly emphasize simultaneous coverage rather than isolated time points. But a formal or empirical coverage target is only one axis of usefulness. The source-prior method's 106 °C mean half-width would span much of the physically permissible temperature range. Such a band cannot distinguish normal operation from a meaningful thermal limit. Reporting coverage without width could therefore rank the least informative method as the most trustworthy.</w:t>
      </w:r>
    </w:p>
    <w:p>
      <w:r>
        <w:rPr>
          <w:rFonts w:ascii="Times New Roman" w:hAnsi="Times New Roman" w:eastAsia="Times New Roman"/>
          <w:sz w:val="21"/>
        </w:rPr>
        <w:t>The external results also show why source-calibrated uncertainty cannot be assumed portable. The raw model's band was sharp on the source validation distribution yet covered only one external profile jointly. A future target deployment needs either target calibration profiles, explicit shift-aware weighting with validated overlap, or a conservative statement that the band is uncalibrated. The current support score is an abstention heuristic; it does not restore conformal validity.</w:t>
      </w:r>
    </w:p>
    <w:p>
      <w:pPr>
        <w:pStyle w:val="Heading2"/>
      </w:pPr>
      <w:r>
        <w:rPr>
          <w:rFonts w:ascii="Times New Roman" w:hAnsi="Times New Roman" w:eastAsia="Times New Roman"/>
          <w:sz w:val="21"/>
        </w:rPr>
        <w:t>5.5 Recommended evaluation checklist</w:t>
      </w:r>
    </w:p>
    <w:p>
      <w:r>
        <w:rPr>
          <w:rFonts w:ascii="Times New Roman" w:hAnsi="Times New Roman" w:eastAsia="Times New Roman"/>
          <w:sz w:val="21"/>
        </w:rPr>
        <w:t>For cross-motor thermal estimation, the following minimum reporting set follows from the evidence:</w:t>
      </w:r>
    </w:p>
    <w:p>
      <w:pPr>
        <w:pStyle w:val="ListBullet"/>
      </w:pPr>
      <w:r>
        <w:rPr>
          <w:rFonts w:ascii="Times New Roman" w:hAnsi="Times New Roman" w:eastAsia="Times New Roman"/>
          <w:sz w:val="21"/>
        </w:rPr>
        <w:t>split complete profiles, sessions, and physical machines before fitting;</w:t>
      </w:r>
    </w:p>
    <w:p>
      <w:pPr>
        <w:pStyle w:val="ListBullet"/>
      </w:pPr>
      <w:r>
        <w:rPr>
          <w:rFonts w:ascii="Times New Roman" w:hAnsi="Times New Roman" w:eastAsia="Times New Roman"/>
          <w:sz w:val="21"/>
        </w:rPr>
        <w:t>state exactly how many seconds of target temperature labels are used;</w:t>
      </w:r>
    </w:p>
    <w:p>
      <w:pPr>
        <w:pStyle w:val="ListBullet"/>
      </w:pPr>
      <w:r>
        <w:rPr>
          <w:rFonts w:ascii="Times New Roman" w:hAnsi="Times New Roman" w:eastAsia="Times New Roman"/>
          <w:sz w:val="21"/>
        </w:rPr>
        <w:t>evaluate recursive trajectories after labels are hidden;</w:t>
      </w:r>
    </w:p>
    <w:p>
      <w:pPr>
        <w:pStyle w:val="ListBullet"/>
      </w:pPr>
      <w:r>
        <w:rPr>
          <w:rFonts w:ascii="Times New Roman" w:hAnsi="Times New Roman" w:eastAsia="Times New Roman"/>
          <w:sz w:val="21"/>
        </w:rPr>
        <w:t>include target-only fitting and persistence, not only source-based baselines;</w:t>
      </w:r>
    </w:p>
    <w:p>
      <w:pPr>
        <w:pStyle w:val="ListBullet"/>
      </w:pPr>
      <w:r>
        <w:rPr>
          <w:rFonts w:ascii="Times New Roman" w:hAnsi="Times New Roman" w:eastAsia="Times New Roman"/>
          <w:sz w:val="21"/>
        </w:rPr>
        <w:t>report every numerical clip and non-finite state;</w:t>
      </w:r>
    </w:p>
    <w:p>
      <w:pPr>
        <w:pStyle w:val="ListBullet"/>
      </w:pPr>
      <w:r>
        <w:rPr>
          <w:rFonts w:ascii="Times New Roman" w:hAnsi="Times New Roman" w:eastAsia="Times New Roman"/>
          <w:sz w:val="21"/>
        </w:rPr>
        <w:t>declare support before external outcomes and retain rejected profiles in primary summaries;</w:t>
      </w:r>
    </w:p>
    <w:p>
      <w:pPr>
        <w:pStyle w:val="ListBullet"/>
      </w:pPr>
      <w:r>
        <w:rPr>
          <w:rFonts w:ascii="Times New Roman" w:hAnsi="Times New Roman" w:eastAsia="Times New Roman"/>
          <w:sz w:val="21"/>
        </w:rPr>
        <w:t>report trajectory-band width beside coverage; and</w:t>
      </w:r>
    </w:p>
    <w:p>
      <w:pPr>
        <w:pStyle w:val="ListBullet"/>
      </w:pPr>
      <w:r>
        <w:rPr>
          <w:rFonts w:ascii="Times New Roman" w:hAnsi="Times New Roman" w:eastAsia="Times New Roman"/>
          <w:sz w:val="21"/>
        </w:rPr>
        <w:t>distinguish condition-level uncertainty from fleet-level generalization.</w:t>
      </w:r>
    </w:p>
    <w:p>
      <w:r>
        <w:rPr>
          <w:rFonts w:ascii="Times New Roman" w:hAnsi="Times New Roman" w:eastAsia="Times New Roman"/>
          <w:sz w:val="21"/>
        </w:rPr>
        <w:t>These controls are inexpensive compared with developing a new architecture and materially change the conclusion that can be drawn from the same predictions.</w:t>
      </w:r>
    </w:p>
    <w:p>
      <w:pPr>
        <w:pStyle w:val="Heading1"/>
      </w:pPr>
      <w:r>
        <w:rPr>
          <w:rFonts w:ascii="Times New Roman" w:hAnsi="Times New Roman" w:eastAsia="Times New Roman"/>
          <w:sz w:val="21"/>
        </w:rPr>
        <w:t>6. Limitations</w:t>
      </w:r>
    </w:p>
    <w:p>
      <w:r>
        <w:rPr>
          <w:rFonts w:ascii="Times New Roman" w:hAnsi="Times New Roman" w:eastAsia="Times New Roman"/>
          <w:sz w:val="21"/>
        </w:rPr>
        <w:t>Only two physical machines are represented, one in each public dataset. The 14 and 16 test profiles are repeated operating conditions, not independent motor specimens. Consequently, no bootstrap interval or p-value supports a population-wide claim across PMSM fleets, power classes, or cooling designs.</w:t>
      </w:r>
    </w:p>
    <w:p>
      <w:r>
        <w:rPr>
          <w:rFonts w:ascii="Times New Roman" w:hAnsi="Times New Roman" w:eastAsia="Times New Roman"/>
          <w:sz w:val="21"/>
        </w:rPr>
        <w:t>The external shift is compound. Machine size, rotor/stator construction, cooling, controller, sensor placement, operating profiles, and acquisition conventions differ simultaneously. The study quantifies transport failure but cannot identify the causal contribution of each factor. Controlled experiments that vary one component at a time would be required.</w:t>
      </w:r>
    </w:p>
    <w:p>
      <w:r>
        <w:rPr>
          <w:rFonts w:ascii="Times New Roman" w:hAnsi="Times New Roman" w:eastAsia="Times New Roman"/>
          <w:sz w:val="21"/>
        </w:rPr>
        <w:t>The three-node bridge is imperfect. The source PM sensor and external rotor sensor are related but not identical; both stator-core and external winding nodes are constructed averages. dq quantities, speed, and torque follow the sources' documented names and units, but neither dataset provides a complete metrological uncertainty budget. The external duration discrepancy is disclosed rather than resolved by assumption.</w:t>
      </w:r>
    </w:p>
    <w:p>
      <w:r>
        <w:rPr>
          <w:rFonts w:ascii="Times New Roman" w:hAnsi="Times New Roman" w:eastAsia="Times New Roman"/>
          <w:sz w:val="21"/>
        </w:rPr>
        <w:t>Five- and fifteen-minute calibration assume temporary access to all three target temperatures. This is realistic for an instrumented commissioning experiment, not necessarily for volume deployment. The target-only advantage therefore establishes an information benchmark, not a sensor-free production solution.</w:t>
      </w:r>
    </w:p>
    <w:p>
      <w:r>
        <w:rPr>
          <w:rFonts w:ascii="Times New Roman" w:hAnsi="Times New Roman" w:eastAsia="Times New Roman"/>
          <w:sz w:val="21"/>
        </w:rPr>
        <w:t>The positive network is deliberately low-order. Its nonnegative coefficients do not guarantee global closed-loop stability, and the common state guard limits numerical consequences rather than repairing the model. More structured passivity or energy-balance constraints may improve safety.</w:t>
      </w:r>
    </w:p>
    <w:p>
      <w:r>
        <w:rPr>
          <w:rFonts w:ascii="Times New Roman" w:hAnsi="Times New Roman" w:eastAsia="Times New Roman"/>
          <w:sz w:val="21"/>
        </w:rPr>
        <w:t>Finally, the support threshold and trajectory bands were calibrated only on source profiles. Their external results are descriptive. The favorable supported subset contains six profiles from one machine, while the source-prior band's high coverage is operationally uninformative because it is very wide. Neither result should be converted into a formal deployment guarantee.</w:t>
      </w:r>
    </w:p>
    <w:p>
      <w:pPr>
        <w:pStyle w:val="Heading1"/>
      </w:pPr>
      <w:r>
        <w:rPr>
          <w:rFonts w:ascii="Times New Roman" w:hAnsi="Times New Roman" w:eastAsia="Times New Roman"/>
          <w:sz w:val="21"/>
        </w:rPr>
        <w:t>7. Conclusion</w:t>
      </w:r>
    </w:p>
    <w:p>
      <w:r>
        <w:rPr>
          <w:rFonts w:ascii="Times New Roman" w:hAnsi="Times New Roman" w:eastAsia="Times New Roman"/>
          <w:sz w:val="21"/>
        </w:rPr>
        <w:t>A low-order electrothermal network can be highly accurate on unseen profiles of its source PMSM and still fail severely on a second machine. In the frozen benchmark, direct raw-model transport degraded from 1.87 to 24.49 °C RMSE and its joint trajectory coverage fell to 1/16. Five-minute source-prior calibration improved a normalized source comparator externally but failed on the source test, was worse overall than target-only fitting and persistence, and became numerically unstable on one rejected external profile. The prior was useful only in a predeclared region that accepted 6/16 external profiles. High empirical coverage did not rescue the method because its average band half-width exceeded 106 °C.</w:t>
      </w:r>
    </w:p>
    <w:p>
      <w:r>
        <w:rPr>
          <w:rFonts w:ascii="Times New Roman" w:hAnsi="Times New Roman" w:eastAsia="Times New Roman"/>
          <w:sz w:val="21"/>
        </w:rPr>
        <w:t>For these two PMSMs, the practical conclusion is not that source knowledge is useless. It is that a source prior must earn deployment through support, closed-loop stability, target-only comparison, and informative uncertainty. When 15 minutes of labels were available, target-only fitting was the safer default. A prospective multi-motor study should now test support-gated source priors with explicit stability constraints and target-machine calibration; until then, within-machine accuracy should not be presented as evidence of cross-machine digital-twin readiness.</w:t>
      </w:r>
    </w:p>
    <w:p>
      <w:pPr>
        <w:pStyle w:val="Heading1"/>
      </w:pPr>
      <w:r>
        <w:rPr>
          <w:rFonts w:ascii="Times New Roman" w:hAnsi="Times New Roman" w:eastAsia="Times New Roman"/>
          <w:sz w:val="21"/>
        </w:rPr>
        <w:t>Data and code availability</w:t>
      </w:r>
    </w:p>
    <w:p>
      <w:r>
        <w:rPr>
          <w:rFonts w:ascii="Times New Roman" w:hAnsi="Times New Roman" w:eastAsia="Times New Roman"/>
          <w:sz w:val="21"/>
        </w:rPr>
        <w:t xml:space="preserve">The source dataset is available from Kaggle under DOI </w:t>
      </w:r>
      <w:r>
        <w:rPr>
          <w:rFonts w:ascii="Courier New" w:hAnsi="Courier New" w:eastAsia="Courier New"/>
          <w:sz w:val="18"/>
        </w:rPr>
        <w:t>10.34740/KAGGLE/DSV/2161054</w:t>
      </w:r>
      <w:r>
        <w:rPr>
          <w:rFonts w:ascii="Times New Roman" w:hAnsi="Times New Roman" w:eastAsia="Times New Roman"/>
          <w:sz w:val="21"/>
        </w:rPr>
        <w:t xml:space="preserve">. The external data and published model code are available from the authors' </w:t>
      </w:r>
      <w:r>
        <w:rPr>
          <w:rFonts w:ascii="Courier New" w:hAnsi="Courier New" w:eastAsia="Courier New"/>
          <w:sz w:val="18"/>
        </w:rPr>
        <w:t>Zirui24/lptn_informed_LSTM</w:t>
      </w:r>
      <w:r>
        <w:rPr>
          <w:rFonts w:ascii="Times New Roman" w:hAnsi="Times New Roman" w:eastAsia="Times New Roman"/>
          <w:sz w:val="21"/>
        </w:rPr>
        <w:t xml:space="preserve"> repository at the frozen commit reported above. The complete analysis code, immutable configuration, audit outputs, profile-level errors, predictions, figure generators, tests, and a file-hash manifest accompany this manuscript. Raw third-party data are not redistributed in the submission bundle; acquisition instructions and source licenses are included.</w:t>
      </w:r>
    </w:p>
    <w:p>
      <w:pPr>
        <w:pStyle w:val="Heading1"/>
      </w:pPr>
      <w:r>
        <w:rPr>
          <w:rFonts w:ascii="Times New Roman" w:hAnsi="Times New Roman" w:eastAsia="Times New Roman"/>
          <w:sz w:val="21"/>
        </w:rPr>
        <w:t>Ethics, competing interests, and funding</w:t>
      </w:r>
    </w:p>
    <w:p>
      <w:r>
        <w:rPr>
          <w:rFonts w:ascii="Times New Roman" w:hAnsi="Times New Roman" w:eastAsia="Times New Roman"/>
          <w:sz w:val="21"/>
        </w:rPr>
        <w:t>This study used public machine datasets and involved no human participants or animals. The authors declare no competing interests. Funding and author-contribution statements will be inserted before submission.</w:t>
      </w:r>
    </w:p>
    <w:p>
      <w:pPr>
        <w:pStyle w:val="Heading1"/>
      </w:pPr>
      <w:r>
        <w:t>References</w:t>
      </w:r>
    </w:p>
    <w:p>
      <w:pPr>
        <w:spacing w:after="80"/>
        <w:ind w:left="360" w:hanging="360"/>
      </w:pPr>
      <w:r>
        <w:rPr>
          <w:rFonts w:ascii="Times New Roman" w:hAnsi="Times New Roman" w:eastAsia="Times New Roman"/>
          <w:sz w:val="18"/>
        </w:rPr>
        <w:t>[1] Kirchgässner, W., Wallscheid, O., &amp; Böcker, J. (2021). Estimating Electric Motor Temperatures With Deep Residual Machine Learning. IEEE Transactions on Power Electronics, 36(7), 7480-7488. https://doi.org/10.1109/TPEL.2020.3045596</w:t>
      </w:r>
    </w:p>
    <w:p>
      <w:pPr>
        <w:spacing w:after="80"/>
        <w:ind w:left="360" w:hanging="360"/>
      </w:pPr>
      <w:r>
        <w:rPr>
          <w:rFonts w:ascii="Times New Roman" w:hAnsi="Times New Roman" w:eastAsia="Times New Roman"/>
          <w:sz w:val="18"/>
        </w:rPr>
        <w:t>[2] Kirchgässner, W., Wallscheid, O., &amp; Böcker, J. (2022). Thermal Neural Networks: Lumped-Parameter Thermal Modeling With State-Space Machine Learning. Engineering Applications of Artificial Intelligence, 117, 105537. https://doi.org/10.1016/j.engappai.2022.105537</w:t>
      </w:r>
    </w:p>
    <w:p>
      <w:pPr>
        <w:spacing w:after="80"/>
        <w:ind w:left="360" w:hanging="360"/>
      </w:pPr>
      <w:r>
        <w:rPr>
          <w:rFonts w:ascii="Times New Roman" w:hAnsi="Times New Roman" w:eastAsia="Times New Roman"/>
          <w:sz w:val="18"/>
        </w:rPr>
        <w:t>[3] Liu, Z., Kong, W., Fan, X., Li, Z., Peng, K., &amp; Qu, R. (2024). Hybrid Thermal Modeling With LPTN-Informed Neural Network for Multinode Temperature Estimation in PMSM. IEEE Transactions on Power Electronics, 39(9), 10897-10909. https://doi.org/10.1109/TPEL.2024.3409388</w:t>
      </w:r>
    </w:p>
    <w:p>
      <w:pPr>
        <w:spacing w:after="80"/>
        <w:ind w:left="360" w:hanging="360"/>
      </w:pPr>
      <w:r>
        <w:rPr>
          <w:rFonts w:ascii="Times New Roman" w:hAnsi="Times New Roman" w:eastAsia="Times New Roman"/>
          <w:sz w:val="18"/>
        </w:rPr>
        <w:t>[4] Son, S., Lee, H., Jeong, D., Sun, K. H., &amp; Oh, K. Y. (2025). Digital Twin Model of a Permanent Magnet Synchronous Motor via a Multiphysics-Informed Deep Operator Network. Mechanical Systems and Signal Processing, 229, 112561. https://doi.org/10.1016/j.ymssp.2025.112561</w:t>
      </w:r>
    </w:p>
    <w:p>
      <w:pPr>
        <w:spacing w:after="80"/>
        <w:ind w:left="360" w:hanging="360"/>
      </w:pPr>
      <w:r>
        <w:rPr>
          <w:rFonts w:ascii="Times New Roman" w:hAnsi="Times New Roman" w:eastAsia="Times New Roman"/>
          <w:sz w:val="18"/>
        </w:rPr>
        <w:t>[5] Zhu, Y., Liang, H., &amp; Meng, L. (2026). Temperature Estimation and Hot-Spot Forecasting of PMSM Based on Physics-Informed Neural Network. Applied Thermal Engineering, 303, 132461. https://doi.org/10.1016/j.applthermaleng.2026.132461</w:t>
      </w:r>
    </w:p>
    <w:p>
      <w:pPr>
        <w:spacing w:after="80"/>
        <w:ind w:left="360" w:hanging="360"/>
      </w:pPr>
      <w:r>
        <w:rPr>
          <w:rFonts w:ascii="Times New Roman" w:hAnsi="Times New Roman" w:eastAsia="Times New Roman"/>
          <w:sz w:val="18"/>
        </w:rPr>
        <w:t>[6] Zhang, X., Lang, W., Zhao, Y., &amp; Gong, C. (2024). Transferable Neural Network Method Used for PMSM Permanent Magnet Temperature Estimation in Electrical Drive System. In 2024 Boao New Power System International Forum - Power System and New Energy Technology Innovation Forum (pp. 507-513). https://doi.org/10.1109/NPSIF64134.2024.10883597</w:t>
      </w:r>
    </w:p>
    <w:p>
      <w:pPr>
        <w:spacing w:after="80"/>
        <w:ind w:left="360" w:hanging="360"/>
      </w:pPr>
      <w:r>
        <w:rPr>
          <w:rFonts w:ascii="Times New Roman" w:hAnsi="Times New Roman" w:eastAsia="Times New Roman"/>
          <w:sz w:val="18"/>
        </w:rPr>
        <w:t>[7] Shafieeroudbari, E., Iyer, L. V., &amp; Kar, N. C. (2024). Real-Time Rotor Temperature Estimation in Permanent Magnet Synchronous Motor Using Incremental Deep Learning. In 2024 International Conference on Electrical Machines (pp. 1-6). https://doi.org/10.1109/ICEM60801.2024.10700124</w:t>
      </w:r>
    </w:p>
    <w:p>
      <w:pPr>
        <w:spacing w:after="80"/>
        <w:ind w:left="360" w:hanging="360"/>
      </w:pPr>
      <w:r>
        <w:rPr>
          <w:rFonts w:ascii="Times New Roman" w:hAnsi="Times New Roman" w:eastAsia="Times New Roman"/>
          <w:sz w:val="18"/>
        </w:rPr>
        <w:t>[8] Gao, J., Luo, J., Yin, S., Gong, C., Wang, S., &amp; Zhang, G. (2026). Adaptive Digital Twin Framework for PMSM Thermal Safety Monitoring: Integrating Bayesian Self-Calibration with Hierarchical Physics-Aware Network. Machines, 14(2), 138. https://doi.org/10.3390/machines14020138</w:t>
      </w:r>
    </w:p>
    <w:p>
      <w:pPr>
        <w:spacing w:after="80"/>
        <w:ind w:left="360" w:hanging="360"/>
      </w:pPr>
      <w:r>
        <w:rPr>
          <w:rFonts w:ascii="Times New Roman" w:hAnsi="Times New Roman" w:eastAsia="Times New Roman"/>
          <w:sz w:val="18"/>
        </w:rPr>
        <w:t>[9] Wang, Z., Dai, Z., Póczos, B., &amp; Carbonell, J. (2019). Characterizing and Avoiding Negative Transfer. In 2019 IEEE/CVF Conference on Computer Vision and Pattern Recognition (CVPR) (pp. 11285-11294). https://doi.org/10.1109/CVPR.2019.01155</w:t>
      </w:r>
    </w:p>
    <w:p>
      <w:pPr>
        <w:spacing w:after="80"/>
        <w:ind w:left="360" w:hanging="360"/>
      </w:pPr>
      <w:r>
        <w:rPr>
          <w:rFonts w:ascii="Times New Roman" w:hAnsi="Times New Roman" w:eastAsia="Times New Roman"/>
          <w:sz w:val="18"/>
        </w:rPr>
        <w:t>[10] Kumar MP, P., Tu, Z. X., Chen, H. C., &amp; Chen, K. C. (2024). Mitigating Negative Transfer Learning in Source Free-Unsupervised Domain Adaptation for Rotating Machinery Fault Diagnosis. IEEE Transactions on Instrumentation and Measurement, 73, 1-16. https://doi.org/10.1109/TIM.2024.3476610</w:t>
      </w:r>
    </w:p>
    <w:p>
      <w:pPr>
        <w:spacing w:after="80"/>
        <w:ind w:left="360" w:hanging="360"/>
      </w:pPr>
      <w:r>
        <w:rPr>
          <w:rFonts w:ascii="Times New Roman" w:hAnsi="Times New Roman" w:eastAsia="Times New Roman"/>
          <w:sz w:val="18"/>
        </w:rPr>
        <w:t>[11] Hurlbert, S. H. (1984). Pseudoreplication and the Design of Ecological Field Experiments. Ecological Monographs, 54(2), 187-211. https://doi.org/10.2307/1942661</w:t>
      </w:r>
    </w:p>
    <w:p>
      <w:pPr>
        <w:spacing w:after="80"/>
        <w:ind w:left="360" w:hanging="360"/>
      </w:pPr>
      <w:r>
        <w:rPr>
          <w:rFonts w:ascii="Times New Roman" w:hAnsi="Times New Roman" w:eastAsia="Times New Roman"/>
          <w:sz w:val="18"/>
        </w:rPr>
        <w:t>[12] 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80"/>
        <w:ind w:left="360" w:hanging="360"/>
      </w:pPr>
      <w:r>
        <w:rPr>
          <w:rFonts w:ascii="Times New Roman" w:hAnsi="Times New Roman" w:eastAsia="Times New Roman"/>
          <w:sz w:val="18"/>
        </w:rPr>
        <w:t>[13] Lei, J., G'Sell, M., Rinaldo, A., Tibshirani, R. J., &amp; Wasserman, L. (2018). Distribution-Free Predictive Inference for Regression. Journal of the American Statistical Association, 113(523), 1094-1111. https://doi.org/10.1080/01621459.2017.1307116</w:t>
      </w:r>
    </w:p>
    <w:p>
      <w:pPr>
        <w:spacing w:after="80"/>
        <w:ind w:left="360" w:hanging="360"/>
      </w:pPr>
      <w:r>
        <w:rPr>
          <w:rFonts w:ascii="Times New Roman" w:hAnsi="Times New Roman" w:eastAsia="Times New Roman"/>
          <w:sz w:val="18"/>
        </w:rPr>
        <w:t>[14] Diquigiovanni, J., Fontana, M., &amp; Vantini, S. (2022). Conformal Prediction Bands for Multivariate Functional Data. Journal of Multivariate Analysis, 189, 104879. https://doi.org/10.1016/j.jmva.2021.104879</w:t>
      </w:r>
    </w:p>
    <w:p>
      <w:pPr>
        <w:spacing w:after="80"/>
        <w:ind w:left="360" w:hanging="360"/>
      </w:pPr>
      <w:r>
        <w:rPr>
          <w:rFonts w:ascii="Times New Roman" w:hAnsi="Times New Roman" w:eastAsia="Times New Roman"/>
          <w:sz w:val="18"/>
        </w:rPr>
        <w:t>[15] Tibshirani, R. J., Barber, R. F., Candès, E. J., &amp; Ramdas, A. (2019). Conformal Prediction Under Covariate Shift. In Advances in Neural Information Processing Systems (Vol. 32). https://papers.neurips.cc/paper_files/paper/2019/hash/8fb21ee7a2207526da55a679f0332de2-Abstract.html</w:t>
      </w:r>
    </w:p>
    <w:p>
      <w:pPr>
        <w:spacing w:after="80"/>
        <w:ind w:left="360" w:hanging="360"/>
      </w:pPr>
      <w:r>
        <w:rPr>
          <w:rFonts w:ascii="Times New Roman" w:hAnsi="Times New Roman" w:eastAsia="Times New Roman"/>
          <w:sz w:val="18"/>
        </w:rPr>
        <w:t>[16] Diquigiovanni, J., Fontana, M., &amp; Vantini, S. (2025). The Importance of Being a Band: Finite-Sample Exact Distribution-Free Prediction Sets for Functional Data. Statistica Sinica, 35(2). https://doi.org/10.5705/ss.202022.0087</w:t>
      </w:r>
    </w:p>
    <w:p>
      <w:pPr>
        <w:spacing w:after="80"/>
        <w:ind w:left="360" w:hanging="360"/>
      </w:pPr>
      <w:r>
        <w:rPr>
          <w:rFonts w:ascii="Times New Roman" w:hAnsi="Times New Roman" w:eastAsia="Times New Roman"/>
          <w:sz w:val="18"/>
        </w:rPr>
        <w:t>[17] El Mekkaoui, S., Ferreira, C. J., Guevara Gómez, J. C., Agrell, C., Vaughan, N. J., &amp; Heggen, H. O. (2023). Neural Networks Based Conformal Prediction for Pipeline Structural Response. In Proceedings of the Twelfth Symposium on Conformal and Probabilistic Prediction with Applications (Vol. 204, pp. 134-146). https://proceedings.mlr.press/v204/el-mekkaoui23a.html</w:t>
      </w:r>
    </w:p>
    <w:p>
      <w:pPr>
        <w:spacing w:after="80"/>
        <w:ind w:left="360" w:hanging="360"/>
      </w:pPr>
      <w:r>
        <w:rPr>
          <w:rFonts w:ascii="Times New Roman" w:hAnsi="Times New Roman" w:eastAsia="Times New Roman"/>
          <w:sz w:val="18"/>
        </w:rPr>
        <w:t>[18] Jaber, E., Blot, V., Brunel, N. J. B., Chabridon, V., Remy, E., Iooss, B., Lucor, D., Mougeot, M., &amp; Leite, A. (2025). Conformal Approach to Gaussian Process Surrogate Evaluation with Marginal Coverage Guarantees. Journal of Machine Learning for Modeling and Computing, 6(3), 37-68. https://doi.org/10.1615/JMachLearnModelComput.2025054687</w:t>
      </w:r>
    </w:p>
    <w:p>
      <w:pPr>
        <w:spacing w:after="80"/>
        <w:ind w:left="360" w:hanging="360"/>
      </w:pPr>
      <w:r>
        <w:rPr>
          <w:rFonts w:ascii="Times New Roman" w:hAnsi="Times New Roman" w:eastAsia="Times New Roman"/>
          <w:sz w:val="18"/>
        </w:rPr>
        <w:t>[19] Gray, A., Gopakumar, V., Rousseau, S., &amp; Destercke, S. (2025). Guaranteed Prediction Sets for Functional Surrogate Models. In Proceedings of the Forty-First Conference on Uncertainty in Artificial Intelligence (Vol. 286, pp. 1569-1585). https://proceedings.mlr.press/v286/gray25a.html</w:t>
      </w:r>
    </w:p>
    <w:p>
      <w:pPr>
        <w:spacing w:after="80"/>
        <w:ind w:left="360" w:hanging="360"/>
      </w:pPr>
      <w:r>
        <w:rPr>
          <w:rFonts w:ascii="Times New Roman" w:hAnsi="Times New Roman" w:eastAsia="Times New Roman"/>
          <w:sz w:val="18"/>
        </w:rPr>
        <w:t>[20] Gopakumar, V., Gray, A., Oskarsson, J., Zanisi, L., Giles, D., Kusner, M. J., Pamela, S., &amp; Deisenroth, M. P. (2026). Uncertainty Quantification of Surrogate Models Using Conformal Prediction. Machine Learning: Science and Technology, 7(1), 015025. https://doi.org/10.1088/2632-2153/ae2e7b</w:t>
      </w:r>
    </w:p>
    <w:p>
      <w:pPr>
        <w:spacing w:after="80"/>
        <w:ind w:left="360" w:hanging="360"/>
      </w:pPr>
      <w:r>
        <w:rPr>
          <w:rFonts w:ascii="Times New Roman" w:hAnsi="Times New Roman" w:eastAsia="Times New Roman"/>
          <w:sz w:val="18"/>
        </w:rPr>
        <w:t>[21] Kirchgässner, W., Wallscheid, O., &amp; Böcker, J. (2021). Electric Motor Temperature [Data set]. Kaggle. https://doi.org/10.34740/KAGGLE/DSV/2161054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color w:val="646464"/>
        <w:sz w:val="17"/>
      </w:rPr>
      <w:t>Electrothermal Model Transport Across PMSMs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keepNext w:val="0"/>
      <w:spacing w:before="60" w:after="140"/>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Electrothermal Models Transport Across PMSMs? A Protocol-Frozen Benchmark of Source Priors, Five-Minute Calibration, and Support-Aware Uncertainty</dc:title>
  <dc:subject>Journal-neutral Paper 4 submission draft</dc:subject>
  <dc:creator>Anonymous</dc:creator>
  <cp:keywords>PMSM; conformal prediction; surrogate; torque</cp:keywords>
  <dc:description>Generated from evidence-validated Markdown</dc:description>
  <cp:lastModifiedBy>Anonymous</cp:lastModifiedBy>
  <cp:revision>1</cp:revision>
  <dcterms:created xsi:type="dcterms:W3CDTF">2013-12-23T23:15:00Z</dcterms:created>
  <dcterms:modified xsi:type="dcterms:W3CDTF">2013-12-23T23:15:00Z</dcterms:modified>
  <cp:category/>
</cp:coreProperties>
</file>